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F13C3" w14:textId="74FA5054" w:rsidR="00331B6F" w:rsidRPr="00331B6F" w:rsidRDefault="00331B6F" w:rsidP="00331B6F">
      <w:pPr>
        <w:pStyle w:val="whitespace-normal"/>
        <w:spacing w:after="240" w:afterAutospacing="0" w:line="360" w:lineRule="auto"/>
        <w:rPr>
          <w:rStyle w:val="Strong"/>
          <w:rFonts w:eastAsiaTheme="majorEastAsia"/>
        </w:rPr>
      </w:pPr>
      <w:r w:rsidRPr="00331B6F">
        <w:rPr>
          <w:rStyle w:val="Strong"/>
          <w:rFonts w:eastAsiaTheme="majorEastAsia"/>
        </w:rPr>
        <w:t xml:space="preserve">Standard and guidance doc </w:t>
      </w:r>
    </w:p>
    <w:p w14:paraId="363B771A" w14:textId="16432B41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rPr>
          <w:rStyle w:val="Strong"/>
          <w:rFonts w:eastAsiaTheme="majorEastAsia"/>
        </w:rPr>
        <w:t>IEC 80001-5-1</w:t>
      </w:r>
    </w:p>
    <w:p w14:paraId="2254DECA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t xml:space="preserve">Sets up guidance for: </w:t>
      </w:r>
    </w:p>
    <w:p w14:paraId="2CF3A3A8" w14:textId="77777777" w:rsidR="00DA41FD" w:rsidRPr="00331B6F" w:rsidRDefault="00DA41FD" w:rsidP="00331B6F">
      <w:pPr>
        <w:pStyle w:val="whitespace-normal"/>
        <w:numPr>
          <w:ilvl w:val="1"/>
          <w:numId w:val="2"/>
        </w:numPr>
        <w:spacing w:after="240" w:afterAutospacing="0" w:line="360" w:lineRule="auto"/>
      </w:pPr>
      <w:r w:rsidRPr="00331B6F">
        <w:t>Security activities in the product lifecycle</w:t>
      </w:r>
    </w:p>
    <w:p w14:paraId="19DA2752" w14:textId="77777777" w:rsidR="00DA41FD" w:rsidRPr="00331B6F" w:rsidRDefault="00DA41FD" w:rsidP="00331B6F">
      <w:pPr>
        <w:pStyle w:val="whitespace-normal"/>
        <w:numPr>
          <w:ilvl w:val="1"/>
          <w:numId w:val="2"/>
        </w:numPr>
        <w:spacing w:after="240" w:afterAutospacing="0" w:line="360" w:lineRule="auto"/>
      </w:pPr>
      <w:r w:rsidRPr="00331B6F">
        <w:t>Implementation of connected medical devices</w:t>
      </w:r>
    </w:p>
    <w:p w14:paraId="61232C9C" w14:textId="77777777" w:rsidR="00DA41FD" w:rsidRPr="00331B6F" w:rsidRDefault="00DA41FD" w:rsidP="00331B6F">
      <w:pPr>
        <w:pStyle w:val="whitespace-normal"/>
        <w:numPr>
          <w:ilvl w:val="1"/>
          <w:numId w:val="2"/>
        </w:numPr>
        <w:spacing w:after="240" w:afterAutospacing="0" w:line="360" w:lineRule="auto"/>
      </w:pPr>
      <w:r w:rsidRPr="00331B6F">
        <w:t>Practical framework for cybersecurity implementation</w:t>
      </w:r>
    </w:p>
    <w:p w14:paraId="1D7342E0" w14:textId="77777777" w:rsidR="00DA41FD" w:rsidRPr="00331B6F" w:rsidRDefault="00DA41FD" w:rsidP="00331B6F">
      <w:pPr>
        <w:pStyle w:val="whitespace-normal"/>
        <w:numPr>
          <w:ilvl w:val="1"/>
          <w:numId w:val="2"/>
        </w:numPr>
        <w:spacing w:after="240" w:afterAutospacing="0" w:line="360" w:lineRule="auto"/>
      </w:pPr>
      <w:r w:rsidRPr="00331B6F">
        <w:t>Mapping security practices across different development stages</w:t>
      </w:r>
    </w:p>
    <w:p w14:paraId="69D95BEC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rPr>
          <w:rStyle w:val="Strong"/>
          <w:rFonts w:eastAsiaTheme="majorEastAsia"/>
        </w:rPr>
        <w:t>ISO 14971</w:t>
      </w:r>
    </w:p>
    <w:p w14:paraId="52A850B0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t xml:space="preserve">Sets up guidance for: </w:t>
      </w:r>
    </w:p>
    <w:p w14:paraId="1E2C559E" w14:textId="77777777" w:rsidR="00DA41FD" w:rsidRPr="00331B6F" w:rsidRDefault="00DA41FD" w:rsidP="00331B6F">
      <w:pPr>
        <w:pStyle w:val="whitespace-normal"/>
        <w:numPr>
          <w:ilvl w:val="1"/>
          <w:numId w:val="4"/>
        </w:numPr>
        <w:spacing w:after="240" w:afterAutospacing="0" w:line="360" w:lineRule="auto"/>
      </w:pPr>
      <w:r w:rsidRPr="00331B6F">
        <w:t>Risk management definition</w:t>
      </w:r>
    </w:p>
    <w:p w14:paraId="25DD5489" w14:textId="77777777" w:rsidR="00DA41FD" w:rsidRPr="00331B6F" w:rsidRDefault="00DA41FD" w:rsidP="00331B6F">
      <w:pPr>
        <w:pStyle w:val="whitespace-normal"/>
        <w:numPr>
          <w:ilvl w:val="1"/>
          <w:numId w:val="4"/>
        </w:numPr>
        <w:spacing w:after="240" w:afterAutospacing="0" w:line="360" w:lineRule="auto"/>
      </w:pPr>
      <w:r w:rsidRPr="00331B6F">
        <w:t>Risk assessment methodology</w:t>
      </w:r>
    </w:p>
    <w:p w14:paraId="3700BFD8" w14:textId="77777777" w:rsidR="00DA41FD" w:rsidRPr="00331B6F" w:rsidRDefault="00DA41FD" w:rsidP="00331B6F">
      <w:pPr>
        <w:pStyle w:val="whitespace-normal"/>
        <w:numPr>
          <w:ilvl w:val="1"/>
          <w:numId w:val="4"/>
        </w:numPr>
        <w:spacing w:after="240" w:afterAutospacing="0" w:line="360" w:lineRule="auto"/>
      </w:pPr>
      <w:r w:rsidRPr="00331B6F">
        <w:t>Safety risk identification</w:t>
      </w:r>
    </w:p>
    <w:p w14:paraId="32CCA486" w14:textId="77777777" w:rsidR="00DA41FD" w:rsidRPr="00331B6F" w:rsidRDefault="00DA41FD" w:rsidP="00331B6F">
      <w:pPr>
        <w:pStyle w:val="whitespace-normal"/>
        <w:numPr>
          <w:ilvl w:val="1"/>
          <w:numId w:val="4"/>
        </w:numPr>
        <w:spacing w:after="240" w:afterAutospacing="0" w:line="360" w:lineRule="auto"/>
      </w:pPr>
      <w:r w:rsidRPr="00331B6F">
        <w:t>Risk evaluation process</w:t>
      </w:r>
    </w:p>
    <w:p w14:paraId="6FD08776" w14:textId="77777777" w:rsidR="00DA41FD" w:rsidRPr="00331B6F" w:rsidRDefault="00DA41FD" w:rsidP="00331B6F">
      <w:pPr>
        <w:pStyle w:val="whitespace-normal"/>
        <w:numPr>
          <w:ilvl w:val="1"/>
          <w:numId w:val="4"/>
        </w:numPr>
        <w:spacing w:after="240" w:afterAutospacing="0" w:line="360" w:lineRule="auto"/>
      </w:pPr>
      <w:r w:rsidRPr="00331B6F">
        <w:t>Defining risk as potential "physical injury or damage to health"</w:t>
      </w:r>
    </w:p>
    <w:p w14:paraId="2DE9B174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rPr>
          <w:rStyle w:val="Strong"/>
          <w:rFonts w:eastAsiaTheme="majorEastAsia"/>
        </w:rPr>
        <w:t>IEC 62304</w:t>
      </w:r>
    </w:p>
    <w:p w14:paraId="79498515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t xml:space="preserve">Sets up guidance for: </w:t>
      </w:r>
    </w:p>
    <w:p w14:paraId="14835D95" w14:textId="77777777" w:rsidR="00DA41FD" w:rsidRPr="00331B6F" w:rsidRDefault="00DA41FD" w:rsidP="00331B6F">
      <w:pPr>
        <w:pStyle w:val="whitespace-normal"/>
        <w:numPr>
          <w:ilvl w:val="1"/>
          <w:numId w:val="6"/>
        </w:numPr>
        <w:spacing w:after="240" w:afterAutospacing="0" w:line="360" w:lineRule="auto"/>
      </w:pPr>
      <w:r w:rsidRPr="00331B6F">
        <w:t>Software life-cycle processes</w:t>
      </w:r>
    </w:p>
    <w:p w14:paraId="0EA9E6A3" w14:textId="77777777" w:rsidR="00DA41FD" w:rsidRPr="00331B6F" w:rsidRDefault="00DA41FD" w:rsidP="00331B6F">
      <w:pPr>
        <w:pStyle w:val="whitespace-normal"/>
        <w:numPr>
          <w:ilvl w:val="1"/>
          <w:numId w:val="6"/>
        </w:numPr>
        <w:spacing w:after="240" w:afterAutospacing="0" w:line="360" w:lineRule="auto"/>
      </w:pPr>
      <w:r w:rsidRPr="00331B6F">
        <w:t>Software development stages</w:t>
      </w:r>
    </w:p>
    <w:p w14:paraId="2701B5F6" w14:textId="77777777" w:rsidR="00DA41FD" w:rsidRPr="00331B6F" w:rsidRDefault="00DA41FD" w:rsidP="00331B6F">
      <w:pPr>
        <w:pStyle w:val="whitespace-normal"/>
        <w:numPr>
          <w:ilvl w:val="1"/>
          <w:numId w:val="6"/>
        </w:numPr>
        <w:spacing w:after="240" w:afterAutospacing="0" w:line="360" w:lineRule="auto"/>
      </w:pPr>
      <w:r w:rsidRPr="00331B6F">
        <w:t>Software maintenance procedures</w:t>
      </w:r>
    </w:p>
    <w:p w14:paraId="07AE616F" w14:textId="77777777" w:rsidR="00DA41FD" w:rsidRPr="00331B6F" w:rsidRDefault="00DA41FD" w:rsidP="00331B6F">
      <w:pPr>
        <w:pStyle w:val="whitespace-normal"/>
        <w:numPr>
          <w:ilvl w:val="1"/>
          <w:numId w:val="6"/>
        </w:numPr>
        <w:spacing w:after="240" w:afterAutospacing="0" w:line="360" w:lineRule="auto"/>
      </w:pPr>
      <w:r w:rsidRPr="00331B6F">
        <w:t>Software risk management</w:t>
      </w:r>
    </w:p>
    <w:p w14:paraId="47DC823E" w14:textId="77777777" w:rsidR="00DA41FD" w:rsidRPr="00331B6F" w:rsidRDefault="00DA41FD" w:rsidP="00331B6F">
      <w:pPr>
        <w:pStyle w:val="whitespace-normal"/>
        <w:numPr>
          <w:ilvl w:val="1"/>
          <w:numId w:val="6"/>
        </w:numPr>
        <w:spacing w:after="240" w:afterAutospacing="0" w:line="360" w:lineRule="auto"/>
      </w:pPr>
      <w:r w:rsidRPr="00331B6F">
        <w:t>Upcoming version expected to include specific cybersecurity provisions</w:t>
      </w:r>
    </w:p>
    <w:p w14:paraId="717D50B9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rPr>
          <w:rStyle w:val="Strong"/>
          <w:rFonts w:eastAsiaTheme="majorEastAsia"/>
        </w:rPr>
        <w:lastRenderedPageBreak/>
        <w:t>MDCG 2019-16</w:t>
      </w:r>
    </w:p>
    <w:p w14:paraId="6F8EBEFE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t xml:space="preserve">Sets up guidance for: </w:t>
      </w:r>
    </w:p>
    <w:p w14:paraId="524204CB" w14:textId="77777777" w:rsidR="00DA41FD" w:rsidRPr="00331B6F" w:rsidRDefault="00DA41FD" w:rsidP="00331B6F">
      <w:pPr>
        <w:pStyle w:val="whitespace-normal"/>
        <w:numPr>
          <w:ilvl w:val="1"/>
          <w:numId w:val="8"/>
        </w:numPr>
        <w:spacing w:after="240" w:afterAutospacing="0" w:line="360" w:lineRule="auto"/>
      </w:pPr>
      <w:r w:rsidRPr="00331B6F">
        <w:t>Cybersecurity management in medical devices</w:t>
      </w:r>
    </w:p>
    <w:p w14:paraId="49BEB696" w14:textId="77777777" w:rsidR="00DA41FD" w:rsidRPr="00331B6F" w:rsidRDefault="00DA41FD" w:rsidP="00331B6F">
      <w:pPr>
        <w:pStyle w:val="whitespace-normal"/>
        <w:numPr>
          <w:ilvl w:val="1"/>
          <w:numId w:val="8"/>
        </w:numPr>
        <w:spacing w:after="240" w:afterAutospacing="0" w:line="360" w:lineRule="auto"/>
      </w:pPr>
      <w:r w:rsidRPr="00331B6F">
        <w:t>"</w:t>
      </w:r>
      <w:proofErr w:type="spellStart"/>
      <w:r w:rsidRPr="00331B6F">
        <w:t>Defense</w:t>
      </w:r>
      <w:proofErr w:type="spellEnd"/>
      <w:r w:rsidRPr="00331B6F">
        <w:t>-in-depth" security strategy</w:t>
      </w:r>
    </w:p>
    <w:p w14:paraId="346F8657" w14:textId="77777777" w:rsidR="00DA41FD" w:rsidRPr="00331B6F" w:rsidRDefault="00DA41FD" w:rsidP="00331B6F">
      <w:pPr>
        <w:pStyle w:val="whitespace-normal"/>
        <w:numPr>
          <w:ilvl w:val="1"/>
          <w:numId w:val="8"/>
        </w:numPr>
        <w:spacing w:after="240" w:afterAutospacing="0" w:line="360" w:lineRule="auto"/>
      </w:pPr>
      <w:r w:rsidRPr="00331B6F">
        <w:t xml:space="preserve">Eight core cybersecurity practices: </w:t>
      </w:r>
    </w:p>
    <w:p w14:paraId="35817606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Security management</w:t>
      </w:r>
    </w:p>
    <w:p w14:paraId="4299836B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Security requirements specification</w:t>
      </w:r>
    </w:p>
    <w:p w14:paraId="16538567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Secure by design principles</w:t>
      </w:r>
    </w:p>
    <w:p w14:paraId="1D31789E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Secure implementation</w:t>
      </w:r>
    </w:p>
    <w:p w14:paraId="0DED01B8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Security verification and validation testing</w:t>
      </w:r>
    </w:p>
    <w:p w14:paraId="5867ABC9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Management of security-related issues</w:t>
      </w:r>
    </w:p>
    <w:p w14:paraId="1C3623D9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Security update management</w:t>
      </w:r>
    </w:p>
    <w:p w14:paraId="640A0FE6" w14:textId="77777777" w:rsidR="00DA41FD" w:rsidRPr="00331B6F" w:rsidRDefault="00DA41FD" w:rsidP="00331B6F">
      <w:pPr>
        <w:pStyle w:val="whitespace-normal"/>
        <w:numPr>
          <w:ilvl w:val="2"/>
          <w:numId w:val="8"/>
        </w:numPr>
        <w:spacing w:after="240" w:afterAutospacing="0" w:line="360" w:lineRule="auto"/>
      </w:pPr>
      <w:r w:rsidRPr="00331B6F">
        <w:t>Security guidelines</w:t>
      </w:r>
    </w:p>
    <w:p w14:paraId="7110E31D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rPr>
          <w:rStyle w:val="Strong"/>
          <w:rFonts w:eastAsiaTheme="majorEastAsia"/>
        </w:rPr>
        <w:t>AAMI TIR57:2016</w:t>
      </w:r>
    </w:p>
    <w:p w14:paraId="2FE5B357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t xml:space="preserve">Sets up guidance for: </w:t>
      </w:r>
    </w:p>
    <w:p w14:paraId="1A1DE859" w14:textId="77777777" w:rsidR="00DA41FD" w:rsidRPr="00331B6F" w:rsidRDefault="00DA41FD" w:rsidP="00331B6F">
      <w:pPr>
        <w:pStyle w:val="whitespace-normal"/>
        <w:numPr>
          <w:ilvl w:val="1"/>
          <w:numId w:val="10"/>
        </w:numPr>
        <w:spacing w:after="240" w:afterAutospacing="0" w:line="360" w:lineRule="auto"/>
      </w:pPr>
      <w:r w:rsidRPr="00331B6F">
        <w:t>Principles of medical device security</w:t>
      </w:r>
    </w:p>
    <w:p w14:paraId="08676CB6" w14:textId="77777777" w:rsidR="00DA41FD" w:rsidRPr="00331B6F" w:rsidRDefault="00DA41FD" w:rsidP="00331B6F">
      <w:pPr>
        <w:pStyle w:val="whitespace-normal"/>
        <w:numPr>
          <w:ilvl w:val="1"/>
          <w:numId w:val="10"/>
        </w:numPr>
        <w:spacing w:after="240" w:afterAutospacing="0" w:line="360" w:lineRule="auto"/>
      </w:pPr>
      <w:r w:rsidRPr="00331B6F">
        <w:t>Risk management specific to device security</w:t>
      </w:r>
    </w:p>
    <w:p w14:paraId="02C23572" w14:textId="77777777" w:rsidR="00DA41FD" w:rsidRPr="00331B6F" w:rsidRDefault="00DA41FD" w:rsidP="00331B6F">
      <w:pPr>
        <w:pStyle w:val="whitespace-normal"/>
        <w:numPr>
          <w:ilvl w:val="1"/>
          <w:numId w:val="10"/>
        </w:numPr>
        <w:spacing w:after="240" w:afterAutospacing="0" w:line="360" w:lineRule="auto"/>
      </w:pPr>
      <w:r w:rsidRPr="00331B6F">
        <w:t>Identifying security risks</w:t>
      </w:r>
    </w:p>
    <w:p w14:paraId="6F891A26" w14:textId="77777777" w:rsidR="00DA41FD" w:rsidRPr="00331B6F" w:rsidRDefault="00DA41FD" w:rsidP="00331B6F">
      <w:pPr>
        <w:pStyle w:val="whitespace-normal"/>
        <w:numPr>
          <w:ilvl w:val="1"/>
          <w:numId w:val="10"/>
        </w:numPr>
        <w:spacing w:after="240" w:afterAutospacing="0" w:line="360" w:lineRule="auto"/>
      </w:pPr>
      <w:r w:rsidRPr="00331B6F">
        <w:t>Evaluating security threat levels</w:t>
      </w:r>
    </w:p>
    <w:p w14:paraId="79BD056F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rPr>
          <w:rStyle w:val="Strong"/>
          <w:rFonts w:eastAsiaTheme="majorEastAsia"/>
        </w:rPr>
        <w:t>IMDRF Principles and Practices</w:t>
      </w:r>
    </w:p>
    <w:p w14:paraId="63867E2A" w14:textId="77777777" w:rsidR="00DA41FD" w:rsidRPr="00331B6F" w:rsidRDefault="00DA41FD" w:rsidP="00331B6F">
      <w:pPr>
        <w:pStyle w:val="whitespace-normal"/>
        <w:spacing w:after="240" w:afterAutospacing="0" w:line="360" w:lineRule="auto"/>
      </w:pPr>
      <w:r w:rsidRPr="00331B6F">
        <w:t xml:space="preserve">Sets up guidance for: </w:t>
      </w:r>
    </w:p>
    <w:p w14:paraId="39A3016D" w14:textId="77777777" w:rsidR="00DA41FD" w:rsidRPr="00331B6F" w:rsidRDefault="00DA41FD" w:rsidP="00331B6F">
      <w:pPr>
        <w:pStyle w:val="whitespace-normal"/>
        <w:numPr>
          <w:ilvl w:val="1"/>
          <w:numId w:val="12"/>
        </w:numPr>
        <w:spacing w:after="240" w:afterAutospacing="0" w:line="360" w:lineRule="auto"/>
      </w:pPr>
      <w:r w:rsidRPr="00331B6F">
        <w:lastRenderedPageBreak/>
        <w:t>International best practices in medical device cybersecurity</w:t>
      </w:r>
    </w:p>
    <w:p w14:paraId="3D7A8937" w14:textId="77777777" w:rsidR="00DA41FD" w:rsidRPr="00331B6F" w:rsidRDefault="00DA41FD" w:rsidP="00331B6F">
      <w:pPr>
        <w:pStyle w:val="whitespace-normal"/>
        <w:numPr>
          <w:ilvl w:val="1"/>
          <w:numId w:val="12"/>
        </w:numPr>
        <w:spacing w:after="240" w:afterAutospacing="0" w:line="360" w:lineRule="auto"/>
      </w:pPr>
      <w:r w:rsidRPr="00331B6F">
        <w:t>Principles for managing cybersecurity across different regulatory environments</w:t>
      </w:r>
    </w:p>
    <w:p w14:paraId="5B19E4CF" w14:textId="6CF6E377" w:rsidR="00DA41FD" w:rsidRPr="00331B6F" w:rsidRDefault="00DA41FD" w:rsidP="00331B6F">
      <w:pPr>
        <w:pStyle w:val="whitespace-normal"/>
        <w:numPr>
          <w:ilvl w:val="1"/>
          <w:numId w:val="12"/>
        </w:numPr>
        <w:spacing w:after="240" w:afterAutospacing="0" w:line="360" w:lineRule="auto"/>
      </w:pPr>
      <w:r w:rsidRPr="00331B6F">
        <w:t>Framework for understanding cybersecurity risks in medical devices</w:t>
      </w:r>
    </w:p>
    <w:p w14:paraId="4AD451E0" w14:textId="77777777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 xml:space="preserve">Regulations </w:t>
      </w:r>
    </w:p>
    <w:p w14:paraId="5005D463" w14:textId="7D65F0D0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Medical Device Regulation (MDR) 2017/745</w:t>
      </w:r>
    </w:p>
    <w:p w14:paraId="0AB1BE13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Purpose: Regulates medical devices in the European Union</w:t>
      </w:r>
    </w:p>
    <w:p w14:paraId="5FD585CA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 xml:space="preserve">Key Focus: </w:t>
      </w:r>
    </w:p>
    <w:p w14:paraId="1D7A7AA4" w14:textId="77777777" w:rsidR="00331B6F" w:rsidRPr="00331B6F" w:rsidRDefault="00331B6F" w:rsidP="00331B6F">
      <w:pPr>
        <w:numPr>
          <w:ilvl w:val="1"/>
          <w:numId w:val="1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Emphasizes clinical evaluation</w:t>
      </w:r>
    </w:p>
    <w:p w14:paraId="7EBF9A66" w14:textId="77777777" w:rsidR="00331B6F" w:rsidRPr="00331B6F" w:rsidRDefault="00331B6F" w:rsidP="00331B6F">
      <w:pPr>
        <w:numPr>
          <w:ilvl w:val="1"/>
          <w:numId w:val="1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Requires comprehensive risk management</w:t>
      </w:r>
    </w:p>
    <w:p w14:paraId="17933D6F" w14:textId="77777777" w:rsidR="00331B6F" w:rsidRPr="00331B6F" w:rsidRDefault="00331B6F" w:rsidP="00331B6F">
      <w:pPr>
        <w:numPr>
          <w:ilvl w:val="1"/>
          <w:numId w:val="1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Mandates post-market surveillance activities</w:t>
      </w:r>
    </w:p>
    <w:p w14:paraId="06A880E7" w14:textId="77777777" w:rsidR="00331B6F" w:rsidRPr="00331B6F" w:rsidRDefault="00331B6F" w:rsidP="00331B6F">
      <w:pPr>
        <w:numPr>
          <w:ilvl w:val="1"/>
          <w:numId w:val="1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Introduces explicit cybersecurity requirements</w:t>
      </w:r>
    </w:p>
    <w:p w14:paraId="0965CC87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In Vitro Diagnostic Medical Device Regulation (IVDR) 2017/746</w:t>
      </w:r>
    </w:p>
    <w:p w14:paraId="216409C6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Purpose: Specifically regulates in vitro diagnostic medical devices</w:t>
      </w:r>
    </w:p>
    <w:p w14:paraId="15D7A349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 xml:space="preserve">Similar characteristics to MDR: </w:t>
      </w:r>
    </w:p>
    <w:p w14:paraId="0C9FDD65" w14:textId="77777777" w:rsidR="00331B6F" w:rsidRPr="00331B6F" w:rsidRDefault="00331B6F" w:rsidP="00331B6F">
      <w:pPr>
        <w:numPr>
          <w:ilvl w:val="1"/>
          <w:numId w:val="1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Comprehensive risk-benefit analysis</w:t>
      </w:r>
    </w:p>
    <w:p w14:paraId="6BFD362B" w14:textId="77777777" w:rsidR="00331B6F" w:rsidRPr="00331B6F" w:rsidRDefault="00331B6F" w:rsidP="00331B6F">
      <w:pPr>
        <w:numPr>
          <w:ilvl w:val="1"/>
          <w:numId w:val="1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Lifecycle-long risk management</w:t>
      </w:r>
    </w:p>
    <w:p w14:paraId="6C13FE96" w14:textId="77777777" w:rsidR="00331B6F" w:rsidRPr="00331B6F" w:rsidRDefault="00331B6F" w:rsidP="00331B6F">
      <w:pPr>
        <w:numPr>
          <w:ilvl w:val="1"/>
          <w:numId w:val="1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Cybersecurity considerations</w:t>
      </w:r>
    </w:p>
    <w:p w14:paraId="561AC125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Guidance Documents (Not Regulations, but Important)</w:t>
      </w:r>
    </w:p>
    <w:p w14:paraId="5B707DA2" w14:textId="77777777" w:rsidR="00331B6F" w:rsidRPr="00331B6F" w:rsidRDefault="00331B6F" w:rsidP="00331B6F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MDCG 2019-16: Guidance on Cybersecurity for medical devices</w:t>
      </w:r>
    </w:p>
    <w:p w14:paraId="05909DDA" w14:textId="77777777" w:rsidR="00331B6F" w:rsidRPr="00331B6F" w:rsidRDefault="00331B6F" w:rsidP="00331B6F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AAMI TIR57:2016: Principles for medical device security—Risk management</w:t>
      </w:r>
    </w:p>
    <w:p w14:paraId="18045A30" w14:textId="77777777" w:rsidR="00331B6F" w:rsidRPr="00331B6F" w:rsidRDefault="00331B6F" w:rsidP="00331B6F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IMDRF Principles and Practices for Medical Device Cybersecurity</w:t>
      </w:r>
    </w:p>
    <w:p w14:paraId="08DA0469" w14:textId="74A0C7AA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lastRenderedPageBreak/>
        <w:t>Regulatory Context</w:t>
      </w:r>
    </w:p>
    <w:p w14:paraId="2EE7F1A2" w14:textId="77777777" w:rsidR="00331B6F" w:rsidRPr="00331B6F" w:rsidRDefault="00331B6F" w:rsidP="00331B6F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Major Legislative Changes</w:t>
      </w:r>
    </w:p>
    <w:p w14:paraId="132DA441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 xml:space="preserve">The EU is transitioning from three former directives to two new regulations: </w:t>
      </w:r>
    </w:p>
    <w:p w14:paraId="59030144" w14:textId="77777777" w:rsidR="00331B6F" w:rsidRPr="00331B6F" w:rsidRDefault="00331B6F" w:rsidP="00331B6F">
      <w:pPr>
        <w:numPr>
          <w:ilvl w:val="1"/>
          <w:numId w:val="1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Medical Device Regulation (MDR) 2017/745</w:t>
      </w:r>
    </w:p>
    <w:p w14:paraId="63547B9F" w14:textId="77777777" w:rsidR="00331B6F" w:rsidRPr="00331B6F" w:rsidRDefault="00331B6F" w:rsidP="00331B6F">
      <w:pPr>
        <w:numPr>
          <w:ilvl w:val="1"/>
          <w:numId w:val="1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In Vitro Diagnostic Medical Device Regulation (IVDR) 2017/746</w:t>
      </w:r>
    </w:p>
    <w:p w14:paraId="3B176E82" w14:textId="77777777" w:rsidR="00331B6F" w:rsidRPr="00331B6F" w:rsidRDefault="00331B6F" w:rsidP="00331B6F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Cybersecurity Emphasis</w:t>
      </w:r>
    </w:p>
    <w:p w14:paraId="0CF752B6" w14:textId="77777777" w:rsidR="00331B6F" w:rsidRPr="00331B6F" w:rsidRDefault="00331B6F" w:rsidP="00331B6F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The new regulations explicitly address cybersecurity requirements</w:t>
      </w:r>
    </w:p>
    <w:p w14:paraId="072CCFA9" w14:textId="77777777" w:rsidR="00331B6F" w:rsidRPr="00331B6F" w:rsidRDefault="00331B6F" w:rsidP="00331B6F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Increased regulatory oversight, especially for medical software</w:t>
      </w:r>
    </w:p>
    <w:p w14:paraId="5D273B11" w14:textId="77777777" w:rsidR="00331B6F" w:rsidRPr="00331B6F" w:rsidRDefault="00331B6F" w:rsidP="00331B6F">
      <w:pPr>
        <w:numPr>
          <w:ilvl w:val="0"/>
          <w:numId w:val="2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More stringent requirements due to digital transformation in healthcare</w:t>
      </w:r>
    </w:p>
    <w:p w14:paraId="4511EF9D" w14:textId="77777777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Key Challenges for Manufacturers</w:t>
      </w:r>
    </w:p>
    <w:p w14:paraId="5C223E36" w14:textId="77777777" w:rsidR="00331B6F" w:rsidRPr="00331B6F" w:rsidRDefault="00331B6F" w:rsidP="00331B6F">
      <w:pPr>
        <w:numPr>
          <w:ilvl w:val="0"/>
          <w:numId w:val="2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Complexity of Regulatory Framework</w:t>
      </w:r>
    </w:p>
    <w:p w14:paraId="28B99834" w14:textId="77777777" w:rsidR="00331B6F" w:rsidRPr="00331B6F" w:rsidRDefault="00331B6F" w:rsidP="00331B6F">
      <w:pPr>
        <w:numPr>
          <w:ilvl w:val="0"/>
          <w:numId w:val="2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Difficult to identify and understand</w:t>
      </w:r>
      <w:r w:rsidRPr="00331B6F">
        <w:rPr>
          <w:rFonts w:ascii="Times New Roman" w:hAnsi="Times New Roman"/>
          <w:lang w:val="en-HK"/>
        </w:rPr>
        <w:t xml:space="preserve"> all applicable provisions</w:t>
      </w:r>
    </w:p>
    <w:p w14:paraId="7310BCA8" w14:textId="77777777" w:rsidR="00331B6F" w:rsidRPr="00331B6F" w:rsidRDefault="00331B6F" w:rsidP="00331B6F">
      <w:pPr>
        <w:numPr>
          <w:ilvl w:val="0"/>
          <w:numId w:val="2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Requirements are spread across different document sections</w:t>
      </w:r>
    </w:p>
    <w:p w14:paraId="64227AF4" w14:textId="77777777" w:rsidR="00331B6F" w:rsidRPr="00331B6F" w:rsidRDefault="00331B6F" w:rsidP="00331B6F">
      <w:pPr>
        <w:numPr>
          <w:ilvl w:val="0"/>
          <w:numId w:val="2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Cybersecurity Implementation Challenges</w:t>
      </w:r>
    </w:p>
    <w:p w14:paraId="19D3E17F" w14:textId="77777777" w:rsidR="00331B6F" w:rsidRPr="00331B6F" w:rsidRDefault="00331B6F" w:rsidP="00331B6F">
      <w:pPr>
        <w:numPr>
          <w:ilvl w:val="0"/>
          <w:numId w:val="2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Integrating cybersecurity into risk management processes</w:t>
      </w:r>
    </w:p>
    <w:p w14:paraId="707E8C77" w14:textId="77777777" w:rsidR="00331B6F" w:rsidRPr="00331B6F" w:rsidRDefault="00331B6F" w:rsidP="00331B6F">
      <w:pPr>
        <w:numPr>
          <w:ilvl w:val="0"/>
          <w:numId w:val="2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Implementing security actions in design and development</w:t>
      </w:r>
    </w:p>
    <w:p w14:paraId="41DFAE70" w14:textId="77777777" w:rsidR="00331B6F" w:rsidRPr="00331B6F" w:rsidRDefault="00331B6F" w:rsidP="00331B6F">
      <w:pPr>
        <w:numPr>
          <w:ilvl w:val="0"/>
          <w:numId w:val="2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Need for in-depth cybersecurity knowledge</w:t>
      </w:r>
    </w:p>
    <w:p w14:paraId="3D33C63F" w14:textId="77777777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Four Core Concepts of Cybersecurity Compliance</w:t>
      </w:r>
    </w:p>
    <w:p w14:paraId="06492446" w14:textId="77777777" w:rsidR="00331B6F" w:rsidRPr="00331B6F" w:rsidRDefault="00331B6F" w:rsidP="00331B6F">
      <w:pPr>
        <w:numPr>
          <w:ilvl w:val="0"/>
          <w:numId w:val="2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Risk Relationship Between Safety and Security</w:t>
      </w:r>
    </w:p>
    <w:p w14:paraId="3F014C8C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 xml:space="preserve">Identified three main risk types: </w:t>
      </w:r>
    </w:p>
    <w:p w14:paraId="2FE27CC3" w14:textId="77777777" w:rsidR="00331B6F" w:rsidRPr="00331B6F" w:rsidRDefault="00331B6F" w:rsidP="00331B6F">
      <w:pPr>
        <w:numPr>
          <w:ilvl w:val="1"/>
          <w:numId w:val="2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Security risk without safety impact</w:t>
      </w:r>
    </w:p>
    <w:p w14:paraId="1ED91FE1" w14:textId="77777777" w:rsidR="00331B6F" w:rsidRPr="00331B6F" w:rsidRDefault="00331B6F" w:rsidP="00331B6F">
      <w:pPr>
        <w:numPr>
          <w:ilvl w:val="1"/>
          <w:numId w:val="2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lastRenderedPageBreak/>
        <w:t>Security risk with safety impact</w:t>
      </w:r>
    </w:p>
    <w:p w14:paraId="0AA8C8D1" w14:textId="77777777" w:rsidR="00331B6F" w:rsidRPr="00331B6F" w:rsidRDefault="00331B6F" w:rsidP="00331B6F">
      <w:pPr>
        <w:numPr>
          <w:ilvl w:val="1"/>
          <w:numId w:val="2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Safety risk without security relation</w:t>
      </w:r>
    </w:p>
    <w:p w14:paraId="082CB7BF" w14:textId="77777777" w:rsidR="00331B6F" w:rsidRPr="00331B6F" w:rsidRDefault="00331B6F" w:rsidP="00331B6F">
      <w:pPr>
        <w:numPr>
          <w:ilvl w:val="0"/>
          <w:numId w:val="2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Aligned Safety and Security Risk Management Processes</w:t>
      </w:r>
    </w:p>
    <w:p w14:paraId="3691C83E" w14:textId="77777777" w:rsidR="00331B6F" w:rsidRPr="00331B6F" w:rsidRDefault="00331B6F" w:rsidP="00331B6F">
      <w:pPr>
        <w:numPr>
          <w:ilvl w:val="0"/>
          <w:numId w:val="2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Recommended separate but interconnected processes</w:t>
      </w:r>
    </w:p>
    <w:p w14:paraId="11BBD2A9" w14:textId="77777777" w:rsidR="00331B6F" w:rsidRPr="00331B6F" w:rsidRDefault="00331B6F" w:rsidP="00331B6F">
      <w:pPr>
        <w:numPr>
          <w:ilvl w:val="0"/>
          <w:numId w:val="2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Ensure comprehensive risk evaluation</w:t>
      </w:r>
    </w:p>
    <w:p w14:paraId="6D8D5297" w14:textId="77777777" w:rsidR="00331B6F" w:rsidRPr="00331B6F" w:rsidRDefault="00331B6F" w:rsidP="00331B6F">
      <w:pPr>
        <w:numPr>
          <w:ilvl w:val="0"/>
          <w:numId w:val="2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Balance between safety and security controls</w:t>
      </w:r>
    </w:p>
    <w:p w14:paraId="61A669B5" w14:textId="77777777" w:rsidR="00331B6F" w:rsidRPr="00331B6F" w:rsidRDefault="00331B6F" w:rsidP="00331B6F">
      <w:pPr>
        <w:numPr>
          <w:ilvl w:val="0"/>
          <w:numId w:val="2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Secure Design and Development Lifecycle</w:t>
      </w:r>
    </w:p>
    <w:p w14:paraId="48323286" w14:textId="77777777" w:rsidR="00331B6F" w:rsidRPr="00331B6F" w:rsidRDefault="00331B6F" w:rsidP="00331B6F">
      <w:pPr>
        <w:numPr>
          <w:ilvl w:val="0"/>
          <w:numId w:val="3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 xml:space="preserve">Perform threat </w:t>
      </w:r>
      <w:proofErr w:type="spellStart"/>
      <w:r w:rsidRPr="00331B6F">
        <w:rPr>
          <w:rFonts w:ascii="Times New Roman" w:hAnsi="Times New Roman"/>
          <w:lang w:val="en-HK"/>
        </w:rPr>
        <w:t>modeling</w:t>
      </w:r>
      <w:proofErr w:type="spellEnd"/>
    </w:p>
    <w:p w14:paraId="48C91C7D" w14:textId="77777777" w:rsidR="00331B6F" w:rsidRPr="00331B6F" w:rsidRDefault="00331B6F" w:rsidP="00331B6F">
      <w:pPr>
        <w:numPr>
          <w:ilvl w:val="0"/>
          <w:numId w:val="3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Derive security requirements</w:t>
      </w:r>
    </w:p>
    <w:p w14:paraId="6656D122" w14:textId="77777777" w:rsidR="00331B6F" w:rsidRPr="00331B6F" w:rsidRDefault="00331B6F" w:rsidP="00331B6F">
      <w:pPr>
        <w:numPr>
          <w:ilvl w:val="0"/>
          <w:numId w:val="3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Extend existing development processes with cybersecurity activities</w:t>
      </w:r>
    </w:p>
    <w:p w14:paraId="2BA1EA82" w14:textId="77777777" w:rsidR="00331B6F" w:rsidRPr="00331B6F" w:rsidRDefault="00331B6F" w:rsidP="00331B6F">
      <w:pPr>
        <w:numPr>
          <w:ilvl w:val="0"/>
          <w:numId w:val="3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Post-Market Cybersecurity Activities</w:t>
      </w:r>
    </w:p>
    <w:p w14:paraId="7DAE38F1" w14:textId="77777777" w:rsidR="00331B6F" w:rsidRPr="00331B6F" w:rsidRDefault="00331B6F" w:rsidP="00331B6F">
      <w:pPr>
        <w:numPr>
          <w:ilvl w:val="0"/>
          <w:numId w:val="3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Proactive approach to surveillance</w:t>
      </w:r>
    </w:p>
    <w:p w14:paraId="1FCB6CD7" w14:textId="77777777" w:rsidR="00331B6F" w:rsidRPr="00331B6F" w:rsidRDefault="00331B6F" w:rsidP="00331B6F">
      <w:pPr>
        <w:numPr>
          <w:ilvl w:val="0"/>
          <w:numId w:val="3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Formal vulnerability disclosure process</w:t>
      </w:r>
    </w:p>
    <w:p w14:paraId="5A1B2E2C" w14:textId="77777777" w:rsidR="00331B6F" w:rsidRPr="00331B6F" w:rsidRDefault="00331B6F" w:rsidP="00331B6F">
      <w:pPr>
        <w:numPr>
          <w:ilvl w:val="0"/>
          <w:numId w:val="3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Plan for recovery after cybersecurity incidents</w:t>
      </w:r>
    </w:p>
    <w:p w14:paraId="5FC7456B" w14:textId="77777777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Recommendations</w:t>
      </w:r>
    </w:p>
    <w:p w14:paraId="7ABF083D" w14:textId="77777777" w:rsidR="00331B6F" w:rsidRPr="00331B6F" w:rsidRDefault="00331B6F" w:rsidP="00331B6F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For Regulatory Authorities</w:t>
      </w:r>
    </w:p>
    <w:p w14:paraId="0DABFB5B" w14:textId="77777777" w:rsidR="00331B6F" w:rsidRPr="00331B6F" w:rsidRDefault="00331B6F" w:rsidP="00331B6F">
      <w:pPr>
        <w:numPr>
          <w:ilvl w:val="0"/>
          <w:numId w:val="33"/>
        </w:num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lang w:val="en-HK"/>
        </w:rPr>
        <w:t xml:space="preserve">Develop </w:t>
      </w:r>
      <w:r w:rsidRPr="00331B6F">
        <w:rPr>
          <w:rFonts w:ascii="Times New Roman" w:hAnsi="Times New Roman"/>
          <w:b/>
          <w:bCs/>
          <w:lang w:val="en-HK"/>
        </w:rPr>
        <w:t>harmonized standards</w:t>
      </w:r>
    </w:p>
    <w:p w14:paraId="19D69AD1" w14:textId="77777777" w:rsidR="00331B6F" w:rsidRPr="00331B6F" w:rsidRDefault="00331B6F" w:rsidP="00331B6F">
      <w:pPr>
        <w:numPr>
          <w:ilvl w:val="0"/>
          <w:numId w:val="3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Clarify expectations around cybersecurity requirements</w:t>
      </w:r>
    </w:p>
    <w:p w14:paraId="58FE05B6" w14:textId="77777777" w:rsidR="00331B6F" w:rsidRPr="00331B6F" w:rsidRDefault="00331B6F" w:rsidP="00331B6F">
      <w:pPr>
        <w:numPr>
          <w:ilvl w:val="0"/>
          <w:numId w:val="3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Adopt standards like IEC 80001-5-1</w:t>
      </w:r>
    </w:p>
    <w:p w14:paraId="242E0364" w14:textId="77777777" w:rsidR="00331B6F" w:rsidRPr="00331B6F" w:rsidRDefault="00331B6F" w:rsidP="00331B6F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For Manufacturers</w:t>
      </w:r>
    </w:p>
    <w:p w14:paraId="1444D8DD" w14:textId="77777777" w:rsidR="00331B6F" w:rsidRPr="00331B6F" w:rsidRDefault="00331B6F" w:rsidP="00331B6F">
      <w:pPr>
        <w:numPr>
          <w:ilvl w:val="0"/>
          <w:numId w:val="3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Improve cybersecurity culture</w:t>
      </w:r>
    </w:p>
    <w:p w14:paraId="30405F57" w14:textId="77777777" w:rsidR="00331B6F" w:rsidRPr="00331B6F" w:rsidRDefault="00331B6F" w:rsidP="00331B6F">
      <w:pPr>
        <w:numPr>
          <w:ilvl w:val="0"/>
          <w:numId w:val="3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lastRenderedPageBreak/>
        <w:t>Align design processes with new requirements</w:t>
      </w:r>
    </w:p>
    <w:p w14:paraId="30966A44" w14:textId="77777777" w:rsidR="00331B6F" w:rsidRPr="00331B6F" w:rsidRDefault="00331B6F" w:rsidP="00331B6F">
      <w:pPr>
        <w:numPr>
          <w:ilvl w:val="0"/>
          <w:numId w:val="3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Implement comprehensive risk management</w:t>
      </w:r>
    </w:p>
    <w:p w14:paraId="5C05C198" w14:textId="77777777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</w:p>
    <w:p w14:paraId="023F5CED" w14:textId="342F8D2B" w:rsidR="00331B6F" w:rsidRPr="00331B6F" w:rsidRDefault="00331B6F" w:rsidP="00331B6F">
      <w:pPr>
        <w:pStyle w:val="whitespace-pre-wrap"/>
        <w:spacing w:after="240" w:afterAutospacing="0" w:line="360" w:lineRule="auto"/>
        <w:rPr>
          <w:b/>
          <w:bCs/>
        </w:rPr>
      </w:pPr>
      <w:r w:rsidRPr="00331B6F">
        <w:rPr>
          <w:b/>
          <w:bCs/>
        </w:rPr>
        <w:t>C</w:t>
      </w:r>
      <w:r w:rsidRPr="00331B6F">
        <w:rPr>
          <w:b/>
          <w:bCs/>
        </w:rPr>
        <w:t>urrent cybersecurity challenges for medical device manufacturers include:</w:t>
      </w:r>
    </w:p>
    <w:p w14:paraId="53DC9F74" w14:textId="77777777" w:rsidR="00331B6F" w:rsidRPr="00331B6F" w:rsidRDefault="00331B6F" w:rsidP="00331B6F">
      <w:pPr>
        <w:pStyle w:val="whitespace-normal"/>
        <w:numPr>
          <w:ilvl w:val="0"/>
          <w:numId w:val="38"/>
        </w:numPr>
        <w:spacing w:after="240" w:afterAutospacing="0" w:line="360" w:lineRule="auto"/>
      </w:pPr>
      <w:r w:rsidRPr="00331B6F">
        <w:t>Identifying and Understanding Regulatory Requirements</w:t>
      </w:r>
    </w:p>
    <w:p w14:paraId="51DDF730" w14:textId="77777777" w:rsidR="00331B6F" w:rsidRPr="00331B6F" w:rsidRDefault="00331B6F" w:rsidP="00331B6F">
      <w:pPr>
        <w:pStyle w:val="whitespace-normal"/>
        <w:numPr>
          <w:ilvl w:val="0"/>
          <w:numId w:val="39"/>
        </w:numPr>
        <w:spacing w:after="240" w:afterAutospacing="0" w:line="360" w:lineRule="auto"/>
      </w:pPr>
      <w:r w:rsidRPr="00331B6F">
        <w:t>The EU regulatory framework is complex, with cybersecurity requirements spread across different sections of documents</w:t>
      </w:r>
    </w:p>
    <w:p w14:paraId="4B60D94F" w14:textId="77777777" w:rsidR="00331B6F" w:rsidRPr="00331B6F" w:rsidRDefault="00331B6F" w:rsidP="00331B6F">
      <w:pPr>
        <w:pStyle w:val="whitespace-normal"/>
        <w:numPr>
          <w:ilvl w:val="0"/>
          <w:numId w:val="39"/>
        </w:numPr>
        <w:spacing w:after="240" w:afterAutospacing="0" w:line="360" w:lineRule="auto"/>
      </w:pPr>
      <w:r w:rsidRPr="00331B6F">
        <w:t>Manufacturers struggle to identify and comprehend all applicable provisions in the new regulations</w:t>
      </w:r>
    </w:p>
    <w:p w14:paraId="5D7D829D" w14:textId="77777777" w:rsidR="00331B6F" w:rsidRPr="00331B6F" w:rsidRDefault="00331B6F" w:rsidP="00331B6F">
      <w:pPr>
        <w:pStyle w:val="whitespace-normal"/>
        <w:numPr>
          <w:ilvl w:val="0"/>
          <w:numId w:val="40"/>
        </w:numPr>
        <w:spacing w:after="240" w:afterAutospacing="0" w:line="360" w:lineRule="auto"/>
      </w:pPr>
      <w:r w:rsidRPr="00331B6F">
        <w:t>Risk Management Challenges</w:t>
      </w:r>
    </w:p>
    <w:p w14:paraId="3308B5D9" w14:textId="77777777" w:rsidR="00331B6F" w:rsidRPr="00331B6F" w:rsidRDefault="00331B6F" w:rsidP="00331B6F">
      <w:pPr>
        <w:pStyle w:val="whitespace-normal"/>
        <w:numPr>
          <w:ilvl w:val="0"/>
          <w:numId w:val="41"/>
        </w:numPr>
        <w:spacing w:after="240" w:afterAutospacing="0" w:line="360" w:lineRule="auto"/>
      </w:pPr>
      <w:r w:rsidRPr="00331B6F">
        <w:t>Manufacturers have difficulties addressing cybersecurity aspects within their existing risk management processes</w:t>
      </w:r>
    </w:p>
    <w:p w14:paraId="7035267D" w14:textId="77777777" w:rsidR="00331B6F" w:rsidRPr="00331B6F" w:rsidRDefault="00331B6F" w:rsidP="00331B6F">
      <w:pPr>
        <w:pStyle w:val="whitespace-normal"/>
        <w:numPr>
          <w:ilvl w:val="0"/>
          <w:numId w:val="41"/>
        </w:numPr>
        <w:spacing w:after="240" w:afterAutospacing="0" w:line="360" w:lineRule="auto"/>
      </w:pPr>
      <w:r w:rsidRPr="00331B6F">
        <w:t>Integrating security actions into design and development processes is challenging</w:t>
      </w:r>
    </w:p>
    <w:p w14:paraId="42126F63" w14:textId="77777777" w:rsidR="00331B6F" w:rsidRPr="00331B6F" w:rsidRDefault="00331B6F" w:rsidP="00331B6F">
      <w:pPr>
        <w:pStyle w:val="whitespace-normal"/>
        <w:numPr>
          <w:ilvl w:val="0"/>
          <w:numId w:val="41"/>
        </w:numPr>
        <w:spacing w:after="240" w:afterAutospacing="0" w:line="360" w:lineRule="auto"/>
      </w:pPr>
      <w:r w:rsidRPr="00331B6F">
        <w:t>The traditional safety risk management approach (focused on physical injury) needs to be expanded to include broader cybersecurity risks</w:t>
      </w:r>
    </w:p>
    <w:p w14:paraId="58480B0B" w14:textId="77777777" w:rsidR="00331B6F" w:rsidRPr="00331B6F" w:rsidRDefault="00331B6F" w:rsidP="00331B6F">
      <w:pPr>
        <w:pStyle w:val="whitespace-normal"/>
        <w:numPr>
          <w:ilvl w:val="0"/>
          <w:numId w:val="42"/>
        </w:numPr>
        <w:spacing w:after="240" w:afterAutospacing="0" w:line="360" w:lineRule="auto"/>
      </w:pPr>
      <w:r w:rsidRPr="00331B6F">
        <w:t>Expertise and Resource Gaps</w:t>
      </w:r>
    </w:p>
    <w:p w14:paraId="5EDC9C48" w14:textId="77777777" w:rsidR="00331B6F" w:rsidRPr="00331B6F" w:rsidRDefault="00331B6F" w:rsidP="00331B6F">
      <w:pPr>
        <w:pStyle w:val="whitespace-normal"/>
        <w:numPr>
          <w:ilvl w:val="0"/>
          <w:numId w:val="43"/>
        </w:numPr>
        <w:spacing w:after="240" w:afterAutospacing="0" w:line="360" w:lineRule="auto"/>
      </w:pPr>
      <w:r w:rsidRPr="00331B6F">
        <w:t>Manufacturers need resources with in-depth cybersecurity knowledge to deal with new threats arising from digital transformation</w:t>
      </w:r>
    </w:p>
    <w:p w14:paraId="50645697" w14:textId="77777777" w:rsidR="00331B6F" w:rsidRPr="00331B6F" w:rsidRDefault="00331B6F" w:rsidP="00331B6F">
      <w:pPr>
        <w:pStyle w:val="whitespace-normal"/>
        <w:numPr>
          <w:ilvl w:val="0"/>
          <w:numId w:val="43"/>
        </w:numPr>
        <w:spacing w:after="240" w:afterAutospacing="0" w:line="360" w:lineRule="auto"/>
      </w:pPr>
      <w:r w:rsidRPr="00331B6F">
        <w:t>Some companies have shortcomings in their security culture and processes</w:t>
      </w:r>
    </w:p>
    <w:p w14:paraId="345AAFEE" w14:textId="77777777" w:rsidR="00331B6F" w:rsidRPr="00331B6F" w:rsidRDefault="00331B6F" w:rsidP="00331B6F">
      <w:pPr>
        <w:pStyle w:val="whitespace-normal"/>
        <w:numPr>
          <w:ilvl w:val="0"/>
          <w:numId w:val="43"/>
        </w:numPr>
        <w:spacing w:after="240" w:afterAutospacing="0" w:line="360" w:lineRule="auto"/>
      </w:pPr>
      <w:r w:rsidRPr="00331B6F">
        <w:t>Requires specialized expertise to fully capture all relevant security aspects, similar to how clinical expertise is needed for safety risk identification</w:t>
      </w:r>
    </w:p>
    <w:p w14:paraId="161C0578" w14:textId="77777777" w:rsidR="00331B6F" w:rsidRPr="00331B6F" w:rsidRDefault="00331B6F" w:rsidP="00331B6F">
      <w:pPr>
        <w:pStyle w:val="whitespace-normal"/>
        <w:numPr>
          <w:ilvl w:val="0"/>
          <w:numId w:val="44"/>
        </w:numPr>
        <w:spacing w:after="240" w:afterAutospacing="0" w:line="360" w:lineRule="auto"/>
      </w:pPr>
      <w:r w:rsidRPr="00331B6F">
        <w:t>Regulatory Transition Complexity</w:t>
      </w:r>
    </w:p>
    <w:p w14:paraId="4C0A956C" w14:textId="77777777" w:rsidR="00331B6F" w:rsidRPr="00331B6F" w:rsidRDefault="00331B6F" w:rsidP="00331B6F">
      <w:pPr>
        <w:pStyle w:val="whitespace-normal"/>
        <w:numPr>
          <w:ilvl w:val="0"/>
          <w:numId w:val="45"/>
        </w:numPr>
        <w:spacing w:after="240" w:afterAutospacing="0" w:line="360" w:lineRule="auto"/>
      </w:pPr>
      <w:r w:rsidRPr="00331B6F">
        <w:lastRenderedPageBreak/>
        <w:t>The medical device legislation is transitioning from three former directives to two new regulations</w:t>
      </w:r>
    </w:p>
    <w:p w14:paraId="4D133F5A" w14:textId="77777777" w:rsidR="00331B6F" w:rsidRPr="00331B6F" w:rsidRDefault="00331B6F" w:rsidP="00331B6F">
      <w:pPr>
        <w:pStyle w:val="whitespace-normal"/>
        <w:numPr>
          <w:ilvl w:val="0"/>
          <w:numId w:val="45"/>
        </w:numPr>
        <w:spacing w:after="240" w:afterAutospacing="0" w:line="360" w:lineRule="auto"/>
      </w:pPr>
      <w:r w:rsidRPr="00331B6F">
        <w:t>There are currently no harmonized standards against MDR or IVDR, creating uncertainty for manufacturers</w:t>
      </w:r>
    </w:p>
    <w:p w14:paraId="767247D8" w14:textId="77777777" w:rsidR="00331B6F" w:rsidRPr="00331B6F" w:rsidRDefault="00331B6F" w:rsidP="00331B6F">
      <w:pPr>
        <w:pStyle w:val="whitespace-normal"/>
        <w:numPr>
          <w:ilvl w:val="0"/>
          <w:numId w:val="45"/>
        </w:numPr>
        <w:spacing w:after="240" w:afterAutospacing="0" w:line="360" w:lineRule="auto"/>
      </w:pPr>
      <w:r w:rsidRPr="00331B6F">
        <w:t>Lack of clear guidance on the appropriate set of standards to provide 'presumption of conformity'</w:t>
      </w:r>
    </w:p>
    <w:p w14:paraId="193B15BE" w14:textId="77777777" w:rsidR="00331B6F" w:rsidRPr="00331B6F" w:rsidRDefault="00331B6F" w:rsidP="00331B6F">
      <w:pPr>
        <w:pStyle w:val="whitespace-normal"/>
        <w:numPr>
          <w:ilvl w:val="0"/>
          <w:numId w:val="46"/>
        </w:numPr>
        <w:spacing w:after="240" w:afterAutospacing="0" w:line="360" w:lineRule="auto"/>
      </w:pPr>
      <w:r w:rsidRPr="00331B6F">
        <w:t>Post-Market Surveillance</w:t>
      </w:r>
    </w:p>
    <w:p w14:paraId="0ABDDFA3" w14:textId="5D28C424" w:rsidR="00331B6F" w:rsidRPr="00331B6F" w:rsidRDefault="00331B6F" w:rsidP="00331B6F">
      <w:pPr>
        <w:pStyle w:val="whitespace-normal"/>
        <w:spacing w:after="240" w:afterAutospacing="0" w:line="360" w:lineRule="auto"/>
      </w:pPr>
      <w:r w:rsidRPr="00331B6F">
        <w:t xml:space="preserve">- </w:t>
      </w:r>
      <w:r w:rsidRPr="00331B6F">
        <w:rPr>
          <w:b/>
          <w:bCs/>
        </w:rPr>
        <w:t>Cybersecurity threats are dynamic and change more rapidly than safety-related hazards</w:t>
      </w:r>
    </w:p>
    <w:p w14:paraId="313919E0" w14:textId="46C4000B" w:rsidR="00331B6F" w:rsidRPr="00331B6F" w:rsidRDefault="00331B6F" w:rsidP="00331B6F">
      <w:pPr>
        <w:pStyle w:val="whitespace-normal"/>
        <w:spacing w:after="240" w:afterAutospacing="0" w:line="360" w:lineRule="auto"/>
      </w:pPr>
      <w:r w:rsidRPr="00331B6F">
        <w:t xml:space="preserve">- </w:t>
      </w:r>
      <w:r w:rsidRPr="00331B6F">
        <w:t xml:space="preserve">Manufacturers need to: </w:t>
      </w:r>
    </w:p>
    <w:p w14:paraId="76A27FE9" w14:textId="77777777" w:rsidR="00331B6F" w:rsidRPr="00331B6F" w:rsidRDefault="00331B6F" w:rsidP="00331B6F">
      <w:pPr>
        <w:pStyle w:val="whitespace-normal"/>
        <w:numPr>
          <w:ilvl w:val="1"/>
          <w:numId w:val="47"/>
        </w:numPr>
        <w:spacing w:after="240" w:afterAutospacing="0" w:line="360" w:lineRule="auto"/>
      </w:pPr>
      <w:r w:rsidRPr="00331B6F">
        <w:t>Proactively identify new security vulnerabilities</w:t>
      </w:r>
    </w:p>
    <w:p w14:paraId="5312102B" w14:textId="77777777" w:rsidR="00331B6F" w:rsidRPr="00331B6F" w:rsidRDefault="00331B6F" w:rsidP="00331B6F">
      <w:pPr>
        <w:pStyle w:val="whitespace-normal"/>
        <w:numPr>
          <w:ilvl w:val="1"/>
          <w:numId w:val="47"/>
        </w:numPr>
        <w:spacing w:after="240" w:afterAutospacing="0" w:line="360" w:lineRule="auto"/>
      </w:pPr>
      <w:r w:rsidRPr="00331B6F">
        <w:t>Resolve vulnerabilities timely without compromising safety or compliance</w:t>
      </w:r>
    </w:p>
    <w:p w14:paraId="77032B7E" w14:textId="77777777" w:rsidR="00331B6F" w:rsidRPr="00331B6F" w:rsidRDefault="00331B6F" w:rsidP="00331B6F">
      <w:pPr>
        <w:pStyle w:val="whitespace-normal"/>
        <w:numPr>
          <w:ilvl w:val="1"/>
          <w:numId w:val="47"/>
        </w:numPr>
        <w:spacing w:after="240" w:afterAutospacing="0" w:line="360" w:lineRule="auto"/>
      </w:pPr>
      <w:r w:rsidRPr="00331B6F">
        <w:t>Establish formal vulnerability disclosure processes</w:t>
      </w:r>
    </w:p>
    <w:p w14:paraId="4FA873DD" w14:textId="77777777" w:rsidR="00331B6F" w:rsidRPr="00331B6F" w:rsidRDefault="00331B6F" w:rsidP="00331B6F">
      <w:pPr>
        <w:pStyle w:val="whitespace-normal"/>
        <w:numPr>
          <w:ilvl w:val="1"/>
          <w:numId w:val="47"/>
        </w:numPr>
        <w:spacing w:after="240" w:afterAutospacing="0" w:line="360" w:lineRule="auto"/>
      </w:pPr>
      <w:r w:rsidRPr="00331B6F">
        <w:t>Create clear plans for recovery following cybersecurity incidents</w:t>
      </w:r>
    </w:p>
    <w:p w14:paraId="0C71BF21" w14:textId="77777777" w:rsidR="00331B6F" w:rsidRPr="00331B6F" w:rsidRDefault="00331B6F" w:rsidP="00331B6F">
      <w:pPr>
        <w:pStyle w:val="whitespace-normal"/>
        <w:numPr>
          <w:ilvl w:val="0"/>
          <w:numId w:val="48"/>
        </w:numPr>
        <w:spacing w:after="240" w:afterAutospacing="0" w:line="360" w:lineRule="auto"/>
      </w:pPr>
      <w:r w:rsidRPr="00331B6F">
        <w:t>Balancing Safety and Security</w:t>
      </w:r>
    </w:p>
    <w:p w14:paraId="02BE004D" w14:textId="77777777" w:rsidR="00331B6F" w:rsidRPr="00331B6F" w:rsidRDefault="00331B6F" w:rsidP="00331B6F">
      <w:pPr>
        <w:pStyle w:val="whitespace-normal"/>
        <w:numPr>
          <w:ilvl w:val="0"/>
          <w:numId w:val="49"/>
        </w:numPr>
        <w:spacing w:after="240" w:afterAutospacing="0" w:line="360" w:lineRule="auto"/>
      </w:pPr>
      <w:r w:rsidRPr="00331B6F">
        <w:t>Implementing security controls requires careful consideration</w:t>
      </w:r>
    </w:p>
    <w:p w14:paraId="4E1E3D00" w14:textId="77777777" w:rsidR="00331B6F" w:rsidRPr="00331B6F" w:rsidRDefault="00331B6F" w:rsidP="00331B6F">
      <w:pPr>
        <w:pStyle w:val="whitespace-normal"/>
        <w:numPr>
          <w:ilvl w:val="0"/>
          <w:numId w:val="49"/>
        </w:numPr>
        <w:spacing w:after="240" w:afterAutospacing="0" w:line="360" w:lineRule="auto"/>
      </w:pPr>
      <w:r w:rsidRPr="00331B6F">
        <w:t>Both overly weak and overly restrictive security controls may lead to undesired safety impacts</w:t>
      </w:r>
    </w:p>
    <w:p w14:paraId="7916F739" w14:textId="77777777" w:rsidR="00331B6F" w:rsidRPr="00331B6F" w:rsidRDefault="00331B6F" w:rsidP="00331B6F">
      <w:pPr>
        <w:pStyle w:val="whitespace-normal"/>
        <w:numPr>
          <w:ilvl w:val="0"/>
          <w:numId w:val="49"/>
        </w:numPr>
        <w:spacing w:after="240" w:afterAutospacing="0" w:line="360" w:lineRule="auto"/>
      </w:pPr>
      <w:r w:rsidRPr="00331B6F">
        <w:t>Requires transparency and explicit addressing of potential trade-offs between safety and security</w:t>
      </w:r>
    </w:p>
    <w:p w14:paraId="415526B2" w14:textId="77777777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</w:p>
    <w:p w14:paraId="341BF142" w14:textId="63E0C792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Practical Implications</w:t>
      </w:r>
    </w:p>
    <w:p w14:paraId="2F0335D6" w14:textId="77777777" w:rsidR="00331B6F" w:rsidRPr="00331B6F" w:rsidRDefault="00331B6F" w:rsidP="00331B6F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The research suggests that:</w:t>
      </w:r>
    </w:p>
    <w:p w14:paraId="293529D0" w14:textId="77777777" w:rsidR="00331B6F" w:rsidRPr="00331B6F" w:rsidRDefault="00331B6F" w:rsidP="00331B6F">
      <w:pPr>
        <w:numPr>
          <w:ilvl w:val="0"/>
          <w:numId w:val="3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lastRenderedPageBreak/>
        <w:t>Cybersecurity is not just a technical issue but a comprehensive regulatory requirement</w:t>
      </w:r>
    </w:p>
    <w:p w14:paraId="7791C695" w14:textId="77777777" w:rsidR="00331B6F" w:rsidRPr="00331B6F" w:rsidRDefault="00331B6F" w:rsidP="00331B6F">
      <w:pPr>
        <w:numPr>
          <w:ilvl w:val="0"/>
          <w:numId w:val="3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Medical device manufacturers must integrate security considerations throughout the product lifecycle</w:t>
      </w:r>
    </w:p>
    <w:p w14:paraId="2E7C40E9" w14:textId="77777777" w:rsidR="00331B6F" w:rsidRPr="00331B6F" w:rsidRDefault="00331B6F" w:rsidP="00331B6F">
      <w:pPr>
        <w:numPr>
          <w:ilvl w:val="0"/>
          <w:numId w:val="3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Ongoing monitoring and adaptability are crucial</w:t>
      </w:r>
    </w:p>
    <w:p w14:paraId="0FD2989F" w14:textId="77777777" w:rsid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</w:p>
    <w:p w14:paraId="6FD2EB01" w14:textId="71E24088" w:rsidR="00331B6F" w:rsidRPr="00331B6F" w:rsidRDefault="00331B6F" w:rsidP="00331B6F">
      <w:pPr>
        <w:spacing w:before="100" w:beforeAutospacing="1"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331B6F">
        <w:rPr>
          <w:rFonts w:ascii="Times New Roman" w:hAnsi="Times New Roman"/>
          <w:b/>
          <w:bCs/>
          <w:lang w:val="en-HK"/>
        </w:rPr>
        <w:t>Limitations and Future Work</w:t>
      </w:r>
    </w:p>
    <w:p w14:paraId="3BD1FB69" w14:textId="77777777" w:rsidR="00331B6F" w:rsidRPr="00331B6F" w:rsidRDefault="00331B6F" w:rsidP="00331B6F">
      <w:pPr>
        <w:numPr>
          <w:ilvl w:val="0"/>
          <w:numId w:val="3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Lack of harmonized standards creates uncertainty</w:t>
      </w:r>
    </w:p>
    <w:p w14:paraId="01A6AD16" w14:textId="77777777" w:rsidR="00331B6F" w:rsidRPr="00331B6F" w:rsidRDefault="00331B6F" w:rsidP="00331B6F">
      <w:pPr>
        <w:numPr>
          <w:ilvl w:val="0"/>
          <w:numId w:val="3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 xml:space="preserve">Need for </w:t>
      </w:r>
      <w:r w:rsidRPr="00331B6F">
        <w:rPr>
          <w:rFonts w:ascii="Times New Roman" w:hAnsi="Times New Roman"/>
          <w:b/>
          <w:bCs/>
          <w:lang w:val="en-HK"/>
        </w:rPr>
        <w:t>more detailed guidance</w:t>
      </w:r>
      <w:r w:rsidRPr="00331B6F">
        <w:rPr>
          <w:rFonts w:ascii="Times New Roman" w:hAnsi="Times New Roman"/>
          <w:lang w:val="en-HK"/>
        </w:rPr>
        <w:t xml:space="preserve"> on implementing cybersecurity requirements</w:t>
      </w:r>
    </w:p>
    <w:p w14:paraId="724AD279" w14:textId="77777777" w:rsidR="00331B6F" w:rsidRPr="00331B6F" w:rsidRDefault="00331B6F" w:rsidP="00331B6F">
      <w:pPr>
        <w:numPr>
          <w:ilvl w:val="0"/>
          <w:numId w:val="3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31B6F">
        <w:rPr>
          <w:rFonts w:ascii="Times New Roman" w:hAnsi="Times New Roman"/>
          <w:lang w:val="en-HK"/>
        </w:rPr>
        <w:t>Importance of continued research and standard development</w:t>
      </w:r>
    </w:p>
    <w:p w14:paraId="7E055D85" w14:textId="77777777" w:rsidR="00DA41FD" w:rsidRPr="00331B6F" w:rsidRDefault="00DA41FD" w:rsidP="00331B6F">
      <w:pPr>
        <w:spacing w:after="240" w:line="360" w:lineRule="auto"/>
        <w:rPr>
          <w:rFonts w:ascii="Times New Roman" w:hAnsi="Times New Roman"/>
        </w:rPr>
      </w:pPr>
    </w:p>
    <w:p w14:paraId="2552AF2B" w14:textId="77777777" w:rsidR="00DA41FD" w:rsidRPr="00331B6F" w:rsidRDefault="00DA41FD" w:rsidP="00331B6F">
      <w:pPr>
        <w:spacing w:after="240" w:line="360" w:lineRule="auto"/>
        <w:rPr>
          <w:rFonts w:ascii="Times New Roman" w:hAnsi="Times New Roman"/>
        </w:rPr>
      </w:pPr>
    </w:p>
    <w:p w14:paraId="3447F5BE" w14:textId="77777777" w:rsidR="00DA41FD" w:rsidRPr="00331B6F" w:rsidRDefault="00DA41FD" w:rsidP="00331B6F">
      <w:pPr>
        <w:spacing w:after="240" w:line="360" w:lineRule="auto"/>
        <w:rPr>
          <w:rFonts w:ascii="Times New Roman" w:hAnsi="Times New Roman"/>
        </w:rPr>
      </w:pPr>
    </w:p>
    <w:p w14:paraId="559E27C4" w14:textId="2F6869AA" w:rsidR="00DA41FD" w:rsidRPr="00331B6F" w:rsidRDefault="00DA41FD" w:rsidP="00331B6F">
      <w:pPr>
        <w:spacing w:after="240" w:line="360" w:lineRule="auto"/>
        <w:rPr>
          <w:rFonts w:ascii="Times New Roman" w:hAnsi="Times New Roman"/>
        </w:rPr>
      </w:pPr>
      <w:r w:rsidRPr="00331B6F">
        <w:rPr>
          <w:rFonts w:ascii="Times New Roman" w:hAnsi="Times New Roman"/>
        </w:rPr>
        <w:lastRenderedPageBreak/>
        <w:drawing>
          <wp:inline distT="0" distB="0" distL="0" distR="0" wp14:anchorId="53AA61F8" wp14:editId="3B386856">
            <wp:extent cx="5731510" cy="8668385"/>
            <wp:effectExtent l="0" t="0" r="0" b="5715"/>
            <wp:docPr id="1969509409" name="Picture 1" descr="A table of software requirem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09409" name="Picture 1" descr="A table of software requirement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1FD" w:rsidRPr="00331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C154E"/>
    <w:multiLevelType w:val="multilevel"/>
    <w:tmpl w:val="5FBC4C98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B3B"/>
    <w:multiLevelType w:val="multilevel"/>
    <w:tmpl w:val="488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C74"/>
    <w:multiLevelType w:val="multilevel"/>
    <w:tmpl w:val="EA3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47EE"/>
    <w:multiLevelType w:val="multilevel"/>
    <w:tmpl w:val="6D1C29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6E759DB"/>
    <w:multiLevelType w:val="multilevel"/>
    <w:tmpl w:val="DD0E1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F1B1E"/>
    <w:multiLevelType w:val="multilevel"/>
    <w:tmpl w:val="418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57202"/>
    <w:multiLevelType w:val="multilevel"/>
    <w:tmpl w:val="128E0F7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0F04FE8"/>
    <w:multiLevelType w:val="multilevel"/>
    <w:tmpl w:val="8B6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253EF"/>
    <w:multiLevelType w:val="multilevel"/>
    <w:tmpl w:val="57D049DE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83370"/>
    <w:multiLevelType w:val="multilevel"/>
    <w:tmpl w:val="F60CD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16569"/>
    <w:multiLevelType w:val="multilevel"/>
    <w:tmpl w:val="4D38D0E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7AF0E99"/>
    <w:multiLevelType w:val="multilevel"/>
    <w:tmpl w:val="5AC00268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46FD1"/>
    <w:multiLevelType w:val="multilevel"/>
    <w:tmpl w:val="A98CEBC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5138B"/>
    <w:multiLevelType w:val="multilevel"/>
    <w:tmpl w:val="D9845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C7716"/>
    <w:multiLevelType w:val="multilevel"/>
    <w:tmpl w:val="C686A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42DCC"/>
    <w:multiLevelType w:val="multilevel"/>
    <w:tmpl w:val="EDB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A6783"/>
    <w:multiLevelType w:val="multilevel"/>
    <w:tmpl w:val="21A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656AE"/>
    <w:multiLevelType w:val="multilevel"/>
    <w:tmpl w:val="18A846F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B15F2"/>
    <w:multiLevelType w:val="multilevel"/>
    <w:tmpl w:val="55AAB45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20E4D82"/>
    <w:multiLevelType w:val="multilevel"/>
    <w:tmpl w:val="D9AA01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A0444"/>
    <w:multiLevelType w:val="multilevel"/>
    <w:tmpl w:val="EE62D098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A30AF"/>
    <w:multiLevelType w:val="multilevel"/>
    <w:tmpl w:val="F21CC5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5A642F3"/>
    <w:multiLevelType w:val="multilevel"/>
    <w:tmpl w:val="C8C8363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29EE"/>
    <w:multiLevelType w:val="multilevel"/>
    <w:tmpl w:val="99EC7C32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050C3"/>
    <w:multiLevelType w:val="multilevel"/>
    <w:tmpl w:val="0F2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76E70"/>
    <w:multiLevelType w:val="multilevel"/>
    <w:tmpl w:val="37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25609"/>
    <w:multiLevelType w:val="multilevel"/>
    <w:tmpl w:val="C27CA0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A028D"/>
    <w:multiLevelType w:val="multilevel"/>
    <w:tmpl w:val="AB7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83BBD"/>
    <w:multiLevelType w:val="multilevel"/>
    <w:tmpl w:val="264C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001176"/>
    <w:multiLevelType w:val="multilevel"/>
    <w:tmpl w:val="A102744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C5C83"/>
    <w:multiLevelType w:val="multilevel"/>
    <w:tmpl w:val="18E6A72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41EF9"/>
    <w:multiLevelType w:val="multilevel"/>
    <w:tmpl w:val="E988CE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F0AE5"/>
    <w:multiLevelType w:val="multilevel"/>
    <w:tmpl w:val="5C6048D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9B37A72"/>
    <w:multiLevelType w:val="multilevel"/>
    <w:tmpl w:val="5BD6B8A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BC157EE"/>
    <w:multiLevelType w:val="multilevel"/>
    <w:tmpl w:val="231E8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5CB8524F"/>
    <w:multiLevelType w:val="multilevel"/>
    <w:tmpl w:val="ABDA38B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5F9932CB"/>
    <w:multiLevelType w:val="multilevel"/>
    <w:tmpl w:val="95EABB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CA78F9"/>
    <w:multiLevelType w:val="multilevel"/>
    <w:tmpl w:val="69F66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431FE9"/>
    <w:multiLevelType w:val="multilevel"/>
    <w:tmpl w:val="DDC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8293D"/>
    <w:multiLevelType w:val="multilevel"/>
    <w:tmpl w:val="D7A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7210F"/>
    <w:multiLevelType w:val="multilevel"/>
    <w:tmpl w:val="2042D8DA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D4EAB"/>
    <w:multiLevelType w:val="multilevel"/>
    <w:tmpl w:val="78E8EF0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27E1F92"/>
    <w:multiLevelType w:val="multilevel"/>
    <w:tmpl w:val="AA54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993365"/>
    <w:multiLevelType w:val="multilevel"/>
    <w:tmpl w:val="F31E78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7391835"/>
    <w:multiLevelType w:val="multilevel"/>
    <w:tmpl w:val="6BBC90C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F059F"/>
    <w:multiLevelType w:val="multilevel"/>
    <w:tmpl w:val="B080BC0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7B5B2BF7"/>
    <w:multiLevelType w:val="multilevel"/>
    <w:tmpl w:val="D4EE2AD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B4CD9"/>
    <w:multiLevelType w:val="multilevel"/>
    <w:tmpl w:val="5E70875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0E2592"/>
    <w:multiLevelType w:val="multilevel"/>
    <w:tmpl w:val="1A1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309705">
    <w:abstractNumId w:val="42"/>
  </w:num>
  <w:num w:numId="2" w16cid:durableId="798302045">
    <w:abstractNumId w:val="27"/>
  </w:num>
  <w:num w:numId="3" w16cid:durableId="1930235037">
    <w:abstractNumId w:val="37"/>
  </w:num>
  <w:num w:numId="4" w16cid:durableId="129904519">
    <w:abstractNumId w:val="5"/>
  </w:num>
  <w:num w:numId="5" w16cid:durableId="1217665446">
    <w:abstractNumId w:val="4"/>
  </w:num>
  <w:num w:numId="6" w16cid:durableId="1261715093">
    <w:abstractNumId w:val="16"/>
  </w:num>
  <w:num w:numId="7" w16cid:durableId="547180589">
    <w:abstractNumId w:val="14"/>
  </w:num>
  <w:num w:numId="8" w16cid:durableId="1289162570">
    <w:abstractNumId w:val="2"/>
  </w:num>
  <w:num w:numId="9" w16cid:durableId="281621753">
    <w:abstractNumId w:val="26"/>
  </w:num>
  <w:num w:numId="10" w16cid:durableId="1013610299">
    <w:abstractNumId w:val="39"/>
  </w:num>
  <w:num w:numId="11" w16cid:durableId="165019770">
    <w:abstractNumId w:val="36"/>
  </w:num>
  <w:num w:numId="12" w16cid:durableId="425734123">
    <w:abstractNumId w:val="1"/>
  </w:num>
  <w:num w:numId="13" w16cid:durableId="524293777">
    <w:abstractNumId w:val="28"/>
  </w:num>
  <w:num w:numId="14" w16cid:durableId="1037316403">
    <w:abstractNumId w:val="48"/>
  </w:num>
  <w:num w:numId="15" w16cid:durableId="1463769688">
    <w:abstractNumId w:val="13"/>
  </w:num>
  <w:num w:numId="16" w16cid:durableId="1056011953">
    <w:abstractNumId w:val="7"/>
  </w:num>
  <w:num w:numId="17" w16cid:durableId="494928087">
    <w:abstractNumId w:val="9"/>
  </w:num>
  <w:num w:numId="18" w16cid:durableId="237978866">
    <w:abstractNumId w:val="44"/>
  </w:num>
  <w:num w:numId="19" w16cid:durableId="838884156">
    <w:abstractNumId w:val="25"/>
  </w:num>
  <w:num w:numId="20" w16cid:durableId="1945768262">
    <w:abstractNumId w:val="31"/>
  </w:num>
  <w:num w:numId="21" w16cid:durableId="1151630748">
    <w:abstractNumId w:val="34"/>
  </w:num>
  <w:num w:numId="22" w16cid:durableId="758523361">
    <w:abstractNumId w:val="12"/>
  </w:num>
  <w:num w:numId="23" w16cid:durableId="1137408161">
    <w:abstractNumId w:val="32"/>
  </w:num>
  <w:num w:numId="24" w16cid:durableId="1160730125">
    <w:abstractNumId w:val="0"/>
  </w:num>
  <w:num w:numId="25" w16cid:durableId="712924950">
    <w:abstractNumId w:val="43"/>
  </w:num>
  <w:num w:numId="26" w16cid:durableId="836069988">
    <w:abstractNumId w:val="15"/>
  </w:num>
  <w:num w:numId="27" w16cid:durableId="2066756274">
    <w:abstractNumId w:val="33"/>
  </w:num>
  <w:num w:numId="28" w16cid:durableId="365064552">
    <w:abstractNumId w:val="8"/>
  </w:num>
  <w:num w:numId="29" w16cid:durableId="1597127555">
    <w:abstractNumId w:val="45"/>
  </w:num>
  <w:num w:numId="30" w16cid:durableId="1410615882">
    <w:abstractNumId w:val="20"/>
  </w:num>
  <w:num w:numId="31" w16cid:durableId="821695297">
    <w:abstractNumId w:val="21"/>
  </w:num>
  <w:num w:numId="32" w16cid:durableId="425077577">
    <w:abstractNumId w:val="23"/>
  </w:num>
  <w:num w:numId="33" w16cid:durableId="1075056700">
    <w:abstractNumId w:val="29"/>
  </w:num>
  <w:num w:numId="34" w16cid:durableId="475726770">
    <w:abstractNumId w:val="47"/>
  </w:num>
  <w:num w:numId="35" w16cid:durableId="1868637913">
    <w:abstractNumId w:val="38"/>
  </w:num>
  <w:num w:numId="36" w16cid:durableId="771508747">
    <w:abstractNumId w:val="46"/>
  </w:num>
  <w:num w:numId="37" w16cid:durableId="551116552">
    <w:abstractNumId w:val="19"/>
  </w:num>
  <w:num w:numId="38" w16cid:durableId="1605108489">
    <w:abstractNumId w:val="3"/>
  </w:num>
  <w:num w:numId="39" w16cid:durableId="1082026562">
    <w:abstractNumId w:val="11"/>
  </w:num>
  <w:num w:numId="40" w16cid:durableId="483356274">
    <w:abstractNumId w:val="18"/>
  </w:num>
  <w:num w:numId="41" w16cid:durableId="1929580537">
    <w:abstractNumId w:val="40"/>
  </w:num>
  <w:num w:numId="42" w16cid:durableId="608584756">
    <w:abstractNumId w:val="41"/>
  </w:num>
  <w:num w:numId="43" w16cid:durableId="417291514">
    <w:abstractNumId w:val="17"/>
  </w:num>
  <w:num w:numId="44" w16cid:durableId="2129738837">
    <w:abstractNumId w:val="10"/>
  </w:num>
  <w:num w:numId="45" w16cid:durableId="533731891">
    <w:abstractNumId w:val="30"/>
  </w:num>
  <w:num w:numId="46" w16cid:durableId="509223632">
    <w:abstractNumId w:val="35"/>
  </w:num>
  <w:num w:numId="47" w16cid:durableId="112866994">
    <w:abstractNumId w:val="24"/>
  </w:num>
  <w:num w:numId="48" w16cid:durableId="36321305">
    <w:abstractNumId w:val="6"/>
  </w:num>
  <w:num w:numId="49" w16cid:durableId="15682232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10"/>
    <w:rsid w:val="000147A9"/>
    <w:rsid w:val="00042755"/>
    <w:rsid w:val="0006107D"/>
    <w:rsid w:val="000623A3"/>
    <w:rsid w:val="000719DA"/>
    <w:rsid w:val="00094D65"/>
    <w:rsid w:val="000A2074"/>
    <w:rsid w:val="000A3F4D"/>
    <w:rsid w:val="000B4FB9"/>
    <w:rsid w:val="000C4ABC"/>
    <w:rsid w:val="000C58D7"/>
    <w:rsid w:val="000E15ED"/>
    <w:rsid w:val="00101CCF"/>
    <w:rsid w:val="00144F10"/>
    <w:rsid w:val="0019260C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31B6F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32F51"/>
    <w:rsid w:val="0048097D"/>
    <w:rsid w:val="0048175B"/>
    <w:rsid w:val="004845CE"/>
    <w:rsid w:val="004A553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B34E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30C88"/>
    <w:rsid w:val="00841A06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1FD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4B22E"/>
  <w15:chartTrackingRefBased/>
  <w15:docId w15:val="{B482A482-BFB6-3049-B5D5-A2C862681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F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1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4F1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4F10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10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10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10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10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10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10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4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1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1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44F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10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14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10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44F10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DA41FD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Strong">
    <w:name w:val="Strong"/>
    <w:basedOn w:val="DefaultParagraphFont"/>
    <w:uiPriority w:val="22"/>
    <w:qFormat/>
    <w:rsid w:val="00DA41FD"/>
    <w:rPr>
      <w:b/>
      <w:bCs/>
    </w:rPr>
  </w:style>
  <w:style w:type="paragraph" w:customStyle="1" w:styleId="whitespace-pre-wrap">
    <w:name w:val="whitespace-pre-wrap"/>
    <w:basedOn w:val="Normal"/>
    <w:rsid w:val="00331B6F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2024-12-04T11:09:00Z</dcterms:created>
  <dcterms:modified xsi:type="dcterms:W3CDTF">2024-12-04T13:44:00Z</dcterms:modified>
</cp:coreProperties>
</file>