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68A16" w14:textId="77777777" w:rsidR="00CC204A" w:rsidRDefault="00CC204A" w:rsidP="00CC204A">
      <w:pPr>
        <w:pStyle w:val="NormalWeb"/>
      </w:pPr>
      <w:r>
        <w:rPr>
          <w:rFonts w:ascii="Abadi Extra Light" w:hAnsi="Abadi Extra Light"/>
        </w:rPr>
        <w:t xml:space="preserve">Questions for Reflection </w:t>
      </w:r>
    </w:p>
    <w:p w14:paraId="539BF0B7" w14:textId="1D8E3A35" w:rsidR="00CC204A" w:rsidRDefault="0043440C" w:rsidP="00CC204A">
      <w:pPr>
        <w:pStyle w:val="NormalWeb"/>
        <w:rPr>
          <w:rFonts w:ascii="Abadi Extra Light" w:hAnsi="Abadi Extra Light"/>
        </w:rPr>
      </w:pPr>
      <w:r>
        <w:rPr>
          <w:rFonts w:ascii="Abadi Extra Light" w:hAnsi="Abadi Extra Light"/>
        </w:rPr>
        <w:t xml:space="preserve">1. </w:t>
      </w:r>
      <w:r w:rsidR="00CC204A">
        <w:rPr>
          <w:rFonts w:ascii="Abadi Extra Light" w:hAnsi="Abadi Extra Light"/>
        </w:rPr>
        <w:t xml:space="preserve">Would a choice about how to gestate be available to pregnant people in the law as it is currently written – or would ending a pregnancy to opt for an artificial placenta amount to a criminal offence? </w:t>
      </w:r>
    </w:p>
    <w:p w14:paraId="7A0FAF0A" w14:textId="77777777" w:rsidR="0043440C" w:rsidRDefault="0043440C" w:rsidP="0043440C">
      <w:pPr>
        <w:pStyle w:val="NormalWeb"/>
      </w:pPr>
      <w:r>
        <w:t xml:space="preserve">Under the current legal framework, a pregnant person’s choice to end a pregnancy in order to opt for an artificial placenta would likely amount to a criminal offence. The existing law does not explicitly accommodate artificial womb technology (AWT) or partial ectogenesis, meaning that any attempt to transfer a fetus from a human uterus to an artificial environment would be scrutinised under criminal abortion provisions. The Offences Against the Person Act 1861 (OAPA 1861) remains the foundation of abortion law in England and Wales, where section 58 makes it an offence for a woman to “unlawfully procure a miscarriage” through the administration of poison, the use of instruments, or any other means (Romanis, </w:t>
      </w:r>
      <w:r>
        <w:rPr>
          <w:rStyle w:val="Emphasis"/>
          <w:rFonts w:eastAsiaTheme="majorEastAsia"/>
        </w:rPr>
        <w:t>Artificial Womb Technology and the Choice to Gestate Ex Utero</w:t>
      </w:r>
      <w:r>
        <w:t>, 2020). The Act does not differentiate between terminations intended to end fetal life and those that might allow for continued ex utero gestation.</w:t>
      </w:r>
    </w:p>
    <w:p w14:paraId="46BB0F2A" w14:textId="77777777" w:rsidR="0043440C" w:rsidRDefault="0043440C" w:rsidP="0043440C">
      <w:pPr>
        <w:pStyle w:val="NormalWeb"/>
      </w:pPr>
      <w:r>
        <w:t xml:space="preserve">The Abortion Act 1967 provides a defence against criminal liability in certain circumstances, but these are framed in terms of medical necessity rather than reproductive choice. The Act requires that two medical practitioners certify that a termination is necessary to prevent physical or mental harm to the pregnant person. However, as Romanis argues, "the defences available under the Abortion Act 1967 are too narrow to support choices about alternative forms of gestation, even if they become physically and medically possible" (Romanis, </w:t>
      </w:r>
      <w:r>
        <w:rPr>
          <w:rStyle w:val="Emphasis"/>
          <w:rFonts w:eastAsiaTheme="majorEastAsia"/>
        </w:rPr>
        <w:t>Artificial Womb Technology and the Choice to Gestate Ex Utero</w:t>
      </w:r>
      <w:r>
        <w:t>, 2020). The law does not envisage the possibility of a pregnancy being terminated for the express purpose of transferring a fetus to an artificial placenta.</w:t>
      </w:r>
    </w:p>
    <w:p w14:paraId="114193C1" w14:textId="77777777" w:rsidR="0043440C" w:rsidRDefault="0043440C" w:rsidP="0043440C">
      <w:pPr>
        <w:pStyle w:val="NormalWeb"/>
      </w:pPr>
      <w:r>
        <w:t xml:space="preserve">This legal uncertainty is compounded by the absence of a statutory definition of "miscarriage" in the OAPA 1861. In some interpretations, miscarriage could refer only to the termination of pregnancy resulting in fetal death, in which case opting for ex utero gestation may not be criminalised. However, if miscarriage is understood to encompass any deliberate termination of pregnancy, then transferring a fetus to an artificial womb would require legal justification (Romanis, </w:t>
      </w:r>
      <w:r>
        <w:rPr>
          <w:rStyle w:val="Emphasis"/>
          <w:rFonts w:eastAsiaTheme="majorEastAsia"/>
        </w:rPr>
        <w:t>Artificial Womb Technology and the Choice to Gestate Ex Utero</w:t>
      </w:r>
      <w:r>
        <w:t xml:space="preserve">, 2020). The current framework, as Mesure notes, "remains entangled with outdated notions of fetal viability and maternal duty, rather than prioritising reproductive autonomy" (Mesure, </w:t>
      </w:r>
      <w:r>
        <w:rPr>
          <w:rStyle w:val="Emphasis"/>
          <w:rFonts w:eastAsiaTheme="majorEastAsia"/>
        </w:rPr>
        <w:t>De-gendering Gestation: The Final Impetus for Decriminalising Abortion</w:t>
      </w:r>
      <w:r>
        <w:t>, 2023).</w:t>
      </w:r>
    </w:p>
    <w:p w14:paraId="1BCE1042" w14:textId="77777777" w:rsidR="0043440C" w:rsidRDefault="0043440C" w:rsidP="0043440C">
      <w:pPr>
        <w:pStyle w:val="NormalWeb"/>
      </w:pPr>
      <w:r>
        <w:t xml:space="preserve">Several scholars have examined the ethical and legal implications of artificial wombs. Smajdor argues that artificial gestation could provide a moral solution to the burdens of pregnancy, but she acknowledges that "existing abortion laws are not designed to accommodate the extraction of a fetus for continued ex utero development" (Smajdor, </w:t>
      </w:r>
      <w:r>
        <w:rPr>
          <w:rStyle w:val="Emphasis"/>
          <w:rFonts w:eastAsiaTheme="majorEastAsia"/>
        </w:rPr>
        <w:t>The Moral Imperative for Ectogenesis</w:t>
      </w:r>
      <w:r>
        <w:t xml:space="preserve">, 2007). Similarly, Cavaliere critiques the legal framework for failing to consider the implications of AW technology, suggesting that "the inability to separate pregnancy termination from fetal death in law reinforces gendered oppression and restricts bodily autonomy" (Cavaliere, </w:t>
      </w:r>
      <w:r>
        <w:rPr>
          <w:rStyle w:val="Emphasis"/>
          <w:rFonts w:eastAsiaTheme="majorEastAsia"/>
        </w:rPr>
        <w:t>Ectogenesis and Gender-Based Oppression</w:t>
      </w:r>
      <w:r>
        <w:t>, 2020).</w:t>
      </w:r>
    </w:p>
    <w:p w14:paraId="4B526FD8" w14:textId="77777777" w:rsidR="0043440C" w:rsidRDefault="0043440C" w:rsidP="0043440C">
      <w:pPr>
        <w:pStyle w:val="NormalWeb"/>
      </w:pPr>
      <w:r>
        <w:t xml:space="preserve">Furthermore, the legal status of fetal transfer is complicated by existing judicial precedent. In </w:t>
      </w:r>
      <w:r>
        <w:rPr>
          <w:rStyle w:val="Emphasis"/>
          <w:rFonts w:eastAsiaTheme="majorEastAsia"/>
        </w:rPr>
        <w:t>R v Bourne</w:t>
      </w:r>
      <w:r>
        <w:t xml:space="preserve"> [1939] 1 KB 687, the court recognised that abortion could be lawful if performed to prevent grave injury to the woman’s health. However, Romanis argues that "there is no </w:t>
      </w:r>
      <w:r>
        <w:lastRenderedPageBreak/>
        <w:t xml:space="preserve">explicit legal framework that would permit pregnancy termination for the purpose of fetal transfer to an artificial womb, even where it would reduce medical risks to the pregnant individual" (Romanis, </w:t>
      </w:r>
      <w:r>
        <w:rPr>
          <w:rStyle w:val="Emphasis"/>
          <w:rFonts w:eastAsiaTheme="majorEastAsia"/>
        </w:rPr>
        <w:t>Artificial Womb Technology and the Choice to Gestate Ex Utero</w:t>
      </w:r>
      <w:r>
        <w:t>, 2020).</w:t>
      </w:r>
    </w:p>
    <w:p w14:paraId="34999054" w14:textId="77777777" w:rsidR="0043440C" w:rsidRDefault="0043440C" w:rsidP="0043440C">
      <w:pPr>
        <w:pStyle w:val="NormalWeb"/>
      </w:pPr>
      <w:r>
        <w:t xml:space="preserve">The broader regulatory context is similarly restrictive. The law does not currently support demands for specific medical interventions outside emergencies. As established in </w:t>
      </w:r>
      <w:r>
        <w:rPr>
          <w:rStyle w:val="Emphasis"/>
          <w:rFonts w:eastAsiaTheme="majorEastAsia"/>
        </w:rPr>
        <w:t>R (Burke) v General Medical Council</w:t>
      </w:r>
      <w:r>
        <w:t xml:space="preserve"> [2005] EWCA Civ 1003, patients do not have an absolute right to demand any medical treatment they desire, and this principle extends to reproductive care (Romanis, </w:t>
      </w:r>
      <w:r>
        <w:rPr>
          <w:rStyle w:val="Emphasis"/>
          <w:rFonts w:eastAsiaTheme="majorEastAsia"/>
        </w:rPr>
        <w:t>Artificial Womb Technology and the Choice to Gestate Ex Utero</w:t>
      </w:r>
      <w:r>
        <w:t>, 2020). Medical professionals are unlikely to be compelled to offer artificial womb technology as an alternative to continued gestation, particularly given the risks and uncertainties surrounding fetal extraction procedures.</w:t>
      </w:r>
    </w:p>
    <w:p w14:paraId="0242BEB6" w14:textId="77777777" w:rsidR="0043440C" w:rsidRDefault="0043440C" w:rsidP="0043440C">
      <w:pPr>
        <w:pStyle w:val="NormalWeb"/>
      </w:pPr>
      <w:r>
        <w:t xml:space="preserve">Additionally, the social implications of AW technology introduce further complications. MacKay discusses how "ectogenesis may be framed as a solution to the tyranny of reproduction, but this does not mean that it would be freely available or that it would expand reproductive autonomy" (MacKay, </w:t>
      </w:r>
      <w:r>
        <w:rPr>
          <w:rStyle w:val="Emphasis"/>
          <w:rFonts w:eastAsiaTheme="majorEastAsia"/>
        </w:rPr>
        <w:t>The Tyranny of Reproduction: Could Ectogenesis Further Women’s Liberation?</w:t>
      </w:r>
      <w:r>
        <w:t xml:space="preserve">, 2020). Lee et al. warn that "artificial wombs could have oppressive potential, reinforcing existing structures of reproductive control rather than dismantling them" (Lee, Di Nucci, and Bidoli, </w:t>
      </w:r>
      <w:r>
        <w:rPr>
          <w:rStyle w:val="Emphasis"/>
          <w:rFonts w:eastAsiaTheme="majorEastAsia"/>
        </w:rPr>
        <w:t>Does Ectogestation Have Oppressive Potential?</w:t>
      </w:r>
      <w:r>
        <w:t>, 2023). These concerns highlight that even if legal reforms were introduced, the availability and accessibility of artificial wombs could remain subject to state or medical regulation.</w:t>
      </w:r>
    </w:p>
    <w:p w14:paraId="559AF793" w14:textId="77777777" w:rsidR="0043440C" w:rsidRDefault="0043440C" w:rsidP="0043440C">
      <w:pPr>
        <w:pStyle w:val="NormalWeb"/>
      </w:pPr>
      <w:r>
        <w:t xml:space="preserve">In sum, under the current legal framework, a person seeking to end a pregnancy to opt for an artificial placenta would not have legal protection, and such an action could constitute an offence under the OAPA 1861. The absence of a specific statutory provision allowing fetal transfer for ectogenesis means that, unless the law is reformed, terminating a pregnancy for this purpose would fall outside the existing defences of the Abortion Act 1967. As Romanis concludes, "we should either decriminalise termination of pregnancy in England and Wales, or reform current legal provisions on the grounds that they are too broad, and the circumstances in which terminations are lawful are too restrictive" (Romanis, </w:t>
      </w:r>
      <w:r>
        <w:rPr>
          <w:rStyle w:val="Emphasis"/>
          <w:rFonts w:eastAsiaTheme="majorEastAsia"/>
        </w:rPr>
        <w:t>Artificial Womb Technology and the Choice to Gestate Ex Utero</w:t>
      </w:r>
      <w:r>
        <w:t>, 2020).</w:t>
      </w:r>
    </w:p>
    <w:p w14:paraId="0802A312" w14:textId="77777777" w:rsidR="0043440C" w:rsidRDefault="0043440C" w:rsidP="00CC204A">
      <w:pPr>
        <w:pStyle w:val="NormalWeb"/>
        <w:rPr>
          <w:rFonts w:ascii="SymbolMT" w:hAnsi="SymbolMT"/>
        </w:rPr>
      </w:pPr>
    </w:p>
    <w:p w14:paraId="206E7D71" w14:textId="0ED65CBF" w:rsidR="00CC204A" w:rsidRDefault="0043440C" w:rsidP="00CC204A">
      <w:pPr>
        <w:pStyle w:val="NormalWeb"/>
        <w:rPr>
          <w:rFonts w:ascii="Abadi Extra Light" w:hAnsi="Abadi Extra Light"/>
        </w:rPr>
      </w:pPr>
      <w:r>
        <w:rPr>
          <w:rFonts w:ascii="Abadi Extra Light" w:hAnsi="Abadi Extra Light"/>
        </w:rPr>
        <w:t xml:space="preserve">2. </w:t>
      </w:r>
      <w:r w:rsidR="00CC204A">
        <w:rPr>
          <w:rFonts w:ascii="Abadi Extra Light" w:hAnsi="Abadi Extra Light"/>
        </w:rPr>
        <w:t xml:space="preserve">Is it important that people have a choice about how to gestate a human entity to term? What does this mean for sex equality? What do you think? </w:t>
      </w:r>
    </w:p>
    <w:p w14:paraId="08425D14" w14:textId="77777777" w:rsidR="007743EA" w:rsidRPr="007743EA" w:rsidRDefault="007743EA" w:rsidP="007743EA">
      <w:pPr>
        <w:spacing w:before="100" w:beforeAutospacing="1" w:after="100" w:afterAutospacing="1"/>
        <w:outlineLvl w:val="2"/>
        <w:rPr>
          <w:rFonts w:ascii="Times New Roman" w:hAnsi="Times New Roman"/>
          <w:b/>
          <w:bCs/>
          <w:sz w:val="27"/>
          <w:szCs w:val="27"/>
          <w:lang w:val="en-HK"/>
        </w:rPr>
      </w:pPr>
      <w:r w:rsidRPr="007743EA">
        <w:rPr>
          <w:rFonts w:ascii="Times New Roman" w:hAnsi="Times New Roman"/>
          <w:b/>
          <w:bCs/>
          <w:sz w:val="27"/>
          <w:szCs w:val="27"/>
          <w:lang w:val="en-HK"/>
        </w:rPr>
        <w:t>I. Is it important that people have a choice about how to gestate a human entity to term?</w:t>
      </w:r>
    </w:p>
    <w:p w14:paraId="74F975D2"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The ability to choose how to gestate a human entity is fundamental to reproductive autonomy and bodily integrity, both of which are central to bioethical and legal discourse. The emergence of artificial womb technology (AWT) raises significant questions about whether pregnant individuals should have the right to opt for ectogenesis instead of continuing pregnancy in utero. Romanis has argued that artificial wombs offer "new choices for women by changing perceptions of tolerable risks in gestation" (Romanis, </w:t>
      </w:r>
      <w:r w:rsidRPr="007743EA">
        <w:rPr>
          <w:rFonts w:ascii="Times New Roman" w:hAnsi="Times New Roman"/>
          <w:i/>
          <w:iCs/>
          <w:lang w:val="en-HK"/>
        </w:rPr>
        <w:t>Artificial Womb Technology and the Choice to Gestate Ex Utero</w:t>
      </w:r>
      <w:r w:rsidRPr="007743EA">
        <w:rPr>
          <w:rFonts w:ascii="Times New Roman" w:hAnsi="Times New Roman"/>
          <w:lang w:val="en-HK"/>
        </w:rPr>
        <w:t xml:space="preserve">, 2020)​. This suggests that AWT could </w:t>
      </w:r>
      <w:r w:rsidRPr="007743EA">
        <w:rPr>
          <w:rFonts w:ascii="Times New Roman" w:hAnsi="Times New Roman"/>
          <w:lang w:val="en-HK"/>
        </w:rPr>
        <w:lastRenderedPageBreak/>
        <w:t>expand the scope of reproductive autonomy by providing an alternative to traditional gestation, particularly for those facing medical risks or personal hardship during pregnancy.</w:t>
      </w:r>
    </w:p>
    <w:p w14:paraId="2129E3EA"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The ethical imperative for such a choice is well-documented in feminist literature. Smajdor posits that artificial gestation is a "moral imperative" because it could alleviate the physical and psychological burdens associated with pregnancy (Smajdor, </w:t>
      </w:r>
      <w:r w:rsidRPr="007743EA">
        <w:rPr>
          <w:rFonts w:ascii="Times New Roman" w:hAnsi="Times New Roman"/>
          <w:i/>
          <w:iCs/>
          <w:lang w:val="en-HK"/>
        </w:rPr>
        <w:t>The Moral Imperative for Ectogenesis</w:t>
      </w:r>
      <w:r w:rsidRPr="007743EA">
        <w:rPr>
          <w:rFonts w:ascii="Times New Roman" w:hAnsi="Times New Roman"/>
          <w:lang w:val="en-HK"/>
        </w:rPr>
        <w:t xml:space="preserve">, 2007)​. Similarly, MacKay argues that pregnancy imposes a "tyranny of reproduction" on those capable of gestation, making the availability of alternatives an essential aspect of gender justice (MacKay, </w:t>
      </w:r>
      <w:r w:rsidRPr="007743EA">
        <w:rPr>
          <w:rFonts w:ascii="Times New Roman" w:hAnsi="Times New Roman"/>
          <w:i/>
          <w:iCs/>
          <w:lang w:val="en-HK"/>
        </w:rPr>
        <w:t>The Tyranny of Reproduction: Could Ectogenesis Further Women’s Liberation?</w:t>
      </w:r>
      <w:r w:rsidRPr="007743EA">
        <w:rPr>
          <w:rFonts w:ascii="Times New Roman" w:hAnsi="Times New Roman"/>
          <w:lang w:val="en-HK"/>
        </w:rPr>
        <w:t xml:space="preserve">, 2020)​. However, Romanis warns that while AWT may provide new choices, it is crucial to examine whether the current legal framework supports such decisions, as laws governing pregnancy termination remain restrictive (Romanis, </w:t>
      </w:r>
      <w:r w:rsidRPr="007743EA">
        <w:rPr>
          <w:rFonts w:ascii="Times New Roman" w:hAnsi="Times New Roman"/>
          <w:i/>
          <w:iCs/>
          <w:lang w:val="en-HK"/>
        </w:rPr>
        <w:t>Artificial Womb Technology and the Choice to Gestate Ex Utero</w:t>
      </w:r>
      <w:r w:rsidRPr="007743EA">
        <w:rPr>
          <w:rFonts w:ascii="Times New Roman" w:hAnsi="Times New Roman"/>
          <w:lang w:val="en-HK"/>
        </w:rPr>
        <w:t>, 2020)​.</w:t>
      </w:r>
    </w:p>
    <w:p w14:paraId="5F194DC4"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Furthermore, ectogenesis could provide reproductive options for individuals who are unable to gestate due to medical conditions or gender identity. Kimberly et al. argue that "equitable access to ectogenesis for sexual and gender minorities" must be considered, as it could enable parenthood without traditional gestation (Kimberly, Sutter, and Quinn, </w:t>
      </w:r>
      <w:r w:rsidRPr="007743EA">
        <w:rPr>
          <w:rFonts w:ascii="Times New Roman" w:hAnsi="Times New Roman"/>
          <w:i/>
          <w:iCs/>
          <w:lang w:val="en-HK"/>
        </w:rPr>
        <w:t>Equitable Access to Ectogenesis for Sexual and Gender Minorities</w:t>
      </w:r>
      <w:r w:rsidRPr="007743EA">
        <w:rPr>
          <w:rFonts w:ascii="Times New Roman" w:hAnsi="Times New Roman"/>
          <w:lang w:val="en-HK"/>
        </w:rPr>
        <w:t>, 2020)​. This highlights the broader social and legal implications of gestational choice, suggesting that it is not merely a matter of convenience but of fundamental rights.</w:t>
      </w:r>
    </w:p>
    <w:p w14:paraId="68C93629" w14:textId="77777777" w:rsidR="007743EA" w:rsidRPr="007743EA" w:rsidRDefault="007743EA" w:rsidP="007743EA">
      <w:pPr>
        <w:spacing w:before="100" w:beforeAutospacing="1" w:after="100" w:afterAutospacing="1"/>
        <w:outlineLvl w:val="2"/>
        <w:rPr>
          <w:rFonts w:ascii="Times New Roman" w:hAnsi="Times New Roman"/>
          <w:b/>
          <w:bCs/>
          <w:sz w:val="27"/>
          <w:szCs w:val="27"/>
          <w:lang w:val="en-HK"/>
        </w:rPr>
      </w:pPr>
      <w:r w:rsidRPr="007743EA">
        <w:rPr>
          <w:rFonts w:ascii="Times New Roman" w:hAnsi="Times New Roman"/>
          <w:b/>
          <w:bCs/>
          <w:sz w:val="27"/>
          <w:szCs w:val="27"/>
          <w:lang w:val="en-HK"/>
        </w:rPr>
        <w:t>II. What does this mean for sex equality?</w:t>
      </w:r>
    </w:p>
    <w:p w14:paraId="0A2FBA8F"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The implications of gestational choice for sex equality are profound. Many feminist theorists argue that the biological necessity of pregnancy has been historically weaponized to justify social and economic disparities between the sexes. As Firestone famously contended, "the biological family is inherently oppressive" because it reinforces gender roles and expectations (cited in Cavaliere, </w:t>
      </w:r>
      <w:r w:rsidRPr="007743EA">
        <w:rPr>
          <w:rFonts w:ascii="Times New Roman" w:hAnsi="Times New Roman"/>
          <w:i/>
          <w:iCs/>
          <w:lang w:val="en-HK"/>
        </w:rPr>
        <w:t>Ectogenesis and Gender-Based Oppression</w:t>
      </w:r>
      <w:r w:rsidRPr="007743EA">
        <w:rPr>
          <w:rFonts w:ascii="Times New Roman" w:hAnsi="Times New Roman"/>
          <w:lang w:val="en-HK"/>
        </w:rPr>
        <w:t>, 2020)​. By enabling reproductive equality between men and women, ectogenesis could eliminate one of the key factors underpinning gender-based oppression.</w:t>
      </w:r>
    </w:p>
    <w:p w14:paraId="6414B67F"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Romanis notes that while artificial wombs are often framed as liberatory, they could also "reinforce existing structures of reproductive control rather than dismantling them" (Romanis, </w:t>
      </w:r>
      <w:r w:rsidRPr="007743EA">
        <w:rPr>
          <w:rFonts w:ascii="Times New Roman" w:hAnsi="Times New Roman"/>
          <w:i/>
          <w:iCs/>
          <w:lang w:val="en-HK"/>
        </w:rPr>
        <w:t>Biotechnology, Gestation, and the Law</w:t>
      </w:r>
      <w:r w:rsidRPr="007743EA">
        <w:rPr>
          <w:rFonts w:ascii="Times New Roman" w:hAnsi="Times New Roman"/>
          <w:lang w:val="en-HK"/>
        </w:rPr>
        <w:t xml:space="preserve">, 2025)​. This concern is echoed by Lee, Di Nucci, and Bidoli, who caution that "ectogestation may not necessarily serve emancipatory goals if access is mediated by medical and legal gatekeepers" (Lee, Di Nucci, and Bidoli, </w:t>
      </w:r>
      <w:r w:rsidRPr="007743EA">
        <w:rPr>
          <w:rFonts w:ascii="Times New Roman" w:hAnsi="Times New Roman"/>
          <w:i/>
          <w:iCs/>
          <w:lang w:val="en-HK"/>
        </w:rPr>
        <w:t>Does Ectogestation Have Oppressive Potential?</w:t>
      </w:r>
      <w:r w:rsidRPr="007743EA">
        <w:rPr>
          <w:rFonts w:ascii="Times New Roman" w:hAnsi="Times New Roman"/>
          <w:lang w:val="en-HK"/>
        </w:rPr>
        <w:t>, 2023)​. The question, therefore, is not simply whether ectogenesis promotes equality, but how it is implemented and regulated.</w:t>
      </w:r>
    </w:p>
    <w:p w14:paraId="09AA08F9"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Additionally, Cavaliere highlights the risk of assimilationism in reproductive technology, arguing that if ectogenesis is framed as a means for women to "reproduce like men," it may reinforce patriarchal values rather than dismantling them (Cavaliere, </w:t>
      </w:r>
      <w:r w:rsidRPr="007743EA">
        <w:rPr>
          <w:rFonts w:ascii="Times New Roman" w:hAnsi="Times New Roman"/>
          <w:i/>
          <w:iCs/>
          <w:lang w:val="en-HK"/>
        </w:rPr>
        <w:t>Gestation, Equality, and Freedom: Ectogenesis as a Political Perspective</w:t>
      </w:r>
      <w:r w:rsidRPr="007743EA">
        <w:rPr>
          <w:rFonts w:ascii="Times New Roman" w:hAnsi="Times New Roman"/>
          <w:lang w:val="en-HK"/>
        </w:rPr>
        <w:t xml:space="preserve">, 2020)​. A similar argument is made by Mesure, who contends that "de-gendering gestation is the final impetus for decriminalizing abortion" (Mesure, </w:t>
      </w:r>
      <w:r w:rsidRPr="007743EA">
        <w:rPr>
          <w:rFonts w:ascii="Times New Roman" w:hAnsi="Times New Roman"/>
          <w:i/>
          <w:iCs/>
          <w:lang w:val="en-HK"/>
        </w:rPr>
        <w:t>De-Gendering Gestation: The Final Impetus for Decriminalizing Abortion</w:t>
      </w:r>
      <w:r w:rsidRPr="007743EA">
        <w:rPr>
          <w:rFonts w:ascii="Times New Roman" w:hAnsi="Times New Roman"/>
          <w:lang w:val="en-HK"/>
        </w:rPr>
        <w:t>, 2023)​. This suggests that while AWT has the potential to advance sex equality, it must be accompanied by broader legal and social reforms to ensure that it does not merely shift reproductive burdens in new and unexpected ways.</w:t>
      </w:r>
    </w:p>
    <w:p w14:paraId="5B26DBF9" w14:textId="77777777" w:rsidR="007743EA" w:rsidRPr="007743EA" w:rsidRDefault="007743EA" w:rsidP="007743EA">
      <w:pPr>
        <w:spacing w:before="100" w:beforeAutospacing="1" w:after="100" w:afterAutospacing="1"/>
        <w:outlineLvl w:val="2"/>
        <w:rPr>
          <w:rFonts w:ascii="Times New Roman" w:hAnsi="Times New Roman"/>
          <w:b/>
          <w:bCs/>
          <w:sz w:val="27"/>
          <w:szCs w:val="27"/>
          <w:lang w:val="en-HK"/>
        </w:rPr>
      </w:pPr>
      <w:r w:rsidRPr="007743EA">
        <w:rPr>
          <w:rFonts w:ascii="Times New Roman" w:hAnsi="Times New Roman"/>
          <w:b/>
          <w:bCs/>
          <w:sz w:val="27"/>
          <w:szCs w:val="27"/>
          <w:lang w:val="en-HK"/>
        </w:rPr>
        <w:lastRenderedPageBreak/>
        <w:t>III. What do you think?</w:t>
      </w:r>
    </w:p>
    <w:p w14:paraId="7CD1BD0A"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Considering the extensive scholarly debate, it is evident that the ability to choose how to gestate a human entity is crucial for reproductive justice, gender equality, and broader legal reform. However, whether ectogenesis is ultimately liberatory depends on its accessibility, regulation, and the societal values that inform its implementation. As Romanis has pointed out, the law must evolve to reflect "changing perceptions of gestational burdens" and ensure that new technologies do not simply replicate existing inequalities (Romanis, </w:t>
      </w:r>
      <w:r w:rsidRPr="007743EA">
        <w:rPr>
          <w:rFonts w:ascii="Times New Roman" w:hAnsi="Times New Roman"/>
          <w:i/>
          <w:iCs/>
          <w:lang w:val="en-HK"/>
        </w:rPr>
        <w:t>Artificial Womb Technology and the Choice to Gestate Ex Utero</w:t>
      </w:r>
      <w:r w:rsidRPr="007743EA">
        <w:rPr>
          <w:rFonts w:ascii="Times New Roman" w:hAnsi="Times New Roman"/>
          <w:lang w:val="en-HK"/>
        </w:rPr>
        <w:t>, 2020)​.</w:t>
      </w:r>
    </w:p>
    <w:p w14:paraId="154E23D1"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Furthermore, while ectogenesis holds the promise of freeing women from the constraints of pregnancy, it also raises ethical concerns regarding fetal personhood and state intervention. If artificial wombs become a viable alternative to abortion, there is a risk that legal frameworks may shift towards prioritizing fetal rights over pregnant individuals' autonomy (Romanis, </w:t>
      </w:r>
      <w:r w:rsidRPr="007743EA">
        <w:rPr>
          <w:rFonts w:ascii="Times New Roman" w:hAnsi="Times New Roman"/>
          <w:i/>
          <w:iCs/>
          <w:lang w:val="en-HK"/>
        </w:rPr>
        <w:t>Artificial Womb Technology and the Frontiers of Human Reproduction</w:t>
      </w:r>
      <w:r w:rsidRPr="007743EA">
        <w:rPr>
          <w:rFonts w:ascii="Times New Roman" w:hAnsi="Times New Roman"/>
          <w:lang w:val="en-HK"/>
        </w:rPr>
        <w:t>, 2018)​. This would represent a significant setback for reproductive freedoms rather than an expansion of choice.</w:t>
      </w:r>
    </w:p>
    <w:p w14:paraId="71C0D413" w14:textId="77777777" w:rsidR="007743EA" w:rsidRPr="007743EA" w:rsidRDefault="007743EA" w:rsidP="007743EA">
      <w:pPr>
        <w:spacing w:before="100" w:beforeAutospacing="1" w:after="100" w:afterAutospacing="1"/>
        <w:rPr>
          <w:rFonts w:ascii="Times New Roman" w:hAnsi="Times New Roman"/>
          <w:lang w:val="en-HK"/>
        </w:rPr>
      </w:pPr>
      <w:r w:rsidRPr="007743EA">
        <w:rPr>
          <w:rFonts w:ascii="Times New Roman" w:hAnsi="Times New Roman"/>
          <w:lang w:val="en-HK"/>
        </w:rPr>
        <w:t xml:space="preserve">Ultimately, the importance of gestational choice cannot be overstated. However, it is not enough to simply introduce artificial womb technology; it must be accompanied by robust legal protections that safeguard reproductive autonomy. As Cavaliere argues, "true reproductive freedom means ensuring that women are not coerced into one form of gestation over another, but are given genuine, supported choices" (Cavaliere, </w:t>
      </w:r>
      <w:r w:rsidRPr="007743EA">
        <w:rPr>
          <w:rFonts w:ascii="Times New Roman" w:hAnsi="Times New Roman"/>
          <w:i/>
          <w:iCs/>
          <w:lang w:val="en-HK"/>
        </w:rPr>
        <w:t>Ectogenesis and Gender-Based Oppression</w:t>
      </w:r>
      <w:r w:rsidRPr="007743EA">
        <w:rPr>
          <w:rFonts w:ascii="Times New Roman" w:hAnsi="Times New Roman"/>
          <w:lang w:val="en-HK"/>
        </w:rPr>
        <w:t>, 2020)​. Thus, while ectogenesis could represent a significant step towards sex equality, its success depends on the broader legal and social framework in which it is embedded.</w:t>
      </w:r>
    </w:p>
    <w:p w14:paraId="2B2C03B5" w14:textId="77777777" w:rsidR="0043440C" w:rsidRDefault="0043440C" w:rsidP="00CC204A">
      <w:pPr>
        <w:pStyle w:val="NormalWeb"/>
        <w:rPr>
          <w:rFonts w:ascii="SymbolMT" w:hAnsi="SymbolMT"/>
        </w:rPr>
      </w:pPr>
    </w:p>
    <w:p w14:paraId="49CF0D2D" w14:textId="1BC52540" w:rsidR="00CC204A" w:rsidRDefault="007743EA" w:rsidP="00CC204A">
      <w:pPr>
        <w:pStyle w:val="NormalWeb"/>
        <w:rPr>
          <w:rFonts w:ascii="Abadi Extra Light" w:hAnsi="Abadi Extra Light"/>
        </w:rPr>
      </w:pPr>
      <w:r>
        <w:rPr>
          <w:rFonts w:ascii="Abadi Extra Light" w:hAnsi="Abadi Extra Light"/>
        </w:rPr>
        <w:t xml:space="preserve">3. </w:t>
      </w:r>
      <w:r w:rsidR="00CC204A">
        <w:rPr>
          <w:rFonts w:ascii="Abadi Extra Light" w:hAnsi="Abadi Extra Light"/>
        </w:rPr>
        <w:t xml:space="preserve">In what ways might the artificial placenta benefit minority groups? Could it also have negative effects by being used as a tool to control pregnant people’s behaviour? </w:t>
      </w:r>
    </w:p>
    <w:p w14:paraId="173A3793" w14:textId="77777777" w:rsidR="003600D9" w:rsidRPr="003600D9" w:rsidRDefault="003600D9" w:rsidP="003600D9">
      <w:pPr>
        <w:spacing w:before="100" w:beforeAutospacing="1" w:after="100" w:afterAutospacing="1"/>
        <w:outlineLvl w:val="2"/>
        <w:rPr>
          <w:rFonts w:ascii="Times New Roman" w:hAnsi="Times New Roman"/>
          <w:b/>
          <w:bCs/>
          <w:sz w:val="27"/>
          <w:szCs w:val="27"/>
          <w:lang w:val="en-HK"/>
        </w:rPr>
      </w:pPr>
      <w:r w:rsidRPr="003600D9">
        <w:rPr>
          <w:rFonts w:ascii="Times New Roman" w:hAnsi="Times New Roman"/>
          <w:b/>
          <w:bCs/>
          <w:sz w:val="27"/>
          <w:szCs w:val="27"/>
          <w:lang w:val="en-HK"/>
        </w:rPr>
        <w:t>I. In What Ways Might the Artificial Placenta Benefit Minority Groups?</w:t>
      </w:r>
    </w:p>
    <w:p w14:paraId="2F72C0D2" w14:textId="77777777" w:rsidR="003600D9" w:rsidRPr="003600D9" w:rsidRDefault="003600D9" w:rsidP="003600D9">
      <w:pPr>
        <w:spacing w:before="100" w:beforeAutospacing="1" w:after="100" w:afterAutospacing="1"/>
        <w:rPr>
          <w:rFonts w:ascii="Times New Roman" w:hAnsi="Times New Roman"/>
          <w:lang w:val="en-HK"/>
        </w:rPr>
      </w:pPr>
      <w:r w:rsidRPr="003600D9">
        <w:rPr>
          <w:rFonts w:ascii="Times New Roman" w:hAnsi="Times New Roman"/>
          <w:lang w:val="en-HK"/>
        </w:rPr>
        <w:t xml:space="preserve">The development of artificial placenta technology (APT) and ectogestation presents significant benefits for minority groups by expanding reproductive autonomy and mitigating systemic barriers to parenthood. Laura Kimberly et al. argue that "ectogenesis has the potential to provide equitable access to gestation for sexual and gender minorities" (Kimberly, Sutter, and Quinn, </w:t>
      </w:r>
      <w:r w:rsidRPr="003600D9">
        <w:rPr>
          <w:rFonts w:ascii="Times New Roman" w:hAnsi="Times New Roman"/>
          <w:i/>
          <w:iCs/>
          <w:lang w:val="en-HK"/>
        </w:rPr>
        <w:t>Equitable Access to Ectogenesis for Sexual and Gender Minorities</w:t>
      </w:r>
      <w:r w:rsidRPr="003600D9">
        <w:rPr>
          <w:rFonts w:ascii="Times New Roman" w:hAnsi="Times New Roman"/>
          <w:lang w:val="en-HK"/>
        </w:rPr>
        <w:t xml:space="preserve">, 2020). This is particularly relevant for transgender women, non-binary individuals, and intersex persons who, due to biological limitations, may otherwise be unable to gestate. The ability to reproduce without reliance on surrogacy or adoption challenges traditional conceptions of biological parenthood and allows individuals to create families on their own terms (Cavaliere, </w:t>
      </w:r>
      <w:r w:rsidRPr="003600D9">
        <w:rPr>
          <w:rFonts w:ascii="Times New Roman" w:hAnsi="Times New Roman"/>
          <w:i/>
          <w:iCs/>
          <w:lang w:val="en-HK"/>
        </w:rPr>
        <w:t>Ectogenesis and Gender-Based Oppression</w:t>
      </w:r>
      <w:r w:rsidRPr="003600D9">
        <w:rPr>
          <w:rFonts w:ascii="Times New Roman" w:hAnsi="Times New Roman"/>
          <w:lang w:val="en-HK"/>
        </w:rPr>
        <w:t>, 2020).</w:t>
      </w:r>
    </w:p>
    <w:p w14:paraId="605BF787" w14:textId="77777777" w:rsidR="003600D9" w:rsidRPr="003600D9" w:rsidRDefault="003600D9" w:rsidP="003600D9">
      <w:pPr>
        <w:spacing w:before="100" w:beforeAutospacing="1" w:after="100" w:afterAutospacing="1"/>
        <w:rPr>
          <w:rFonts w:ascii="Times New Roman" w:hAnsi="Times New Roman"/>
          <w:lang w:val="en-HK"/>
        </w:rPr>
      </w:pPr>
      <w:r w:rsidRPr="003600D9">
        <w:rPr>
          <w:rFonts w:ascii="Times New Roman" w:hAnsi="Times New Roman"/>
          <w:lang w:val="en-HK"/>
        </w:rPr>
        <w:t xml:space="preserve">APT could also address disparities in reproductive healthcare by reducing the risks associated with gestation for individuals who face medical, financial, or social obstacles to accessing quality prenatal care. Romanis highlights that "APT has the potential to be a reproductive equalizer by enabling individuals who cannot gestate, including transgender women and individuals with uterine factor infertility, to have biological children" (Romanis, </w:t>
      </w:r>
      <w:r w:rsidRPr="003600D9">
        <w:rPr>
          <w:rFonts w:ascii="Times New Roman" w:hAnsi="Times New Roman"/>
          <w:i/>
          <w:iCs/>
          <w:lang w:val="en-HK"/>
        </w:rPr>
        <w:t>Artificial Womb Technology and the Choice to Gestate Ex Utero</w:t>
      </w:r>
      <w:r w:rsidRPr="003600D9">
        <w:rPr>
          <w:rFonts w:ascii="Times New Roman" w:hAnsi="Times New Roman"/>
          <w:lang w:val="en-HK"/>
        </w:rPr>
        <w:t xml:space="preserve">, 2020). Additionally, ectogenesis may </w:t>
      </w:r>
      <w:r w:rsidRPr="003600D9">
        <w:rPr>
          <w:rFonts w:ascii="Times New Roman" w:hAnsi="Times New Roman"/>
          <w:lang w:val="en-HK"/>
        </w:rPr>
        <w:lastRenderedPageBreak/>
        <w:t xml:space="preserve">alleviate reproductive burdens for individuals with chronic illnesses, disabilities, or conditions that make pregnancy unsafe (MacKay, </w:t>
      </w:r>
      <w:r w:rsidRPr="003600D9">
        <w:rPr>
          <w:rFonts w:ascii="Times New Roman" w:hAnsi="Times New Roman"/>
          <w:i/>
          <w:iCs/>
          <w:lang w:val="en-HK"/>
        </w:rPr>
        <w:t>The Tyranny of Reproduction: Could Ectogenesis Further Women’s Liberation?</w:t>
      </w:r>
      <w:r w:rsidRPr="003600D9">
        <w:rPr>
          <w:rFonts w:ascii="Times New Roman" w:hAnsi="Times New Roman"/>
          <w:lang w:val="en-HK"/>
        </w:rPr>
        <w:t>, 2020).</w:t>
      </w:r>
    </w:p>
    <w:p w14:paraId="4333DB92" w14:textId="77777777" w:rsidR="003600D9" w:rsidRPr="003600D9" w:rsidRDefault="003600D9" w:rsidP="003600D9">
      <w:pPr>
        <w:spacing w:before="100" w:beforeAutospacing="1" w:after="100" w:afterAutospacing="1"/>
        <w:rPr>
          <w:rFonts w:ascii="Times New Roman" w:hAnsi="Times New Roman"/>
          <w:lang w:val="en-HK"/>
        </w:rPr>
      </w:pPr>
      <w:r w:rsidRPr="003600D9">
        <w:rPr>
          <w:rFonts w:ascii="Times New Roman" w:hAnsi="Times New Roman"/>
          <w:lang w:val="en-HK"/>
        </w:rPr>
        <w:t xml:space="preserve">Scholars suggest that ectogenesis could facilitate reproductive freedom for incarcerated individuals and those subjected to coercive reproductive control. Romanis notes that "individuals in state-controlled environments, such as prisoners or those under restrictive guardianship, often experience violations of reproductive autonomy" (Romanis, </w:t>
      </w:r>
      <w:r w:rsidRPr="003600D9">
        <w:rPr>
          <w:rFonts w:ascii="Times New Roman" w:hAnsi="Times New Roman"/>
          <w:i/>
          <w:iCs/>
          <w:lang w:val="en-HK"/>
        </w:rPr>
        <w:t>Artificial Womb Technology and the Choice to Gestate Ex Utero</w:t>
      </w:r>
      <w:r w:rsidRPr="003600D9">
        <w:rPr>
          <w:rFonts w:ascii="Times New Roman" w:hAnsi="Times New Roman"/>
          <w:lang w:val="en-HK"/>
        </w:rPr>
        <w:t>, 2020). In such contexts, artificial gestation could serve as a means of ensuring reproductive choice without necessitating the physical demands of pregnancy.</w:t>
      </w:r>
    </w:p>
    <w:p w14:paraId="377B4E99" w14:textId="77777777" w:rsidR="003600D9" w:rsidRPr="003600D9" w:rsidRDefault="003600D9" w:rsidP="003600D9">
      <w:pPr>
        <w:spacing w:before="100" w:beforeAutospacing="1" w:after="100" w:afterAutospacing="1"/>
        <w:rPr>
          <w:rFonts w:ascii="Times New Roman" w:hAnsi="Times New Roman"/>
          <w:lang w:val="en-HK"/>
        </w:rPr>
      </w:pPr>
      <w:r w:rsidRPr="003600D9">
        <w:rPr>
          <w:rFonts w:ascii="Times New Roman" w:hAnsi="Times New Roman"/>
          <w:lang w:val="en-HK"/>
        </w:rPr>
        <w:t xml:space="preserve">Beyond LGBTQ+ communities, ectogenesis offers transformative possibilities for individuals with uterine factor infertility (UFI), including those with Mayer-Rokitansky-Küster-Hauser (MRKH) syndrome or those who have lost reproductive capacity due to cancer treatments. Romanis notes that "ectogenesis would provide an alternative to gestation for individuals who are medically unable to sustain pregnancy, thus alleviating existing inequalities in reproductive healthcare access" (Romanis, </w:t>
      </w:r>
      <w:r w:rsidRPr="003600D9">
        <w:rPr>
          <w:rFonts w:ascii="Times New Roman" w:hAnsi="Times New Roman"/>
          <w:i/>
          <w:iCs/>
          <w:lang w:val="en-HK"/>
        </w:rPr>
        <w:t>Biotechnology, Gestation, and the Law</w:t>
      </w:r>
      <w:r w:rsidRPr="003600D9">
        <w:rPr>
          <w:rFonts w:ascii="Times New Roman" w:hAnsi="Times New Roman"/>
          <w:lang w:val="en-HK"/>
        </w:rPr>
        <w:t>, 2025). The potential for artificial wombs to expand reproductive options without exposing gestational carriers to physical health risks is particularly significant for individuals who cannot bear children due to severe medical conditions.</w:t>
      </w:r>
    </w:p>
    <w:p w14:paraId="10832644" w14:textId="77777777" w:rsidR="003600D9" w:rsidRPr="003600D9" w:rsidRDefault="003600D9" w:rsidP="003600D9">
      <w:pPr>
        <w:spacing w:before="100" w:beforeAutospacing="1" w:after="100" w:afterAutospacing="1"/>
        <w:rPr>
          <w:rFonts w:ascii="Times New Roman" w:hAnsi="Times New Roman"/>
          <w:lang w:val="en-HK"/>
        </w:rPr>
      </w:pPr>
      <w:r w:rsidRPr="003600D9">
        <w:rPr>
          <w:rFonts w:ascii="Times New Roman" w:hAnsi="Times New Roman"/>
          <w:lang w:val="en-HK"/>
        </w:rPr>
        <w:t xml:space="preserve">From a legal perspective, current reproductive laws often exclude non-traditional family structures. The Human Fertilisation and Embryology Acts 1990 and 2008 (HFE Acts) in the UK, for example, primarily regulate conception through biological and gestational means, reinforcing a narrow understanding of parenthood (Romanis, </w:t>
      </w:r>
      <w:r w:rsidRPr="003600D9">
        <w:rPr>
          <w:rFonts w:ascii="Times New Roman" w:hAnsi="Times New Roman"/>
          <w:i/>
          <w:iCs/>
          <w:lang w:val="en-HK"/>
        </w:rPr>
        <w:t>Biotechnology, Gestation, and the Law</w:t>
      </w:r>
      <w:r w:rsidRPr="003600D9">
        <w:rPr>
          <w:rFonts w:ascii="Times New Roman" w:hAnsi="Times New Roman"/>
          <w:lang w:val="en-HK"/>
        </w:rPr>
        <w:t xml:space="preserve">, 2025). If APT becomes widely available, legal frameworks would need to adapt to recognize diverse parental configurations, particularly those involving LGBTQ+ individuals. As Cavaliere notes, "ectogenesis disrupts the traditional association between pregnancy and womanhood, necessitating a re-evaluation of reproductive rights and gender equality" (Cavaliere, </w:t>
      </w:r>
      <w:r w:rsidRPr="003600D9">
        <w:rPr>
          <w:rFonts w:ascii="Times New Roman" w:hAnsi="Times New Roman"/>
          <w:i/>
          <w:iCs/>
          <w:lang w:val="en-HK"/>
        </w:rPr>
        <w:t>Gestation, Equality, and Freedom</w:t>
      </w:r>
      <w:r w:rsidRPr="003600D9">
        <w:rPr>
          <w:rFonts w:ascii="Times New Roman" w:hAnsi="Times New Roman"/>
          <w:lang w:val="en-HK"/>
        </w:rPr>
        <w:t>, 2020).</w:t>
      </w:r>
    </w:p>
    <w:p w14:paraId="125FBAA6" w14:textId="77777777" w:rsidR="003600D9" w:rsidRPr="003600D9" w:rsidRDefault="003600D9" w:rsidP="003600D9">
      <w:pPr>
        <w:spacing w:before="100" w:beforeAutospacing="1" w:after="100" w:afterAutospacing="1"/>
        <w:rPr>
          <w:rFonts w:ascii="Times New Roman" w:hAnsi="Times New Roman"/>
          <w:lang w:val="en-HK"/>
        </w:rPr>
      </w:pPr>
      <w:r w:rsidRPr="003600D9">
        <w:rPr>
          <w:rFonts w:ascii="Times New Roman" w:hAnsi="Times New Roman"/>
          <w:lang w:val="en-HK"/>
        </w:rPr>
        <w:t xml:space="preserve">Ectogestation may also help reduce racial disparities in maternal mortality and morbidity. Mesure contends that "Black and Indigenous women experience disproportionately high rates of maternal mortality due to systemic biases in healthcare" (Mesure, </w:t>
      </w:r>
      <w:r w:rsidRPr="003600D9">
        <w:rPr>
          <w:rFonts w:ascii="Times New Roman" w:hAnsi="Times New Roman"/>
          <w:i/>
          <w:iCs/>
          <w:lang w:val="en-HK"/>
        </w:rPr>
        <w:t>De-Gendering Gestation: The Final Impetus for Decriminalising Abortion</w:t>
      </w:r>
      <w:r w:rsidRPr="003600D9">
        <w:rPr>
          <w:rFonts w:ascii="Times New Roman" w:hAnsi="Times New Roman"/>
          <w:lang w:val="en-HK"/>
        </w:rPr>
        <w:t>, 2023). The ability to opt for artificial gestation could mitigate the heightened risks of pregnancy complications that disproportionately affect racial minority groups.</w:t>
      </w:r>
    </w:p>
    <w:p w14:paraId="7D8831C4" w14:textId="77777777" w:rsidR="003600D9" w:rsidRPr="003600D9" w:rsidRDefault="003600D9" w:rsidP="003600D9">
      <w:pPr>
        <w:spacing w:before="100" w:beforeAutospacing="1" w:after="100" w:afterAutospacing="1"/>
        <w:rPr>
          <w:rFonts w:ascii="Times New Roman" w:hAnsi="Times New Roman"/>
          <w:lang w:val="en-HK"/>
        </w:rPr>
      </w:pPr>
      <w:r w:rsidRPr="003600D9">
        <w:rPr>
          <w:rFonts w:ascii="Times New Roman" w:hAnsi="Times New Roman"/>
          <w:lang w:val="en-HK"/>
        </w:rPr>
        <w:t xml:space="preserve">Another benefit concerns the economic accessibility of parenthood. MacKay argues that "the financial and professional burdens associated with pregnancy disproportionately affect women in lower socioeconomic groups" (MacKay, </w:t>
      </w:r>
      <w:r w:rsidRPr="003600D9">
        <w:rPr>
          <w:rFonts w:ascii="Times New Roman" w:hAnsi="Times New Roman"/>
          <w:i/>
          <w:iCs/>
          <w:lang w:val="en-HK"/>
        </w:rPr>
        <w:t>The Tyranny of Reproduction: Could Ectogenesis Further Women’s Liberation?</w:t>
      </w:r>
      <w:r w:rsidRPr="003600D9">
        <w:rPr>
          <w:rFonts w:ascii="Times New Roman" w:hAnsi="Times New Roman"/>
          <w:lang w:val="en-HK"/>
        </w:rPr>
        <w:t>, 2020). Ectogenesis may provide an option for individuals who cannot afford to take extended maternity leave or who work in physically demanding environments that make pregnancy particularly challenging. By decoupling reproduction from the female body, artificial gestation could enable individuals to pursue their careers and maintain financial stability while still having biological children.</w:t>
      </w:r>
    </w:p>
    <w:p w14:paraId="4F3772BA" w14:textId="77777777" w:rsidR="00B052D8" w:rsidRPr="00B052D8" w:rsidRDefault="00B052D8" w:rsidP="00B052D8">
      <w:pPr>
        <w:spacing w:before="100" w:beforeAutospacing="1" w:after="100" w:afterAutospacing="1"/>
        <w:outlineLvl w:val="2"/>
        <w:rPr>
          <w:rFonts w:ascii="Times New Roman" w:hAnsi="Times New Roman"/>
          <w:b/>
          <w:bCs/>
          <w:sz w:val="27"/>
          <w:szCs w:val="27"/>
          <w:lang w:val="en-HK"/>
        </w:rPr>
      </w:pPr>
      <w:r w:rsidRPr="00B052D8">
        <w:rPr>
          <w:rFonts w:ascii="Times New Roman" w:hAnsi="Times New Roman"/>
          <w:b/>
          <w:bCs/>
          <w:sz w:val="27"/>
          <w:szCs w:val="27"/>
          <w:lang w:val="en-HK"/>
        </w:rPr>
        <w:t>II. Could it also have negative effects by being used as a tool to control pregnant people’s behaviour?</w:t>
      </w:r>
    </w:p>
    <w:p w14:paraId="1D393266" w14:textId="77777777" w:rsidR="00B052D8" w:rsidRPr="00B052D8" w:rsidRDefault="00B052D8" w:rsidP="00B052D8">
      <w:pPr>
        <w:spacing w:before="100" w:beforeAutospacing="1" w:after="100" w:afterAutospacing="1"/>
        <w:rPr>
          <w:rFonts w:ascii="Times New Roman" w:hAnsi="Times New Roman"/>
          <w:lang w:val="en-HK"/>
        </w:rPr>
      </w:pPr>
      <w:r w:rsidRPr="00B052D8">
        <w:rPr>
          <w:rFonts w:ascii="Times New Roman" w:hAnsi="Times New Roman"/>
          <w:lang w:val="en-HK"/>
        </w:rPr>
        <w:lastRenderedPageBreak/>
        <w:t xml:space="preserve">Despite its potential benefits, artificial placenta technology also raises significant concerns regarding reproductive control, state intervention, and the medicalisation of gestation. Scholars warn that ectogestation could become a mechanism for increased regulation and surveillance of reproductive behaviour, particularly among marginalised communities (Lee, Di Nucci, and Bidoli, </w:t>
      </w:r>
      <w:r w:rsidRPr="00B052D8">
        <w:rPr>
          <w:rFonts w:ascii="Times New Roman" w:hAnsi="Times New Roman"/>
          <w:i/>
          <w:iCs/>
          <w:lang w:val="en-HK"/>
        </w:rPr>
        <w:t>Does Ectogestation Have Oppressive Potential?</w:t>
      </w:r>
      <w:r w:rsidRPr="00B052D8">
        <w:rPr>
          <w:rFonts w:ascii="Times New Roman" w:hAnsi="Times New Roman"/>
          <w:lang w:val="en-HK"/>
        </w:rPr>
        <w:t>, 2023). The historical regulation of pregnancy, particularly through laws that criminalise substance use during pregnancy or restrict abortion access, suggests that artificial wombs could be co-opted as tools for state control.</w:t>
      </w:r>
    </w:p>
    <w:p w14:paraId="364F2AF4" w14:textId="77777777" w:rsidR="00B052D8" w:rsidRPr="00B052D8" w:rsidRDefault="00B052D8" w:rsidP="00B052D8">
      <w:pPr>
        <w:spacing w:before="100" w:beforeAutospacing="1" w:after="100" w:afterAutospacing="1"/>
        <w:rPr>
          <w:rFonts w:ascii="Times New Roman" w:hAnsi="Times New Roman"/>
          <w:lang w:val="en-HK"/>
        </w:rPr>
      </w:pPr>
      <w:r w:rsidRPr="00B052D8">
        <w:rPr>
          <w:rFonts w:ascii="Times New Roman" w:hAnsi="Times New Roman"/>
          <w:lang w:val="en-HK"/>
        </w:rPr>
        <w:t xml:space="preserve">One major concern is that the development of artificial womb technology could lead to the erosion of abortion rights. Mesure argues that "by providing an alternative to traditional abortion, artificial wombs may be used to justify restrictions on abortion access, on the grounds that fetal termination is no longer necessary" (Mesure, </w:t>
      </w:r>
      <w:r w:rsidRPr="00B052D8">
        <w:rPr>
          <w:rFonts w:ascii="Times New Roman" w:hAnsi="Times New Roman"/>
          <w:i/>
          <w:iCs/>
          <w:lang w:val="en-HK"/>
        </w:rPr>
        <w:t>De-Gendering Gestation: The Final Impetus for Decriminalising Abortion</w:t>
      </w:r>
      <w:r w:rsidRPr="00B052D8">
        <w:rPr>
          <w:rFonts w:ascii="Times New Roman" w:hAnsi="Times New Roman"/>
          <w:lang w:val="en-HK"/>
        </w:rPr>
        <w:t>, 2023). If ectogestation is framed as a way to ‘save’ unwanted fetuses rather than respecting a pregnant person's decision to terminate a pregnancy, legal frameworks could be restructured to mandate fetal transfer rather than allowing termination.</w:t>
      </w:r>
    </w:p>
    <w:p w14:paraId="162F9973" w14:textId="77777777" w:rsidR="00B052D8" w:rsidRPr="00B052D8" w:rsidRDefault="00B052D8" w:rsidP="00B052D8">
      <w:pPr>
        <w:spacing w:before="100" w:beforeAutospacing="1" w:after="100" w:afterAutospacing="1"/>
        <w:rPr>
          <w:rFonts w:ascii="Times New Roman" w:hAnsi="Times New Roman"/>
          <w:lang w:val="en-HK"/>
        </w:rPr>
      </w:pPr>
      <w:r w:rsidRPr="00B052D8">
        <w:rPr>
          <w:rFonts w:ascii="Times New Roman" w:hAnsi="Times New Roman"/>
          <w:lang w:val="en-HK"/>
        </w:rPr>
        <w:t xml:space="preserve">Romanis further notes that "the introduction of artificial wombs could reinforce the concept of fetal personhood in law, increasing restrictions on pregnant people's autonomy" (Romanis, </w:t>
      </w:r>
      <w:r w:rsidRPr="00B052D8">
        <w:rPr>
          <w:rFonts w:ascii="Times New Roman" w:hAnsi="Times New Roman"/>
          <w:i/>
          <w:iCs/>
          <w:lang w:val="en-HK"/>
        </w:rPr>
        <w:t>Artificial Womb Technology and the Choice to Gestate Ex Utero</w:t>
      </w:r>
      <w:r w:rsidRPr="00B052D8">
        <w:rPr>
          <w:rFonts w:ascii="Times New Roman" w:hAnsi="Times New Roman"/>
          <w:lang w:val="en-HK"/>
        </w:rPr>
        <w:t>, 2020). If the law begins to treat a fetus as an independent entity capable of being sustained outside the uterus at earlier gestational stages, it could bolster anti-abortion arguments and create new legal obligations for pregnant individuals. This concern is particularly significant in jurisdictions with restrictive abortion laws, where artificial gestation could be framed as an alternative to pregnancy termination.</w:t>
      </w:r>
    </w:p>
    <w:p w14:paraId="3B1E9D34" w14:textId="77777777" w:rsidR="00B052D8" w:rsidRPr="00B052D8" w:rsidRDefault="00B052D8" w:rsidP="00B052D8">
      <w:pPr>
        <w:spacing w:before="100" w:beforeAutospacing="1" w:after="100" w:afterAutospacing="1"/>
        <w:rPr>
          <w:rFonts w:ascii="Times New Roman" w:hAnsi="Times New Roman"/>
          <w:lang w:val="en-HK"/>
        </w:rPr>
      </w:pPr>
      <w:r w:rsidRPr="00B052D8">
        <w:rPr>
          <w:rFonts w:ascii="Times New Roman" w:hAnsi="Times New Roman"/>
          <w:lang w:val="en-HK"/>
        </w:rPr>
        <w:t xml:space="preserve">Another potential issue is the exacerbation of existing forms of reproductive coercion. Cavaliere warns that "ectogenesis could be deployed in ways that reinforce gender-based oppression rather than alleviating it, particularly if its use is mandated or coerced" (Cavaliere, </w:t>
      </w:r>
      <w:r w:rsidRPr="00B052D8">
        <w:rPr>
          <w:rFonts w:ascii="Times New Roman" w:hAnsi="Times New Roman"/>
          <w:i/>
          <w:iCs/>
          <w:lang w:val="en-HK"/>
        </w:rPr>
        <w:t>Gestation, Equality and Freedom: Ectogenesis as a Political Perspective</w:t>
      </w:r>
      <w:r w:rsidRPr="00B052D8">
        <w:rPr>
          <w:rFonts w:ascii="Times New Roman" w:hAnsi="Times New Roman"/>
          <w:lang w:val="en-HK"/>
        </w:rPr>
        <w:t>, 2020). For instance, if artificial gestation becomes widely available, employers and policymakers may argue that pregnancy-related accommodations, such as maternity leave or workplace protections, are unnecessary, thereby eroding hard-won labour rights.</w:t>
      </w:r>
    </w:p>
    <w:p w14:paraId="2081B839" w14:textId="77777777" w:rsidR="00B052D8" w:rsidRPr="00B052D8" w:rsidRDefault="00B052D8" w:rsidP="00B052D8">
      <w:pPr>
        <w:spacing w:before="100" w:beforeAutospacing="1" w:after="100" w:afterAutospacing="1"/>
        <w:rPr>
          <w:rFonts w:ascii="Times New Roman" w:hAnsi="Times New Roman"/>
          <w:lang w:val="en-HK"/>
        </w:rPr>
      </w:pPr>
      <w:r w:rsidRPr="00B052D8">
        <w:rPr>
          <w:rFonts w:ascii="Times New Roman" w:hAnsi="Times New Roman"/>
          <w:lang w:val="en-HK"/>
        </w:rPr>
        <w:t xml:space="preserve">Furthermore, artificial wombs may contribute to racial and socioeconomic disparities in reproductive control. Historically, reproductive technologies have been used to regulate and control marginalised populations, from forced sterilisation programs targeting Black, Indigenous, and disabled individuals to coercive contraceptive policies (Kimberly, Sutter, and Quinn, </w:t>
      </w:r>
      <w:r w:rsidRPr="00B052D8">
        <w:rPr>
          <w:rFonts w:ascii="Times New Roman" w:hAnsi="Times New Roman"/>
          <w:i/>
          <w:iCs/>
          <w:lang w:val="en-HK"/>
        </w:rPr>
        <w:t>Equitable Access to Ectogenesis for Sexual and Gender Minorities</w:t>
      </w:r>
      <w:r w:rsidRPr="00B052D8">
        <w:rPr>
          <w:rFonts w:ascii="Times New Roman" w:hAnsi="Times New Roman"/>
          <w:lang w:val="en-HK"/>
        </w:rPr>
        <w:t>, 2020). The potential for artificial wombs to be used as a state-mandated alternative to natural gestation raises ethical concerns about consent and bodily autonomy. If governments or institutions dictate who must use ectogestation and under what conditions, it could become a means of regulating the reproduction of disadvantaged groups.</w:t>
      </w:r>
    </w:p>
    <w:p w14:paraId="2B851E80" w14:textId="77777777" w:rsidR="00B052D8" w:rsidRPr="00B052D8" w:rsidRDefault="00B052D8" w:rsidP="00B052D8">
      <w:pPr>
        <w:spacing w:before="100" w:beforeAutospacing="1" w:after="100" w:afterAutospacing="1"/>
        <w:rPr>
          <w:rFonts w:ascii="Times New Roman" w:hAnsi="Times New Roman"/>
          <w:lang w:val="en-HK"/>
        </w:rPr>
      </w:pPr>
      <w:r w:rsidRPr="00B052D8">
        <w:rPr>
          <w:rFonts w:ascii="Times New Roman" w:hAnsi="Times New Roman"/>
          <w:lang w:val="en-HK"/>
        </w:rPr>
        <w:t xml:space="preserve">Lee et al. argue that "the use of ectogestation must be critically examined in light of existing power structures, as it could easily become a means of enforcing reproductive conformity rather than expanding reproductive freedom" (Lee, Di Nucci, and Bidoli, </w:t>
      </w:r>
      <w:r w:rsidRPr="00B052D8">
        <w:rPr>
          <w:rFonts w:ascii="Times New Roman" w:hAnsi="Times New Roman"/>
          <w:i/>
          <w:iCs/>
          <w:lang w:val="en-HK"/>
        </w:rPr>
        <w:t>Does Ectogestation Have Oppressive Potential?</w:t>
      </w:r>
      <w:r w:rsidRPr="00B052D8">
        <w:rPr>
          <w:rFonts w:ascii="Times New Roman" w:hAnsi="Times New Roman"/>
          <w:lang w:val="en-HK"/>
        </w:rPr>
        <w:t xml:space="preserve">, 2023). If the state or medical institutions dictate the conditions </w:t>
      </w:r>
      <w:r w:rsidRPr="00B052D8">
        <w:rPr>
          <w:rFonts w:ascii="Times New Roman" w:hAnsi="Times New Roman"/>
          <w:lang w:val="en-HK"/>
        </w:rPr>
        <w:lastRenderedPageBreak/>
        <w:t>under which pregnancy must occur, reproductive autonomy may be compromised rather than enhanced.</w:t>
      </w:r>
    </w:p>
    <w:p w14:paraId="2CEFEC64" w14:textId="77777777" w:rsidR="00B052D8" w:rsidRPr="00B052D8" w:rsidRDefault="00B052D8" w:rsidP="00B052D8">
      <w:pPr>
        <w:spacing w:before="100" w:beforeAutospacing="1" w:after="100" w:afterAutospacing="1"/>
        <w:rPr>
          <w:rFonts w:ascii="Times New Roman" w:hAnsi="Times New Roman"/>
          <w:lang w:val="en-HK"/>
        </w:rPr>
      </w:pPr>
      <w:r w:rsidRPr="00B052D8">
        <w:rPr>
          <w:rFonts w:ascii="Times New Roman" w:hAnsi="Times New Roman"/>
          <w:lang w:val="en-HK"/>
        </w:rPr>
        <w:t xml:space="preserve">In conclusion, while artificial placenta technology offers numerous benefits, particularly for minority groups, its potential for reproductive control and legal restrictions must not be overlooked. Scholars emphasise that ectogenesis must be implemented with careful ethical, legal, and social considerations to prevent it from reinforcing existing inequalities. As Cavaliere warns, "technology alone cannot dismantle oppression—without structural reform, ectogestation risks becoming another tool of reproductive surveillance rather than a mechanism of liberation" (Cavaliere, </w:t>
      </w:r>
      <w:r w:rsidRPr="00B052D8">
        <w:rPr>
          <w:rFonts w:ascii="Times New Roman" w:hAnsi="Times New Roman"/>
          <w:i/>
          <w:iCs/>
          <w:lang w:val="en-HK"/>
        </w:rPr>
        <w:t>Ectogenesis and Gender-Based Oppression</w:t>
      </w:r>
      <w:r w:rsidRPr="00B052D8">
        <w:rPr>
          <w:rFonts w:ascii="Times New Roman" w:hAnsi="Times New Roman"/>
          <w:lang w:val="en-HK"/>
        </w:rPr>
        <w:t>, 2020).</w:t>
      </w:r>
    </w:p>
    <w:p w14:paraId="3AC3E238" w14:textId="77777777" w:rsidR="00B052D8" w:rsidRDefault="00B052D8" w:rsidP="00CC204A">
      <w:pPr>
        <w:pStyle w:val="NormalWeb"/>
        <w:rPr>
          <w:rFonts w:ascii="SymbolMT" w:hAnsi="SymbolMT"/>
        </w:rPr>
      </w:pPr>
    </w:p>
    <w:p w14:paraId="0EEDAE06" w14:textId="77777777" w:rsidR="00CD39F1" w:rsidRDefault="00CD39F1"/>
    <w:sectPr w:rsidR="00CD3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badi Extra Light">
    <w:panose1 w:val="020B0204020104020204"/>
    <w:charset w:val="00"/>
    <w:family w:val="swiss"/>
    <w:pitch w:val="variable"/>
    <w:sig w:usb0="80000003" w:usb1="00000000" w:usb2="00000000" w:usb3="00000000" w:csb0="00000001" w:csb1="00000000"/>
  </w:font>
  <w:font w:name="SymbolM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0AAC"/>
    <w:multiLevelType w:val="multilevel"/>
    <w:tmpl w:val="2D1AB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80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BF"/>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00D9"/>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3440C"/>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743EA"/>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37AB0"/>
    <w:rsid w:val="00A4085F"/>
    <w:rsid w:val="00A45953"/>
    <w:rsid w:val="00A93FBA"/>
    <w:rsid w:val="00A95C7E"/>
    <w:rsid w:val="00AA4EBF"/>
    <w:rsid w:val="00AB609D"/>
    <w:rsid w:val="00AC3AB8"/>
    <w:rsid w:val="00AE4348"/>
    <w:rsid w:val="00AE4BAF"/>
    <w:rsid w:val="00B03D5A"/>
    <w:rsid w:val="00B052D8"/>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04A"/>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B717"/>
  <w15:chartTrackingRefBased/>
  <w15:docId w15:val="{478FD1FD-7BE4-5B43-A22F-B980F492D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A4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4EB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E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4E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4E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E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E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E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BF"/>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A4EBF"/>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A4EBF"/>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AA4EBF"/>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A4EBF"/>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A4EBF"/>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A4EBF"/>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A4EBF"/>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A4EBF"/>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A4E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EBF"/>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A4E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EBF"/>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A4E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EBF"/>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A4EBF"/>
    <w:pPr>
      <w:ind w:left="720"/>
      <w:contextualSpacing/>
    </w:pPr>
  </w:style>
  <w:style w:type="character" w:styleId="IntenseEmphasis">
    <w:name w:val="Intense Emphasis"/>
    <w:basedOn w:val="DefaultParagraphFont"/>
    <w:uiPriority w:val="21"/>
    <w:qFormat/>
    <w:rsid w:val="00AA4EBF"/>
    <w:rPr>
      <w:i/>
      <w:iCs/>
      <w:color w:val="2F5496" w:themeColor="accent1" w:themeShade="BF"/>
    </w:rPr>
  </w:style>
  <w:style w:type="paragraph" w:styleId="IntenseQuote">
    <w:name w:val="Intense Quote"/>
    <w:basedOn w:val="Normal"/>
    <w:next w:val="Normal"/>
    <w:link w:val="IntenseQuoteChar"/>
    <w:uiPriority w:val="30"/>
    <w:qFormat/>
    <w:rsid w:val="00AA4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EBF"/>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A4EBF"/>
    <w:rPr>
      <w:b/>
      <w:bCs/>
      <w:smallCaps/>
      <w:color w:val="2F5496" w:themeColor="accent1" w:themeShade="BF"/>
      <w:spacing w:val="5"/>
    </w:rPr>
  </w:style>
  <w:style w:type="paragraph" w:styleId="NormalWeb">
    <w:name w:val="Normal (Web)"/>
    <w:basedOn w:val="Normal"/>
    <w:uiPriority w:val="99"/>
    <w:semiHidden/>
    <w:unhideWhenUsed/>
    <w:rsid w:val="00CC204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43440C"/>
    <w:rPr>
      <w:i/>
      <w:iCs/>
    </w:rPr>
  </w:style>
  <w:style w:type="character" w:styleId="Strong">
    <w:name w:val="Strong"/>
    <w:basedOn w:val="DefaultParagraphFont"/>
    <w:uiPriority w:val="22"/>
    <w:qFormat/>
    <w:rsid w:val="00B052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61108">
      <w:bodyDiv w:val="1"/>
      <w:marLeft w:val="0"/>
      <w:marRight w:val="0"/>
      <w:marTop w:val="0"/>
      <w:marBottom w:val="0"/>
      <w:divBdr>
        <w:top w:val="none" w:sz="0" w:space="0" w:color="auto"/>
        <w:left w:val="none" w:sz="0" w:space="0" w:color="auto"/>
        <w:bottom w:val="none" w:sz="0" w:space="0" w:color="auto"/>
        <w:right w:val="none" w:sz="0" w:space="0" w:color="auto"/>
      </w:divBdr>
    </w:div>
    <w:div w:id="393091663">
      <w:bodyDiv w:val="1"/>
      <w:marLeft w:val="0"/>
      <w:marRight w:val="0"/>
      <w:marTop w:val="0"/>
      <w:marBottom w:val="0"/>
      <w:divBdr>
        <w:top w:val="none" w:sz="0" w:space="0" w:color="auto"/>
        <w:left w:val="none" w:sz="0" w:space="0" w:color="auto"/>
        <w:bottom w:val="none" w:sz="0" w:space="0" w:color="auto"/>
        <w:right w:val="none" w:sz="0" w:space="0" w:color="auto"/>
      </w:divBdr>
    </w:div>
    <w:div w:id="513881498">
      <w:bodyDiv w:val="1"/>
      <w:marLeft w:val="0"/>
      <w:marRight w:val="0"/>
      <w:marTop w:val="0"/>
      <w:marBottom w:val="0"/>
      <w:divBdr>
        <w:top w:val="none" w:sz="0" w:space="0" w:color="auto"/>
        <w:left w:val="none" w:sz="0" w:space="0" w:color="auto"/>
        <w:bottom w:val="none" w:sz="0" w:space="0" w:color="auto"/>
        <w:right w:val="none" w:sz="0" w:space="0" w:color="auto"/>
      </w:divBdr>
    </w:div>
    <w:div w:id="633215130">
      <w:bodyDiv w:val="1"/>
      <w:marLeft w:val="0"/>
      <w:marRight w:val="0"/>
      <w:marTop w:val="0"/>
      <w:marBottom w:val="0"/>
      <w:divBdr>
        <w:top w:val="none" w:sz="0" w:space="0" w:color="auto"/>
        <w:left w:val="none" w:sz="0" w:space="0" w:color="auto"/>
        <w:bottom w:val="none" w:sz="0" w:space="0" w:color="auto"/>
        <w:right w:val="none" w:sz="0" w:space="0" w:color="auto"/>
      </w:divBdr>
    </w:div>
    <w:div w:id="1808743083">
      <w:bodyDiv w:val="1"/>
      <w:marLeft w:val="0"/>
      <w:marRight w:val="0"/>
      <w:marTop w:val="0"/>
      <w:marBottom w:val="0"/>
      <w:divBdr>
        <w:top w:val="none" w:sz="0" w:space="0" w:color="auto"/>
        <w:left w:val="none" w:sz="0" w:space="0" w:color="auto"/>
        <w:bottom w:val="none" w:sz="0" w:space="0" w:color="auto"/>
        <w:right w:val="none" w:sz="0" w:space="0" w:color="auto"/>
      </w:divBdr>
    </w:div>
    <w:div w:id="1933202164">
      <w:bodyDiv w:val="1"/>
      <w:marLeft w:val="0"/>
      <w:marRight w:val="0"/>
      <w:marTop w:val="0"/>
      <w:marBottom w:val="0"/>
      <w:divBdr>
        <w:top w:val="none" w:sz="0" w:space="0" w:color="auto"/>
        <w:left w:val="none" w:sz="0" w:space="0" w:color="auto"/>
        <w:bottom w:val="none" w:sz="0" w:space="0" w:color="auto"/>
        <w:right w:val="none" w:sz="0" w:space="0" w:color="auto"/>
      </w:divBdr>
      <w:divsChild>
        <w:div w:id="1005091855">
          <w:marLeft w:val="0"/>
          <w:marRight w:val="0"/>
          <w:marTop w:val="0"/>
          <w:marBottom w:val="0"/>
          <w:divBdr>
            <w:top w:val="none" w:sz="0" w:space="0" w:color="auto"/>
            <w:left w:val="none" w:sz="0" w:space="0" w:color="auto"/>
            <w:bottom w:val="none" w:sz="0" w:space="0" w:color="auto"/>
            <w:right w:val="none" w:sz="0" w:space="0" w:color="auto"/>
          </w:divBdr>
          <w:divsChild>
            <w:div w:id="2038776194">
              <w:marLeft w:val="0"/>
              <w:marRight w:val="0"/>
              <w:marTop w:val="0"/>
              <w:marBottom w:val="0"/>
              <w:divBdr>
                <w:top w:val="none" w:sz="0" w:space="0" w:color="auto"/>
                <w:left w:val="none" w:sz="0" w:space="0" w:color="auto"/>
                <w:bottom w:val="none" w:sz="0" w:space="0" w:color="auto"/>
                <w:right w:val="none" w:sz="0" w:space="0" w:color="auto"/>
              </w:divBdr>
              <w:divsChild>
                <w:div w:id="5664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1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3324</Words>
  <Characters>18947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2025-02-04T19:38:00Z</dcterms:created>
  <dcterms:modified xsi:type="dcterms:W3CDTF">2025-02-04T21:48:00Z</dcterms:modified>
</cp:coreProperties>
</file>