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1A8BD" w14:textId="77777777" w:rsidR="000B5F3D" w:rsidRDefault="00000000">
      <w:pPr>
        <w:jc w:val="center"/>
        <w:rPr>
          <w:b/>
          <w:bCs/>
        </w:rPr>
      </w:pPr>
      <w:r>
        <w:rPr>
          <w:b/>
          <w:bCs/>
        </w:rPr>
        <w:t>CONTEMPORARY ISSUES IN BIOLAW</w:t>
      </w:r>
    </w:p>
    <w:p w14:paraId="6DE33CB4" w14:textId="77777777" w:rsidR="000B5F3D" w:rsidRDefault="00000000">
      <w:pPr>
        <w:jc w:val="center"/>
        <w:rPr>
          <w:b/>
          <w:bCs/>
        </w:rPr>
      </w:pPr>
      <w:r>
        <w:rPr>
          <w:b/>
          <w:bCs/>
        </w:rPr>
        <w:t>TOPIC 4 – ATTRACTING INVESTMENT IN RENEWABLE ENERGY</w:t>
      </w:r>
    </w:p>
    <w:p w14:paraId="419CA60C" w14:textId="77777777" w:rsidR="000B5F3D" w:rsidRDefault="00000000">
      <w:pPr>
        <w:jc w:val="center"/>
        <w:rPr>
          <w:b/>
          <w:bCs/>
        </w:rPr>
      </w:pPr>
      <w:r>
        <w:rPr>
          <w:b/>
          <w:bCs/>
        </w:rPr>
        <w:t>SEMINAR PREPARATION AND QUESTIONS</w:t>
      </w:r>
    </w:p>
    <w:p w14:paraId="319B007D" w14:textId="77777777" w:rsidR="000B5F3D" w:rsidRDefault="00000000">
      <w:pPr>
        <w:rPr>
          <w:b/>
          <w:bCs/>
        </w:rPr>
      </w:pPr>
      <w:r>
        <w:rPr>
          <w:b/>
          <w:bCs/>
        </w:rPr>
        <w:t>PREPARATION</w:t>
      </w:r>
    </w:p>
    <w:p w14:paraId="226E84FE" w14:textId="77777777" w:rsidR="000B5F3D" w:rsidRDefault="00000000">
      <w:pPr>
        <w:jc w:val="both"/>
      </w:pPr>
      <w:r>
        <w:t>See the guidance at Seminar 4 of the topic handout.  As it advises, do the compulsory reading for the lectures and acquaint yourselves thoroughly with the course teaching (the recordings and PowerPoints).  Build on the knowledge and understanding of the subject matter you attain through that preparation if you have time by using additional reading materials set out in the course handbook for each lecture.</w:t>
      </w:r>
    </w:p>
    <w:p w14:paraId="04F0C5FD" w14:textId="77777777" w:rsidR="000B5F3D" w:rsidRDefault="00000000">
      <w:pPr>
        <w:jc w:val="both"/>
      </w:pPr>
      <w:r>
        <w:t xml:space="preserve">Note that I am removing the paper by Khodadadi and </w:t>
      </w:r>
      <w:proofErr w:type="spellStart"/>
      <w:r>
        <w:t>Poudineh</w:t>
      </w:r>
      <w:proofErr w:type="spellEnd"/>
      <w:r>
        <w:t xml:space="preserve"> from Additional Reading for Lecture 3.  Looking at it again, it’s less helpful than I thought it might be for understanding the subject matter.</w:t>
      </w:r>
    </w:p>
    <w:p w14:paraId="23E839DA" w14:textId="77777777" w:rsidR="000B5F3D" w:rsidRDefault="00000000">
      <w:pPr>
        <w:jc w:val="both"/>
      </w:pPr>
      <w:r>
        <w:t>The particular questions we will be considering in the seminar are set out below.  Many of them overlap with questions included in the topic handout for consideration by you when doing compulsory reading for the lectures.  I suggested in the topic handout that you may find it useful to note down written answers to those questions after doing the compulsory reading.  If you did that then look back at your answers and draw from them when preparing for the topic seminar.</w:t>
      </w:r>
    </w:p>
    <w:p w14:paraId="3D6BA7F0" w14:textId="77777777" w:rsidR="00A07D9F" w:rsidRDefault="00A07D9F">
      <w:pPr>
        <w:jc w:val="both"/>
        <w:rPr>
          <w:b/>
          <w:bCs/>
        </w:rPr>
      </w:pPr>
    </w:p>
    <w:p w14:paraId="519314FE" w14:textId="77777777" w:rsidR="00A07D9F" w:rsidRDefault="00A07D9F">
      <w:pPr>
        <w:jc w:val="both"/>
        <w:rPr>
          <w:b/>
          <w:bCs/>
        </w:rPr>
      </w:pPr>
    </w:p>
    <w:p w14:paraId="188DEB97" w14:textId="77777777" w:rsidR="00A07D9F" w:rsidRDefault="00A07D9F">
      <w:pPr>
        <w:jc w:val="both"/>
        <w:rPr>
          <w:b/>
          <w:bCs/>
        </w:rPr>
      </w:pPr>
    </w:p>
    <w:p w14:paraId="1ADD3853" w14:textId="77777777" w:rsidR="00A07D9F" w:rsidRDefault="00A07D9F">
      <w:pPr>
        <w:jc w:val="both"/>
        <w:rPr>
          <w:b/>
          <w:bCs/>
        </w:rPr>
      </w:pPr>
    </w:p>
    <w:p w14:paraId="6497F215" w14:textId="77777777" w:rsidR="00A07D9F" w:rsidRDefault="00A07D9F">
      <w:pPr>
        <w:jc w:val="both"/>
        <w:rPr>
          <w:b/>
          <w:bCs/>
        </w:rPr>
      </w:pPr>
    </w:p>
    <w:p w14:paraId="0BD8778E" w14:textId="77777777" w:rsidR="00A07D9F" w:rsidRDefault="00A07D9F">
      <w:pPr>
        <w:jc w:val="both"/>
        <w:rPr>
          <w:b/>
          <w:bCs/>
        </w:rPr>
      </w:pPr>
    </w:p>
    <w:p w14:paraId="68BBC6FF" w14:textId="77777777" w:rsidR="00A07D9F" w:rsidRDefault="00A07D9F">
      <w:pPr>
        <w:jc w:val="both"/>
        <w:rPr>
          <w:b/>
          <w:bCs/>
        </w:rPr>
      </w:pPr>
    </w:p>
    <w:p w14:paraId="2D28E0A0" w14:textId="77777777" w:rsidR="00A07D9F" w:rsidRDefault="00A07D9F">
      <w:pPr>
        <w:jc w:val="both"/>
        <w:rPr>
          <w:b/>
          <w:bCs/>
        </w:rPr>
      </w:pPr>
    </w:p>
    <w:p w14:paraId="2DA20757" w14:textId="77777777" w:rsidR="00A07D9F" w:rsidRDefault="00A07D9F">
      <w:pPr>
        <w:jc w:val="both"/>
        <w:rPr>
          <w:b/>
          <w:bCs/>
        </w:rPr>
      </w:pPr>
    </w:p>
    <w:p w14:paraId="759A341A" w14:textId="77777777" w:rsidR="00A07D9F" w:rsidRDefault="00A07D9F">
      <w:pPr>
        <w:jc w:val="both"/>
        <w:rPr>
          <w:b/>
          <w:bCs/>
        </w:rPr>
      </w:pPr>
    </w:p>
    <w:p w14:paraId="6D5EAFCF" w14:textId="77777777" w:rsidR="00A07D9F" w:rsidRDefault="00A07D9F">
      <w:pPr>
        <w:jc w:val="both"/>
        <w:rPr>
          <w:b/>
          <w:bCs/>
        </w:rPr>
      </w:pPr>
    </w:p>
    <w:p w14:paraId="5585D116" w14:textId="77777777" w:rsidR="00A07D9F" w:rsidRDefault="00A07D9F">
      <w:pPr>
        <w:jc w:val="both"/>
        <w:rPr>
          <w:b/>
          <w:bCs/>
        </w:rPr>
      </w:pPr>
    </w:p>
    <w:p w14:paraId="38C905D1" w14:textId="77777777" w:rsidR="00A07D9F" w:rsidRDefault="00A07D9F">
      <w:pPr>
        <w:jc w:val="both"/>
        <w:rPr>
          <w:b/>
          <w:bCs/>
        </w:rPr>
      </w:pPr>
    </w:p>
    <w:p w14:paraId="3E8E85DF" w14:textId="77777777" w:rsidR="00A07D9F" w:rsidRDefault="00A07D9F">
      <w:pPr>
        <w:jc w:val="both"/>
        <w:rPr>
          <w:b/>
          <w:bCs/>
        </w:rPr>
      </w:pPr>
    </w:p>
    <w:p w14:paraId="1F0029DA" w14:textId="7CB2976C" w:rsidR="000B5F3D" w:rsidRDefault="00000000">
      <w:pPr>
        <w:jc w:val="both"/>
      </w:pPr>
      <w:r>
        <w:rPr>
          <w:b/>
          <w:bCs/>
        </w:rPr>
        <w:lastRenderedPageBreak/>
        <w:t>QUESTIONS</w:t>
      </w:r>
      <w:r>
        <w:t xml:space="preserve">  </w:t>
      </w:r>
    </w:p>
    <w:p w14:paraId="645258E0" w14:textId="77777777" w:rsidR="000B5F3D" w:rsidRDefault="00000000">
      <w:pPr>
        <w:jc w:val="both"/>
      </w:pPr>
      <w:r>
        <w:t>1.What is the main question for renewable energy developers when deciding whether or not to proceed with a renewable energy development?  The same question will also be asked by actors who enable renewable energy development by providing loans.</w:t>
      </w:r>
    </w:p>
    <w:p w14:paraId="46286A8F" w14:textId="77777777" w:rsidR="000B5F3D" w:rsidRDefault="00000000">
      <w:pPr>
        <w:jc w:val="both"/>
      </w:pPr>
      <w:r>
        <w:t>2.Perception of renewable energy developments as risky may deter developers from deciding to undertake developments or financiers from loaning funds at affordable interest rates.  Identify types of risk that may lead developers and/or financiers to perceive a proposed renewable energy development in this way.</w:t>
      </w:r>
    </w:p>
    <w:p w14:paraId="6E92C00F" w14:textId="77777777" w:rsidR="00703941" w:rsidRDefault="00703941" w:rsidP="00703941">
      <w:pPr>
        <w:pStyle w:val="Heading3"/>
      </w:pPr>
      <w:r>
        <w:t>Question 1: What is the main question for renewable energy developers when deciding whether or not to proceed with a renewable energy development? The same question will also be asked by actors who enable renewable energy development by providing loans.</w:t>
      </w:r>
    </w:p>
    <w:p w14:paraId="0EDEF22B" w14:textId="77777777" w:rsidR="00703941" w:rsidRDefault="00703941" w:rsidP="00703941">
      <w:pPr>
        <w:pStyle w:val="break-words"/>
      </w:pPr>
      <w:r>
        <w:t xml:space="preserve">From the documents </w:t>
      </w:r>
      <w:proofErr w:type="spellStart"/>
      <w:r>
        <w:t>analyzed</w:t>
      </w:r>
      <w:proofErr w:type="spellEnd"/>
      <w:r>
        <w:t xml:space="preserve">, particularly </w:t>
      </w:r>
      <w:r>
        <w:rPr>
          <w:rStyle w:val="Emphasis"/>
        </w:rPr>
        <w:t>Renewable Energy Law</w:t>
      </w:r>
      <w:r>
        <w:t xml:space="preserve"> by Olivia Woolley (2023), </w:t>
      </w:r>
      <w:r>
        <w:rPr>
          <w:rStyle w:val="Emphasis"/>
        </w:rPr>
        <w:t>Renewable Energy Law and Development: Case Study Analysis</w:t>
      </w:r>
      <w:r>
        <w:t xml:space="preserve"> by Richard L. </w:t>
      </w:r>
      <w:proofErr w:type="spellStart"/>
      <w:r>
        <w:t>Ottinger</w:t>
      </w:r>
      <w:proofErr w:type="spellEnd"/>
      <w:r>
        <w:t xml:space="preserve"> (2013), and </w:t>
      </w:r>
      <w:r>
        <w:rPr>
          <w:rStyle w:val="Emphasis"/>
        </w:rPr>
        <w:t>The European Experience with Renewable Energy Support Schemes and Their Adoption: Potential Lessons for Other Countries</w:t>
      </w:r>
      <w:r>
        <w:t xml:space="preserve"> by </w:t>
      </w:r>
      <w:proofErr w:type="spellStart"/>
      <w:r>
        <w:t>Volkmar</w:t>
      </w:r>
      <w:proofErr w:type="spellEnd"/>
      <w:r>
        <w:t xml:space="preserve"> Lauber (2011), the primary question for both renewable energy developers and financiers revolves around </w:t>
      </w:r>
      <w:r>
        <w:rPr>
          <w:rStyle w:val="Strong"/>
        </w:rPr>
        <w:t>the economic viability and stability of the project in the context of governmental support and market conditions</w:t>
      </w:r>
      <w:r>
        <w:t xml:space="preserve">. Specifically, the central inquiry can be articulated as: </w:t>
      </w:r>
      <w:r>
        <w:rPr>
          <w:rStyle w:val="Strong"/>
        </w:rPr>
        <w:t>"Will the renewable energy development generate a sufficient and predictable return on investment, supported by stable legal and financial frameworks, to justify the initial capital expenditure and ongoing operational costs?"</w:t>
      </w:r>
    </w:p>
    <w:p w14:paraId="19FD12B2" w14:textId="77777777" w:rsidR="00703941" w:rsidRDefault="00703941" w:rsidP="00703941">
      <w:pPr>
        <w:pStyle w:val="break-words"/>
      </w:pPr>
      <w:r>
        <w:t xml:space="preserve">For developers, this question emerges clearly in Woolley’s discussion of subsidies and operating support (Woolley, </w:t>
      </w:r>
      <w:r>
        <w:rPr>
          <w:rStyle w:val="Emphasis"/>
        </w:rPr>
        <w:t>Renewable Energy Law</w:t>
      </w:r>
      <w:r>
        <w:t>, 2023, pp. 102-110; pp. 111-124). She emphasizes that developers assess whether government subsidies—such as feed-in tariffs or tax incentives—are robust and reliable enough to offset the high upfront costs of renewable energy projects, such as wind farms or solar installations. For instance, Woolley highlights case studies where developers proceeded with projects only after securing long-term subsidy commitments, as seen in the UK’s Contracts for Difference (</w:t>
      </w:r>
      <w:proofErr w:type="spellStart"/>
      <w:r>
        <w:t>CfD</w:t>
      </w:r>
      <w:proofErr w:type="spellEnd"/>
      <w:r>
        <w:t xml:space="preserve">) scheme (Woolley, </w:t>
      </w:r>
      <w:r>
        <w:rPr>
          <w:rStyle w:val="Emphasis"/>
        </w:rPr>
        <w:t>Renewable Energy Law</w:t>
      </w:r>
      <w:r>
        <w:t xml:space="preserve">, 2023, pp. 111-124). Similarly, </w:t>
      </w:r>
      <w:proofErr w:type="spellStart"/>
      <w:r>
        <w:t>Ottinger’s</w:t>
      </w:r>
      <w:proofErr w:type="spellEnd"/>
      <w:r>
        <w:t xml:space="preserve"> case studies, including analyses of wind energy projects in developing nations, underscore that developers prioritize the certainty of revenue streams, often tied to power purchase agreements (PPAs) backed by governmental guarantees (</w:t>
      </w:r>
      <w:proofErr w:type="spellStart"/>
      <w:r>
        <w:t>Ottinger</w:t>
      </w:r>
      <w:proofErr w:type="spellEnd"/>
      <w:r>
        <w:t xml:space="preserve">, </w:t>
      </w:r>
      <w:r>
        <w:rPr>
          <w:rStyle w:val="Emphasis"/>
        </w:rPr>
        <w:t>Renewable Energy Law and Development: Case Study Analysis</w:t>
      </w:r>
      <w:r>
        <w:t>, 2013, pp. 45-60).</w:t>
      </w:r>
    </w:p>
    <w:p w14:paraId="1CC2FD8C" w14:textId="77777777" w:rsidR="00703941" w:rsidRDefault="00703941" w:rsidP="00703941">
      <w:pPr>
        <w:pStyle w:val="break-words"/>
      </w:pPr>
      <w:r>
        <w:t xml:space="preserve">For financiers—those providing loans—the same question applies but is reframed through the lens of risk mitigation and repayment assurance. Woolley notes that lenders evaluate the "bankability" of a project, which hinges on the predictability of cash flows supported by subsidies or market mechanisms (Woolley, </w:t>
      </w:r>
      <w:r>
        <w:rPr>
          <w:rStyle w:val="Emphasis"/>
        </w:rPr>
        <w:t>Renewable Energy Law</w:t>
      </w:r>
      <w:r>
        <w:t xml:space="preserve">, 2023, pp. 102-110). Lauber’s examination of European support schemes further illustrates this, showing that financiers in Germany and Spain were more willing to fund projects under stable feed-in tariff regimes compared to less predictable market-based systems (Lauber, </w:t>
      </w:r>
      <w:r>
        <w:rPr>
          <w:rStyle w:val="Emphasis"/>
        </w:rPr>
        <w:t>Renewable Energy Law and Policy Review</w:t>
      </w:r>
      <w:r>
        <w:t xml:space="preserve">, 2011, pp. 15-20). The IPCC report also reinforces this, noting that </w:t>
      </w:r>
      <w:r>
        <w:lastRenderedPageBreak/>
        <w:t xml:space="preserve">policy stability is a critical determinant for attracting private investment (IPCC, </w:t>
      </w:r>
      <w:r>
        <w:rPr>
          <w:rStyle w:val="Emphasis"/>
        </w:rPr>
        <w:t>Renewable Energy Sources and Climate Change Mitigation</w:t>
      </w:r>
      <w:r>
        <w:t>, 2012, pp. 25-30).</w:t>
      </w:r>
    </w:p>
    <w:p w14:paraId="7F85B740" w14:textId="77777777" w:rsidR="00703941" w:rsidRDefault="00703941" w:rsidP="00703941">
      <w:pPr>
        <w:pStyle w:val="break-words"/>
      </w:pPr>
      <w:r>
        <w:t>Thus, the main question unites developers and financiers in their focus on whether the legal and policy framework ensures economic feasibility. Without such assurances, developers may abandon projects, and financiers may withhold affordable loans, rendering the development unfeasible.</w:t>
      </w:r>
    </w:p>
    <w:p w14:paraId="2C3C0865" w14:textId="6C28E362" w:rsidR="00CC5B40" w:rsidRDefault="00CC5B40" w:rsidP="00703941">
      <w:pPr>
        <w:pStyle w:val="break-words"/>
      </w:pPr>
      <w:r>
        <w:sym w:font="Wingdings" w:char="F0E0"/>
      </w:r>
      <w:r>
        <w:t xml:space="preserve"> inflation </w:t>
      </w:r>
      <w:r>
        <w:sym w:font="Wingdings" w:char="F0E0"/>
      </w:r>
      <w:r>
        <w:t xml:space="preserve"> profit margin </w:t>
      </w:r>
    </w:p>
    <w:p w14:paraId="05D7A1C3" w14:textId="4660292B" w:rsidR="00CC5B40" w:rsidRDefault="00CC5B40" w:rsidP="00703941">
      <w:pPr>
        <w:pStyle w:val="break-words"/>
      </w:pPr>
      <w:r>
        <w:sym w:font="Wingdings" w:char="F0E0"/>
      </w:r>
      <w:r>
        <w:t xml:space="preserve"> can cost be covered by the revenue generated </w:t>
      </w:r>
    </w:p>
    <w:p w14:paraId="47D418D2" w14:textId="77777777" w:rsidR="00703941" w:rsidRDefault="00D00B96" w:rsidP="00703941">
      <w:r>
        <w:rPr>
          <w:noProof/>
        </w:rPr>
      </w:r>
      <w:r>
        <w:pict w14:anchorId="43903322">
          <v:rect id="Horizontal Line 1"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EC912D2" w14:textId="77777777" w:rsidR="00703941" w:rsidRDefault="00703941" w:rsidP="00703941">
      <w:pPr>
        <w:pStyle w:val="Heading3"/>
      </w:pPr>
      <w:r>
        <w:t>Question 2: Perception of renewable energy developments as risky may deter developers from deciding to undertake developments or financiers from loaning funds at affordable interest rates. Identify types of risk that may lead developers and/or financiers to perceive a proposed renewable energy development in this way.</w:t>
      </w:r>
    </w:p>
    <w:p w14:paraId="72E3D6A8" w14:textId="2275AE28" w:rsidR="00703941" w:rsidRDefault="00CC5B40" w:rsidP="00703941">
      <w:pPr>
        <w:pStyle w:val="break-words"/>
      </w:pPr>
      <w:r>
        <w:rPr>
          <w:rStyle w:val="Strong"/>
        </w:rPr>
        <w:t>R</w:t>
      </w:r>
      <w:r w:rsidR="00703941">
        <w:rPr>
          <w:rStyle w:val="Strong"/>
        </w:rPr>
        <w:t>egulatory risk</w:t>
      </w:r>
      <w:r w:rsidR="00703941">
        <w:t xml:space="preserve">, </w:t>
      </w:r>
      <w:r w:rsidR="00703941">
        <w:rPr>
          <w:rStyle w:val="Strong"/>
        </w:rPr>
        <w:t>financial risk</w:t>
      </w:r>
      <w:r w:rsidR="00703941">
        <w:t xml:space="preserve">, </w:t>
      </w:r>
      <w:r w:rsidR="00703941">
        <w:rPr>
          <w:rStyle w:val="Strong"/>
        </w:rPr>
        <w:t>technical risk</w:t>
      </w:r>
      <w:r w:rsidR="00703941">
        <w:t xml:space="preserve">, and </w:t>
      </w:r>
      <w:r w:rsidR="00703941">
        <w:rPr>
          <w:rStyle w:val="Strong"/>
        </w:rPr>
        <w:t>market risk</w:t>
      </w:r>
      <w:r w:rsidR="00703941">
        <w:t xml:space="preserve">. </w:t>
      </w:r>
    </w:p>
    <w:p w14:paraId="29AED91A" w14:textId="77777777" w:rsidR="00703941" w:rsidRDefault="00703941" w:rsidP="00703941">
      <w:pPr>
        <w:pStyle w:val="Heading4"/>
      </w:pPr>
      <w:r>
        <w:t>1. Regulatory Risk</w:t>
      </w:r>
    </w:p>
    <w:p w14:paraId="6B132446" w14:textId="77777777" w:rsidR="009468CD" w:rsidRDefault="00703941" w:rsidP="00703941">
      <w:pPr>
        <w:pStyle w:val="break-words"/>
      </w:pPr>
      <w:r>
        <w:t xml:space="preserve">Regulatory risk arises from instability or unpredictability in the legal and policy frameworks governing renewable energy. </w:t>
      </w:r>
    </w:p>
    <w:p w14:paraId="33CB8DD7" w14:textId="3F5CED94" w:rsidR="00703941" w:rsidRDefault="00703941" w:rsidP="00703941">
      <w:pPr>
        <w:pStyle w:val="break-words"/>
      </w:pPr>
      <w:r>
        <w:t xml:space="preserve">Woolley identifies this as a primary concern, noting that abrupt changes in subsidy regimes—such as retroactive cuts to feed-in tariffs in Spain—severely undermined developer confidence and led to project cancellations (Woolley, </w:t>
      </w:r>
      <w:r>
        <w:rPr>
          <w:rStyle w:val="Emphasis"/>
        </w:rPr>
        <w:t>Renewable Energy Law</w:t>
      </w:r>
      <w:r>
        <w:t xml:space="preserve">, 2023, pp. 111-124). Similarly, Lauber’s analysis of European support schemes highlights how Spain’s policy reversal in 2012 increased perceived risk, causing financiers to demand higher interest rates due to fears of non-repayment (Lauber, </w:t>
      </w:r>
      <w:r>
        <w:rPr>
          <w:rStyle w:val="Emphasis"/>
        </w:rPr>
        <w:t>Renewable Energy Law and Policy Review</w:t>
      </w:r>
      <w:r>
        <w:t xml:space="preserve">, 2011, pp. 22-25). </w:t>
      </w:r>
      <w:proofErr w:type="spellStart"/>
      <w:r>
        <w:t>Ottinger’s</w:t>
      </w:r>
      <w:proofErr w:type="spellEnd"/>
      <w:r>
        <w:t xml:space="preserve"> case studies further illustrate this in developing countries, where inconsistent enforcement of renewable energy laws deterred foreign developers (</w:t>
      </w:r>
      <w:proofErr w:type="spellStart"/>
      <w:r>
        <w:t>Ottinger</w:t>
      </w:r>
      <w:proofErr w:type="spellEnd"/>
      <w:r>
        <w:t xml:space="preserve">, </w:t>
      </w:r>
      <w:r>
        <w:rPr>
          <w:rStyle w:val="Emphasis"/>
        </w:rPr>
        <w:t>Renewable Energy Law and Development: Case Study Analysis</w:t>
      </w:r>
      <w:r>
        <w:t>, 2013, pp. 70-85). For both parties, regulatory risk threatens the stability of expected returns, making projects less attractive.</w:t>
      </w:r>
    </w:p>
    <w:p w14:paraId="230D5151" w14:textId="77777777" w:rsidR="00703941" w:rsidRDefault="00703941" w:rsidP="00703941">
      <w:pPr>
        <w:pStyle w:val="Heading4"/>
      </w:pPr>
      <w:r>
        <w:t>2. Financial Risk</w:t>
      </w:r>
    </w:p>
    <w:p w14:paraId="6D3C171E" w14:textId="77777777" w:rsidR="009468CD" w:rsidRDefault="00703941" w:rsidP="00703941">
      <w:pPr>
        <w:pStyle w:val="break-words"/>
      </w:pPr>
      <w:r>
        <w:t xml:space="preserve">Financial risk pertains to the uncertainty of securing adequate funding and achieving profitability. </w:t>
      </w:r>
    </w:p>
    <w:p w14:paraId="50F54C98" w14:textId="58FFED36" w:rsidR="00703941" w:rsidRDefault="00703941" w:rsidP="00703941">
      <w:pPr>
        <w:pStyle w:val="break-words"/>
      </w:pPr>
      <w:r>
        <w:t xml:space="preserve">Woolley explains that renewable energy projects often require significant upfront capital, and any shortfall in subsidies or delays in loan disbursement heightens this risk (Woolley, </w:t>
      </w:r>
      <w:r>
        <w:rPr>
          <w:rStyle w:val="Emphasis"/>
        </w:rPr>
        <w:t>Renewable Energy Law</w:t>
      </w:r>
      <w:r>
        <w:t xml:space="preserve">, 2023, pp. 102-110). The IPCC report corroborates this, noting that in regions with limited public funding, developers face challenges in bridging the financing gap, </w:t>
      </w:r>
      <w:r>
        <w:lastRenderedPageBreak/>
        <w:t xml:space="preserve">while financiers perceive higher default risks (IPCC, </w:t>
      </w:r>
      <w:r>
        <w:rPr>
          <w:rStyle w:val="Emphasis"/>
        </w:rPr>
        <w:t>Renewable Energy Sources and Climate Change Mitigation</w:t>
      </w:r>
      <w:r>
        <w:t xml:space="preserve">, 2012, pp. 35-40). Song et al.’s review of China’s subsidy system also points to financial risk when subsidy payments are delayed, forcing developers to seek costly short-term loans (Song et al., </w:t>
      </w:r>
      <w:r>
        <w:rPr>
          <w:rStyle w:val="Emphasis"/>
        </w:rPr>
        <w:t>Review of Renewable Energy Subsidy System in China</w:t>
      </w:r>
      <w:r>
        <w:t>, 2022, pp. 10-15). For financiers, this translates into higher interest rates to offset potential losses.</w:t>
      </w:r>
    </w:p>
    <w:p w14:paraId="6D883796" w14:textId="77777777" w:rsidR="00703941" w:rsidRDefault="00703941" w:rsidP="00703941">
      <w:pPr>
        <w:pStyle w:val="Heading4"/>
      </w:pPr>
      <w:r>
        <w:t>3. Technical Risk</w:t>
      </w:r>
    </w:p>
    <w:p w14:paraId="50780B55" w14:textId="77777777" w:rsidR="009468CD" w:rsidRDefault="00703941" w:rsidP="00703941">
      <w:pPr>
        <w:pStyle w:val="break-words"/>
      </w:pPr>
      <w:r>
        <w:t>Technical risk involves uncertainties related to the performance and reliability of renewable energy technologies.</w:t>
      </w:r>
    </w:p>
    <w:p w14:paraId="1DC96390" w14:textId="2857AA06" w:rsidR="00703941" w:rsidRDefault="00703941" w:rsidP="00703941">
      <w:pPr>
        <w:pStyle w:val="break-words"/>
      </w:pPr>
      <w:proofErr w:type="spellStart"/>
      <w:r>
        <w:t>Ottinger’s</w:t>
      </w:r>
      <w:proofErr w:type="spellEnd"/>
      <w:r>
        <w:t xml:space="preserve"> case studies document instances where unproven technologies, such as early-stage tidal energy systems, failed to deliver expected outputs, leading to financial losses for developers (</w:t>
      </w:r>
      <w:proofErr w:type="spellStart"/>
      <w:r>
        <w:t>Ottinger</w:t>
      </w:r>
      <w:proofErr w:type="spellEnd"/>
      <w:r>
        <w:t xml:space="preserve">, </w:t>
      </w:r>
      <w:r>
        <w:rPr>
          <w:rStyle w:val="Emphasis"/>
        </w:rPr>
        <w:t>Renewable Energy Law and Development: Case Study Analysis</w:t>
      </w:r>
      <w:r>
        <w:t xml:space="preserve">, 2013, pp. 90-100). Woolley similarly notes that technical failures in offshore wind projects increased perceived risk, deterring financiers wary of untested infrastructure (Woolley, </w:t>
      </w:r>
      <w:r>
        <w:rPr>
          <w:rStyle w:val="Emphasis"/>
        </w:rPr>
        <w:t>Renewable Energy Law</w:t>
      </w:r>
      <w:r>
        <w:t>, 2023, pp. 111-124). This risk affects developers by threatening project viability and financiers by raising doubts about repayment capacity.</w:t>
      </w:r>
    </w:p>
    <w:p w14:paraId="51FD5EB5" w14:textId="77777777" w:rsidR="00703941" w:rsidRDefault="00703941" w:rsidP="00703941">
      <w:pPr>
        <w:pStyle w:val="Heading4"/>
      </w:pPr>
      <w:r>
        <w:t>4. Market Risk</w:t>
      </w:r>
    </w:p>
    <w:p w14:paraId="002725F7" w14:textId="77777777" w:rsidR="00703941" w:rsidRDefault="00703941" w:rsidP="00703941">
      <w:pPr>
        <w:pStyle w:val="break-words"/>
      </w:pPr>
      <w:r>
        <w:t xml:space="preserve">Market risk emerges from fluctuations in energy prices and demand. The IPCC report highlights that in liberalized markets, renewable energy projects compete with fossil fuels, and declining electricity prices can erode profitability (IPCC, </w:t>
      </w:r>
      <w:r>
        <w:rPr>
          <w:rStyle w:val="Emphasis"/>
        </w:rPr>
        <w:t>Renewable Energy Sources and Climate Change Mitigation</w:t>
      </w:r>
      <w:r>
        <w:t xml:space="preserve">, 2012, pp. 20-25). Lauber’s analysis of the UK’s shift to competitive auctions reveals that developers faced increased market risk when guaranteed prices were replaced with variable returns, discouraging investment (Lauber, </w:t>
      </w:r>
      <w:r>
        <w:rPr>
          <w:rStyle w:val="Emphasis"/>
        </w:rPr>
        <w:t>Renewable Energy Law and Policy Review</w:t>
      </w:r>
      <w:r>
        <w:t>, 2011, pp. 18-20). Financiers, in turn, perceive this as a threat to consistent revenue streams, prompting higher lending costs.</w:t>
      </w:r>
    </w:p>
    <w:p w14:paraId="05601D96" w14:textId="77777777" w:rsidR="00703941" w:rsidRDefault="00703941">
      <w:pPr>
        <w:jc w:val="both"/>
      </w:pPr>
    </w:p>
    <w:p w14:paraId="178CB9FB" w14:textId="77777777" w:rsidR="000B5F3D" w:rsidRDefault="00000000">
      <w:pPr>
        <w:jc w:val="both"/>
      </w:pPr>
      <w:r>
        <w:t>3.What is the role of operating subsidies?  Identify the three main types of operating subsidy.</w:t>
      </w:r>
    </w:p>
    <w:p w14:paraId="0CC79759" w14:textId="77777777" w:rsidR="000B5F3D" w:rsidRDefault="00000000">
      <w:pPr>
        <w:jc w:val="both"/>
      </w:pPr>
      <w:r>
        <w:t>4.What are the strengths and weaknesses of the following subsidy types for persuading developers to proceed with renewable energy developments or financiers to provide funding for such developments at affordable interest rates:</w:t>
      </w:r>
    </w:p>
    <w:p w14:paraId="6005D78B" w14:textId="77777777" w:rsidR="000B5F3D" w:rsidRDefault="00000000">
      <w:pPr>
        <w:pStyle w:val="ListParagraph"/>
        <w:numPr>
          <w:ilvl w:val="0"/>
          <w:numId w:val="1"/>
        </w:numPr>
        <w:jc w:val="both"/>
      </w:pPr>
      <w:r>
        <w:t>Feed-in Tariffs?</w:t>
      </w:r>
    </w:p>
    <w:p w14:paraId="5B2AE1C3" w14:textId="77777777" w:rsidR="000B5F3D" w:rsidRDefault="00000000">
      <w:pPr>
        <w:pStyle w:val="ListParagraph"/>
        <w:numPr>
          <w:ilvl w:val="0"/>
          <w:numId w:val="1"/>
        </w:numPr>
        <w:jc w:val="both"/>
      </w:pPr>
      <w:r>
        <w:t>Certificate/Obligation schemes?</w:t>
      </w:r>
    </w:p>
    <w:p w14:paraId="1723CFC2" w14:textId="77777777" w:rsidR="000B5F3D" w:rsidRDefault="00000000">
      <w:pPr>
        <w:pStyle w:val="ListParagraph"/>
        <w:numPr>
          <w:ilvl w:val="0"/>
          <w:numId w:val="1"/>
        </w:numPr>
        <w:jc w:val="both"/>
      </w:pPr>
      <w:r>
        <w:t>Premium schemes?</w:t>
      </w:r>
    </w:p>
    <w:p w14:paraId="53E5F7C1" w14:textId="77777777" w:rsidR="000B5F3D" w:rsidRDefault="00000000">
      <w:pPr>
        <w:jc w:val="both"/>
      </w:pPr>
      <w:r>
        <w:t>Use evidence from the case studies considered in the topic teaching to support your points.</w:t>
      </w:r>
    </w:p>
    <w:p w14:paraId="648BB9B5" w14:textId="77777777" w:rsidR="009468CD" w:rsidRDefault="009468CD" w:rsidP="009468CD">
      <w:pPr>
        <w:pStyle w:val="Heading3"/>
      </w:pPr>
      <w:r>
        <w:lastRenderedPageBreak/>
        <w:t>Question 3: What is the role of operating subsidies? Identify the three main types of operating subsidy.</w:t>
      </w:r>
    </w:p>
    <w:p w14:paraId="5F6047D8" w14:textId="77777777" w:rsidR="009468CD" w:rsidRDefault="009468CD" w:rsidP="009468CD">
      <w:pPr>
        <w:pStyle w:val="Heading4"/>
      </w:pPr>
      <w:r>
        <w:t>Role of Operating Subsidies</w:t>
      </w:r>
    </w:p>
    <w:p w14:paraId="0BB10350" w14:textId="77777777" w:rsidR="009468CD" w:rsidRDefault="009468CD" w:rsidP="009468CD">
      <w:pPr>
        <w:pStyle w:val="break-words"/>
      </w:pPr>
      <w:r>
        <w:t xml:space="preserve">Operating subsidies play a pivotal role in the renewable energy sector by providing ongoing financial support to developers after the initial investment phase, thereby ensuring the economic viability and operational sustainability of projects. According to Olivia Woolley in </w:t>
      </w:r>
      <w:r>
        <w:rPr>
          <w:rStyle w:val="Emphasis"/>
        </w:rPr>
        <w:t>Renewable Energy Law</w:t>
      </w:r>
      <w:r>
        <w:t xml:space="preserve"> (2023), operating subsidies are designed to bridge the gap between the cost of producing renewable energy and the revenue generated from market sales, particularly when renewable technologies remain more expensive than fossil fuel alternatives (Woolley, </w:t>
      </w:r>
      <w:r>
        <w:rPr>
          <w:rStyle w:val="Emphasis"/>
        </w:rPr>
        <w:t>Renewable Energy Law</w:t>
      </w:r>
      <w:r>
        <w:t xml:space="preserve">, 2023, pp. 102-110). This support reduces financial risk for developers by guaranteeing a stable income stream, incentivizing the deployment of renewable energy installations such as wind farms, solar arrays, and biomass plants. Similarly, Richard L. </w:t>
      </w:r>
      <w:proofErr w:type="spellStart"/>
      <w:r>
        <w:t>Ottinger’s</w:t>
      </w:r>
      <w:proofErr w:type="spellEnd"/>
      <w:r>
        <w:t xml:space="preserve"> case studies emphasize that operating subsidies mitigate the uncertainty of fluctuating market prices, enabling developers in both developed and developing nations to maintain profitability (</w:t>
      </w:r>
      <w:proofErr w:type="spellStart"/>
      <w:r>
        <w:t>Ottinger</w:t>
      </w:r>
      <w:proofErr w:type="spellEnd"/>
      <w:r>
        <w:t xml:space="preserve">, </w:t>
      </w:r>
      <w:r>
        <w:rPr>
          <w:rStyle w:val="Emphasis"/>
        </w:rPr>
        <w:t>Renewable Energy Law and Development: Case Study Analysis</w:t>
      </w:r>
      <w:r>
        <w:t xml:space="preserve">, 2013, pp. 45-60). For financiers, these subsidies enhance project "bankability" by assuring repayment capacity, as highlighted in the IPCC’s </w:t>
      </w:r>
      <w:r>
        <w:rPr>
          <w:rStyle w:val="Emphasis"/>
        </w:rPr>
        <w:t>Renewable Energy Sources and Climate Change Mitigation</w:t>
      </w:r>
      <w:r>
        <w:t xml:space="preserve"> (2012, pp. 25-30). Collectively, the documents underscore that operating subsidies are essential for encouraging investment and scaling renewable energy deployment.</w:t>
      </w:r>
    </w:p>
    <w:p w14:paraId="20D8BF60" w14:textId="77777777" w:rsidR="009468CD" w:rsidRDefault="009468CD" w:rsidP="009468CD">
      <w:pPr>
        <w:pStyle w:val="Heading4"/>
      </w:pPr>
      <w:r>
        <w:t>Three Main Types of Operating Subsidy</w:t>
      </w:r>
    </w:p>
    <w:p w14:paraId="363278E7" w14:textId="77777777" w:rsidR="009468CD" w:rsidRDefault="009468CD" w:rsidP="009468CD">
      <w:pPr>
        <w:pStyle w:val="break-words"/>
      </w:pPr>
      <w:r>
        <w:t>The documents identify three predominant types of operating subsidies used globally to support renewable energy developments:</w:t>
      </w:r>
    </w:p>
    <w:p w14:paraId="49550425" w14:textId="77777777" w:rsidR="009468CD" w:rsidRDefault="009468CD" w:rsidP="009468CD">
      <w:pPr>
        <w:pStyle w:val="break-words"/>
        <w:numPr>
          <w:ilvl w:val="0"/>
          <w:numId w:val="2"/>
        </w:numPr>
      </w:pPr>
      <w:r>
        <w:rPr>
          <w:rStyle w:val="Strong"/>
        </w:rPr>
        <w:t>Feed-in Tariffs (</w:t>
      </w:r>
      <w:proofErr w:type="spellStart"/>
      <w:r>
        <w:rPr>
          <w:rStyle w:val="Strong"/>
        </w:rPr>
        <w:t>FiTs</w:t>
      </w:r>
      <w:proofErr w:type="spellEnd"/>
      <w:r>
        <w:rPr>
          <w:rStyle w:val="Strong"/>
        </w:rPr>
        <w:t>):</w:t>
      </w:r>
      <w:r>
        <w:t xml:space="preserve"> These provide a fixed payment per unit of electricity generated from renewable sources, typically guaranteed for a set period. Woolley describes </w:t>
      </w:r>
      <w:proofErr w:type="spellStart"/>
      <w:r>
        <w:t>FiTs</w:t>
      </w:r>
      <w:proofErr w:type="spellEnd"/>
      <w:r>
        <w:t xml:space="preserve"> as a cornerstone of early renewable energy policy in Europe, notably Germany (Woolley, </w:t>
      </w:r>
      <w:r>
        <w:rPr>
          <w:rStyle w:val="Emphasis"/>
        </w:rPr>
        <w:t>Renewable Energy Law</w:t>
      </w:r>
      <w:r>
        <w:t xml:space="preserve">, 2023, pp. 111-124), while Lauber details their widespread adoption (Lauber, </w:t>
      </w:r>
      <w:r>
        <w:rPr>
          <w:rStyle w:val="Emphasis"/>
        </w:rPr>
        <w:t>Renewable Energy Law and Policy Review</w:t>
      </w:r>
      <w:r>
        <w:t>, 2011, pp. 15-20).</w:t>
      </w:r>
    </w:p>
    <w:p w14:paraId="5D8CCB31" w14:textId="77777777" w:rsidR="009468CD" w:rsidRDefault="009468CD" w:rsidP="009468CD">
      <w:pPr>
        <w:pStyle w:val="break-words"/>
        <w:numPr>
          <w:ilvl w:val="0"/>
          <w:numId w:val="2"/>
        </w:numPr>
      </w:pPr>
      <w:r>
        <w:rPr>
          <w:rStyle w:val="Strong"/>
        </w:rPr>
        <w:t>Certificate/Obligation Schemes:</w:t>
      </w:r>
      <w:r>
        <w:t xml:space="preserve"> These involve tradable certificates awarded to renewable energy producers, which utilities must purchase to meet mandated renewable energy quotas. Woolley cites the UK’s Renewables Obligation as a key example (Woolley, </w:t>
      </w:r>
      <w:r>
        <w:rPr>
          <w:rStyle w:val="Emphasis"/>
        </w:rPr>
        <w:t>Renewable Energy Law</w:t>
      </w:r>
      <w:r>
        <w:t xml:space="preserve">, 2023, pp. 111-124), and Lauber discusses similar mechanisms in European contexts (Lauber, </w:t>
      </w:r>
      <w:r>
        <w:rPr>
          <w:rStyle w:val="Emphasis"/>
        </w:rPr>
        <w:t>Renewable Energy Law and Policy Review</w:t>
      </w:r>
      <w:r>
        <w:t>, 2011, pp. 18-20).</w:t>
      </w:r>
    </w:p>
    <w:p w14:paraId="7D5C0923" w14:textId="77777777" w:rsidR="009468CD" w:rsidRDefault="009468CD" w:rsidP="009468CD">
      <w:pPr>
        <w:pStyle w:val="break-words"/>
        <w:numPr>
          <w:ilvl w:val="0"/>
          <w:numId w:val="2"/>
        </w:numPr>
      </w:pPr>
      <w:r>
        <w:rPr>
          <w:rStyle w:val="Strong"/>
        </w:rPr>
        <w:t>Premium Schemes:</w:t>
      </w:r>
      <w:r>
        <w:t xml:space="preserve"> These offer a bonus payment above the market price for electricity generated from renewables, often tied to market conditions. Woolley highlights their use in Spain and the UK’s Contracts for Difference (</w:t>
      </w:r>
      <w:proofErr w:type="spellStart"/>
      <w:r>
        <w:t>CfD</w:t>
      </w:r>
      <w:proofErr w:type="spellEnd"/>
      <w:r>
        <w:t xml:space="preserve">) as variants (Woolley, </w:t>
      </w:r>
      <w:r>
        <w:rPr>
          <w:rStyle w:val="Emphasis"/>
        </w:rPr>
        <w:t>Renewable Energy Law</w:t>
      </w:r>
      <w:r>
        <w:t xml:space="preserve">, 2023, pp. 111-124), with Lauber noting their evolution from </w:t>
      </w:r>
      <w:proofErr w:type="spellStart"/>
      <w:r>
        <w:t>FiTs</w:t>
      </w:r>
      <w:proofErr w:type="spellEnd"/>
      <w:r>
        <w:t xml:space="preserve"> (Lauber, </w:t>
      </w:r>
      <w:r>
        <w:rPr>
          <w:rStyle w:val="Emphasis"/>
        </w:rPr>
        <w:t>Renewable Energy Law and Policy Review</w:t>
      </w:r>
      <w:r>
        <w:t>, 2011, pp. 22-25).</w:t>
      </w:r>
    </w:p>
    <w:p w14:paraId="4ED78AF6" w14:textId="77777777" w:rsidR="009468CD" w:rsidRDefault="009468CD" w:rsidP="009468CD">
      <w:pPr>
        <w:pStyle w:val="break-words"/>
      </w:pPr>
      <w:r>
        <w:lastRenderedPageBreak/>
        <w:t>These three types are consistently referenced across the documents as the primary mechanisms for delivering operating support, tailored to different market and policy environments.</w:t>
      </w:r>
    </w:p>
    <w:p w14:paraId="3DFAD3F6" w14:textId="77777777" w:rsidR="009468CD" w:rsidRDefault="00D00B96" w:rsidP="009468CD">
      <w:r>
        <w:rPr>
          <w:noProof/>
        </w:rPr>
        <w:pict w14:anchorId="51DE6BE9">
          <v:rect id="_x0000_i1030" alt="" style="width:451.3pt;height:.05pt;mso-width-percent:0;mso-height-percent:0;mso-width-percent:0;mso-height-percent:0" o:hralign="center" o:hrstd="t" o:hr="t" fillcolor="#a0a0a0" stroked="f"/>
        </w:pict>
      </w:r>
    </w:p>
    <w:p w14:paraId="5AA260FA" w14:textId="77777777" w:rsidR="009468CD" w:rsidRDefault="009468CD" w:rsidP="009468CD">
      <w:pPr>
        <w:pStyle w:val="Heading3"/>
      </w:pPr>
      <w:r>
        <w:t>Question 4: What are the strengths and weaknesses of the following subsidy types for persuading developers to proceed with renewable energy developments or financiers to provide funding for such developments at affordable interest rates: Feed-in Tariffs, Certificate/Obligation Schemes, and Premium Schemes? Use evidence from the case studies considered in the topic teaching to support your points.</w:t>
      </w:r>
    </w:p>
    <w:p w14:paraId="226F4425" w14:textId="77777777" w:rsidR="009468CD" w:rsidRDefault="009468CD" w:rsidP="009468CD">
      <w:pPr>
        <w:pStyle w:val="Heading4"/>
      </w:pPr>
      <w:r>
        <w:t>Feed-in Tariffs (</w:t>
      </w:r>
      <w:proofErr w:type="spellStart"/>
      <w:r>
        <w:t>FiTs</w:t>
      </w:r>
      <w:proofErr w:type="spellEnd"/>
      <w:r>
        <w:t>)</w:t>
      </w:r>
    </w:p>
    <w:p w14:paraId="2195F372" w14:textId="77777777" w:rsidR="009468CD" w:rsidRDefault="009468CD" w:rsidP="009468CD">
      <w:pPr>
        <w:pStyle w:val="break-words"/>
      </w:pPr>
      <w:r>
        <w:rPr>
          <w:rStyle w:val="Strong"/>
        </w:rPr>
        <w:t>Strengths:</w:t>
      </w:r>
      <w:r>
        <w:br/>
        <w:t xml:space="preserve">Feed-in Tariffs offer significant strengths in persuading developers and financiers by providing long-term revenue certainty. Woolley’s analysis of Germany’s </w:t>
      </w:r>
      <w:proofErr w:type="spellStart"/>
      <w:r>
        <w:t>FiT</w:t>
      </w:r>
      <w:proofErr w:type="spellEnd"/>
      <w:r>
        <w:t xml:space="preserve"> regime demonstrates its success in driving rapid renewable energy growth, particularly in wind and solar, by guaranteeing fixed payments for 20 years (Woolley, </w:t>
      </w:r>
      <w:r>
        <w:rPr>
          <w:rStyle w:val="Emphasis"/>
        </w:rPr>
        <w:t>Renewable Energy Law</w:t>
      </w:r>
      <w:r>
        <w:t xml:space="preserve">, 2023, pp. 111-124). This stability enabled developers to plan projects with confidence, as evidenced by the proliferation of small-scale solar installations. For financiers, Lauber notes that Germany’s </w:t>
      </w:r>
      <w:proofErr w:type="spellStart"/>
      <w:r>
        <w:t>FiTs</w:t>
      </w:r>
      <w:proofErr w:type="spellEnd"/>
      <w:r>
        <w:t xml:space="preserve"> reduced perceived risk, leading to lower interest rates due to assured cash flows (Lauber, </w:t>
      </w:r>
      <w:r>
        <w:rPr>
          <w:rStyle w:val="Emphasis"/>
        </w:rPr>
        <w:t>Renewable Energy Law and Policy Review</w:t>
      </w:r>
      <w:r>
        <w:t xml:space="preserve">, 2011, pp. 15-20). </w:t>
      </w:r>
      <w:proofErr w:type="spellStart"/>
      <w:r>
        <w:t>Ottinger’s</w:t>
      </w:r>
      <w:proofErr w:type="spellEnd"/>
      <w:r>
        <w:t xml:space="preserve"> case studies of </w:t>
      </w:r>
      <w:proofErr w:type="spellStart"/>
      <w:r>
        <w:t>FiT</w:t>
      </w:r>
      <w:proofErr w:type="spellEnd"/>
      <w:r>
        <w:t xml:space="preserve"> adoption in developing countries, such as India, further illustrate how predictable returns attracted foreign investment (</w:t>
      </w:r>
      <w:proofErr w:type="spellStart"/>
      <w:r>
        <w:t>Ottinger</w:t>
      </w:r>
      <w:proofErr w:type="spellEnd"/>
      <w:r>
        <w:t xml:space="preserve">, </w:t>
      </w:r>
      <w:r>
        <w:rPr>
          <w:rStyle w:val="Emphasis"/>
        </w:rPr>
        <w:t>Renewable Energy Law and Development: Case Study Analysis</w:t>
      </w:r>
      <w:r>
        <w:t>, 2013, pp. 60-70).</w:t>
      </w:r>
    </w:p>
    <w:p w14:paraId="10A91224" w14:textId="77777777" w:rsidR="009468CD" w:rsidRDefault="009468CD" w:rsidP="009468CD">
      <w:pPr>
        <w:pStyle w:val="break-words"/>
      </w:pPr>
      <w:r>
        <w:rPr>
          <w:rStyle w:val="Strong"/>
        </w:rPr>
        <w:t>Weaknesses:</w:t>
      </w:r>
      <w:r>
        <w:br/>
        <w:t xml:space="preserve">However, </w:t>
      </w:r>
      <w:proofErr w:type="spellStart"/>
      <w:r>
        <w:t>FiTs</w:t>
      </w:r>
      <w:proofErr w:type="spellEnd"/>
      <w:r>
        <w:t xml:space="preserve"> have notable weaknesses. Woolley points to their high cost to governments, as seen in Spain, where generous tariffs led to unsustainable public expenditure and subsequent retroactive cuts in 2012 (Woolley, </w:t>
      </w:r>
      <w:r>
        <w:rPr>
          <w:rStyle w:val="Emphasis"/>
        </w:rPr>
        <w:t>Renewable Energy Law</w:t>
      </w:r>
      <w:r>
        <w:t xml:space="preserve">, 2023, pp. 111-124). These cuts eroded developer trust and increased financier wariness, raising borrowing costs. Lauber corroborates this, noting that Spain’s policy reversal triggered project cancellations and legal disputes, highlighting the vulnerability of </w:t>
      </w:r>
      <w:proofErr w:type="spellStart"/>
      <w:r>
        <w:t>FiTs</w:t>
      </w:r>
      <w:proofErr w:type="spellEnd"/>
      <w:r>
        <w:t xml:space="preserve"> to regulatory risk (Lauber, </w:t>
      </w:r>
      <w:r>
        <w:rPr>
          <w:rStyle w:val="Emphasis"/>
        </w:rPr>
        <w:t>Renewable Energy Law and Policy Review</w:t>
      </w:r>
      <w:r>
        <w:t xml:space="preserve">, 2011, pp. 22-25). Additionally, the IPCC report suggests that </w:t>
      </w:r>
      <w:proofErr w:type="spellStart"/>
      <w:r>
        <w:t>FiTs</w:t>
      </w:r>
      <w:proofErr w:type="spellEnd"/>
      <w:r>
        <w:t xml:space="preserve"> may discourage innovation by locking in payments regardless of technological efficiency (IPCC, </w:t>
      </w:r>
      <w:r>
        <w:rPr>
          <w:rStyle w:val="Emphasis"/>
        </w:rPr>
        <w:t>Renewable Energy Sources and Climate Change Mitigation</w:t>
      </w:r>
      <w:r>
        <w:t>, 2012, pp. 35-40).</w:t>
      </w:r>
    </w:p>
    <w:p w14:paraId="4129AB9F" w14:textId="77777777" w:rsidR="009468CD" w:rsidRDefault="009468CD" w:rsidP="009468CD">
      <w:pPr>
        <w:pStyle w:val="Heading4"/>
      </w:pPr>
      <w:r>
        <w:t>Certificate/Obligation Schemes</w:t>
      </w:r>
    </w:p>
    <w:p w14:paraId="76A9C39B" w14:textId="77777777" w:rsidR="009468CD" w:rsidRDefault="009468CD" w:rsidP="009468CD">
      <w:pPr>
        <w:pStyle w:val="break-words"/>
      </w:pPr>
      <w:r>
        <w:rPr>
          <w:rStyle w:val="Strong"/>
        </w:rPr>
        <w:t>Strengths:</w:t>
      </w:r>
      <w:r>
        <w:br/>
        <w:t xml:space="preserve">Certificate or obligation schemes, such as the UK’s Renewables Obligation (RO), encourage market-driven investment by linking subsidies to renewable energy quotas. Woolley highlights their strength in fostering competition among developers, as seen in the UK, where the RO spurred diverse renewable projects by allowing certificate trading (Woolley, </w:t>
      </w:r>
      <w:r>
        <w:rPr>
          <w:rStyle w:val="Emphasis"/>
        </w:rPr>
        <w:t>Renewable Energy Law</w:t>
      </w:r>
      <w:r>
        <w:t xml:space="preserve">, 2023, pp. 111-124). For financiers, the flexibility of certificate </w:t>
      </w:r>
      <w:r>
        <w:lastRenderedPageBreak/>
        <w:t xml:space="preserve">markets can signal strong demand, reducing perceived market risk, as utilities are legally obligated to purchase certificates (Lauber, </w:t>
      </w:r>
      <w:r>
        <w:rPr>
          <w:rStyle w:val="Emphasis"/>
        </w:rPr>
        <w:t>Renewable Energy Law and Policy Review</w:t>
      </w:r>
      <w:r>
        <w:t xml:space="preserve">, 2011, pp. 18-20). </w:t>
      </w:r>
      <w:proofErr w:type="spellStart"/>
      <w:r>
        <w:t>Ottinger’s</w:t>
      </w:r>
      <w:proofErr w:type="spellEnd"/>
      <w:r>
        <w:t xml:space="preserve"> analysis of similar schemes in developing nations suggests they attract investment by leveraging private sector dynamics (</w:t>
      </w:r>
      <w:proofErr w:type="spellStart"/>
      <w:r>
        <w:t>Ottinger</w:t>
      </w:r>
      <w:proofErr w:type="spellEnd"/>
      <w:r>
        <w:t xml:space="preserve">, </w:t>
      </w:r>
      <w:r>
        <w:rPr>
          <w:rStyle w:val="Emphasis"/>
        </w:rPr>
        <w:t>Renewable Energy Law and Development: Case Study Analysis</w:t>
      </w:r>
      <w:r>
        <w:t>, 2013, pp. 85-90).</w:t>
      </w:r>
    </w:p>
    <w:p w14:paraId="69C21122" w14:textId="77777777" w:rsidR="009468CD" w:rsidRDefault="009468CD" w:rsidP="009468CD">
      <w:pPr>
        <w:pStyle w:val="break-words"/>
      </w:pPr>
      <w:r>
        <w:rPr>
          <w:rStyle w:val="Strong"/>
        </w:rPr>
        <w:t>Weaknesses:</w:t>
      </w:r>
      <w:r>
        <w:br/>
        <w:t xml:space="preserve">The primary weakness lies in their complexity and market dependency. Woolley notes that the UK’s RO introduced volatility in certificate prices, creating uncertainty for developers unable to predict returns (Woolley, </w:t>
      </w:r>
      <w:r>
        <w:rPr>
          <w:rStyle w:val="Emphasis"/>
        </w:rPr>
        <w:t>Renewable Energy Law</w:t>
      </w:r>
      <w:r>
        <w:t xml:space="preserve">, 2023, pp. 111-124). Lauber adds that this unpredictability deterred financiers, who demanded higher interest rates to offset risks when certificate values fluctuated (Lauber, </w:t>
      </w:r>
      <w:r>
        <w:rPr>
          <w:rStyle w:val="Emphasis"/>
        </w:rPr>
        <w:t>Renewable Energy Law and Policy Review</w:t>
      </w:r>
      <w:r>
        <w:t xml:space="preserve">, 2011, pp. 18-20). Song et al.’s review of China’s nascent certificate experiments similarly indicates that administrative inefficiencies undermined confidence (Song et al., </w:t>
      </w:r>
      <w:r>
        <w:rPr>
          <w:rStyle w:val="Emphasis"/>
        </w:rPr>
        <w:t>Review of Renewable Energy Subsidy System in China</w:t>
      </w:r>
      <w:r>
        <w:t>, 2022, pp. 15-20), suggesting limited appeal in less mature markets.</w:t>
      </w:r>
    </w:p>
    <w:p w14:paraId="551840E8" w14:textId="77777777" w:rsidR="009468CD" w:rsidRDefault="009468CD" w:rsidP="009468CD">
      <w:pPr>
        <w:pStyle w:val="Heading4"/>
      </w:pPr>
      <w:r>
        <w:t>Premium Schemes</w:t>
      </w:r>
    </w:p>
    <w:p w14:paraId="1E7EF247" w14:textId="77777777" w:rsidR="009468CD" w:rsidRDefault="009468CD" w:rsidP="009468CD">
      <w:pPr>
        <w:pStyle w:val="break-words"/>
      </w:pPr>
      <w:r>
        <w:rPr>
          <w:rStyle w:val="Strong"/>
        </w:rPr>
        <w:t>Strengths:</w:t>
      </w:r>
      <w:r>
        <w:br/>
        <w:t>Premium schemes, such as the UK’s Contracts for Difference (</w:t>
      </w:r>
      <w:proofErr w:type="spellStart"/>
      <w:r>
        <w:t>CfD</w:t>
      </w:r>
      <w:proofErr w:type="spellEnd"/>
      <w:r>
        <w:t xml:space="preserve">), balance market integration with financial security, making them persuasive for developers and financiers. Woolley praises the </w:t>
      </w:r>
      <w:proofErr w:type="spellStart"/>
      <w:r>
        <w:t>CfD</w:t>
      </w:r>
      <w:proofErr w:type="spellEnd"/>
      <w:r>
        <w:t xml:space="preserve"> for guaranteeing a "strike price" above market rates, as seen in UK offshore wind projects, which attracted significant investment by ensuring profitability (Woolley, </w:t>
      </w:r>
      <w:r>
        <w:rPr>
          <w:rStyle w:val="Emphasis"/>
        </w:rPr>
        <w:t>Renewable Energy Law</w:t>
      </w:r>
      <w:r>
        <w:t xml:space="preserve">, 2023, pp. 111-124). Lauber notes that premium schemes encourage efficiency by tying payments to market conditions, appealing to developers seeking competitive returns (Lauber, </w:t>
      </w:r>
      <w:r>
        <w:rPr>
          <w:rStyle w:val="Emphasis"/>
        </w:rPr>
        <w:t>Renewable Energy Law and Policy Review</w:t>
      </w:r>
      <w:r>
        <w:t xml:space="preserve">, 2011, pp. 22-25). For financiers, the IPCC report highlights that </w:t>
      </w:r>
      <w:proofErr w:type="spellStart"/>
      <w:r>
        <w:t>CfDs</w:t>
      </w:r>
      <w:proofErr w:type="spellEnd"/>
      <w:r>
        <w:t xml:space="preserve"> reduce exposure to market risk, facilitating affordable loans by stabilizing revenue (IPCC, </w:t>
      </w:r>
      <w:r>
        <w:rPr>
          <w:rStyle w:val="Emphasis"/>
        </w:rPr>
        <w:t>Renewable Energy Sources and Climate Change Mitigation</w:t>
      </w:r>
      <w:r>
        <w:t>, 2012, pp. 30-35).</w:t>
      </w:r>
    </w:p>
    <w:p w14:paraId="07215A26" w14:textId="77777777" w:rsidR="009468CD" w:rsidRDefault="009468CD" w:rsidP="009468CD">
      <w:pPr>
        <w:pStyle w:val="break-words"/>
      </w:pPr>
      <w:r>
        <w:rPr>
          <w:rStyle w:val="Strong"/>
        </w:rPr>
        <w:t>Weaknesses:</w:t>
      </w:r>
      <w:r>
        <w:br/>
        <w:t xml:space="preserve">Nevertheless, premium schemes have drawbacks. Woolley cautions that their reliance on competitive auctions, as in the UK, can exclude smaller developers unable to bid effectively, limiting participation (Woolley, </w:t>
      </w:r>
      <w:r>
        <w:rPr>
          <w:rStyle w:val="Emphasis"/>
        </w:rPr>
        <w:t>Renewable Energy Law</w:t>
      </w:r>
      <w:r>
        <w:t xml:space="preserve">, 2023, pp. 111-124). Lauber’s analysis of Spain’s early premium experiments reveals that misaligned premium levels led to underfunding, deterring developers when market prices fell (Lauber, </w:t>
      </w:r>
      <w:r>
        <w:rPr>
          <w:rStyle w:val="Emphasis"/>
        </w:rPr>
        <w:t>Renewable Energy Law and Policy Review</w:t>
      </w:r>
      <w:r>
        <w:t xml:space="preserve">, 2011, pp. 22-25). Additionally, </w:t>
      </w:r>
      <w:proofErr w:type="spellStart"/>
      <w:r>
        <w:t>Ottinger’s</w:t>
      </w:r>
      <w:proofErr w:type="spellEnd"/>
      <w:r>
        <w:t xml:space="preserve"> case studies suggest that the complexity of premium schemes may overwhelm developing nations’ administrative capacity, reducing their appeal (</w:t>
      </w:r>
      <w:proofErr w:type="spellStart"/>
      <w:r>
        <w:t>Ottinger</w:t>
      </w:r>
      <w:proofErr w:type="spellEnd"/>
      <w:r>
        <w:t xml:space="preserve">, </w:t>
      </w:r>
      <w:r>
        <w:rPr>
          <w:rStyle w:val="Emphasis"/>
        </w:rPr>
        <w:t>Renewable Energy Law and Development: Case Study Analysis</w:t>
      </w:r>
      <w:r>
        <w:t>, 2013, pp. 90-100).</w:t>
      </w:r>
    </w:p>
    <w:p w14:paraId="258C1ACE" w14:textId="77777777" w:rsidR="009468CD" w:rsidRDefault="00D00B96" w:rsidP="009468CD">
      <w:r>
        <w:rPr>
          <w:noProof/>
        </w:rPr>
      </w:r>
      <w:r>
        <w:pict w14:anchorId="41E2653E">
          <v:rect id="Horizontal Lin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F40AB7" w14:textId="77777777" w:rsidR="009468CD" w:rsidRDefault="009468CD">
      <w:pPr>
        <w:jc w:val="both"/>
      </w:pPr>
    </w:p>
    <w:p w14:paraId="385E7C62" w14:textId="77777777" w:rsidR="000B5F3D" w:rsidRDefault="00000000">
      <w:pPr>
        <w:jc w:val="both"/>
      </w:pPr>
      <w:r>
        <w:t>5.How does the context in which a subsidy is used affect analysis of whether a scheme type is likely to be effective for attracting investment in proposed projects? Is the answer the same for all types of developer, of technologies, and jurisdictions?</w:t>
      </w:r>
    </w:p>
    <w:p w14:paraId="1BD68A34" w14:textId="77777777" w:rsidR="000B5F3D" w:rsidRDefault="00000000">
      <w:pPr>
        <w:jc w:val="both"/>
      </w:pPr>
      <w:r>
        <w:lastRenderedPageBreak/>
        <w:t>6.Competitive allocation through auctions has become a popular means of allocating subsidies.  Why is competitive allocation viewed as desirable by governments for allocating renewables?  Identify ways in which auctioning subsidies could deter investment in renewable energy (or make financiers unwilling to loan monies for such developments at low rates of interest) by exacerbating weaknesses of scheme types or adding additional risks. Draw from the UK’s Contracts for Difference case study where it furnishes useful examples for supporting your points.</w:t>
      </w:r>
    </w:p>
    <w:p w14:paraId="00FBF3C3" w14:textId="77777777" w:rsidR="009468CD" w:rsidRDefault="009468CD" w:rsidP="009468CD">
      <w:pPr>
        <w:pStyle w:val="Heading3"/>
      </w:pPr>
      <w:r>
        <w:t>Question 5: How does the context in which a subsidy is used affect analysis of whether a scheme type is likely to be effective for attracting investment in proposed projects? Is the answer the same for all types of developer, technologies, and jurisdictions?</w:t>
      </w:r>
    </w:p>
    <w:p w14:paraId="5CC3260D" w14:textId="77777777" w:rsidR="009468CD" w:rsidRDefault="009468CD" w:rsidP="009468CD">
      <w:pPr>
        <w:pStyle w:val="Heading4"/>
      </w:pPr>
      <w:r>
        <w:t>Contextual Influence on Subsidy Effectiveness</w:t>
      </w:r>
    </w:p>
    <w:p w14:paraId="4597B2FD" w14:textId="77777777" w:rsidR="009468CD" w:rsidRDefault="009468CD" w:rsidP="009468CD">
      <w:pPr>
        <w:pStyle w:val="break-words"/>
      </w:pPr>
      <w:r>
        <w:t xml:space="preserve">The effectiveness of a subsidy scheme in attracting investment in renewable energy projects is profoundly shaped by the context in which it is deployed, encompassing economic, legal, technological, and jurisdictional factors. Olivia Woolley’s </w:t>
      </w:r>
      <w:r>
        <w:rPr>
          <w:rStyle w:val="Emphasis"/>
        </w:rPr>
        <w:t>Renewable Energy Law</w:t>
      </w:r>
      <w:r>
        <w:t xml:space="preserve"> (2023) underscores that the success of operating subsidies—such as Feed-in Tariffs (</w:t>
      </w:r>
      <w:proofErr w:type="spellStart"/>
      <w:r>
        <w:t>FiTs</w:t>
      </w:r>
      <w:proofErr w:type="spellEnd"/>
      <w:r>
        <w:t xml:space="preserve">), certificate schemes, or premium schemes—depends on their alignment with the specific market conditions and policy stability of a given jurisdiction (Woolley, </w:t>
      </w:r>
      <w:r>
        <w:rPr>
          <w:rStyle w:val="Emphasis"/>
        </w:rPr>
        <w:t>Renewable Energy Law</w:t>
      </w:r>
      <w:r>
        <w:t xml:space="preserve">, 2023, pp. 102-110). For instance, in Germany, a stable legal framework and strong public funding supported </w:t>
      </w:r>
      <w:proofErr w:type="spellStart"/>
      <w:r>
        <w:t>FiTs</w:t>
      </w:r>
      <w:proofErr w:type="spellEnd"/>
      <w:r>
        <w:t xml:space="preserve">, driving significant investment in solar and wind projects (Woolley, </w:t>
      </w:r>
      <w:r>
        <w:rPr>
          <w:rStyle w:val="Emphasis"/>
        </w:rPr>
        <w:t>Renewable Energy Law</w:t>
      </w:r>
      <w:r>
        <w:t xml:space="preserve">, 2023, pp. 111-124). Conversely, Spain’s economic downturn and subsequent retroactive </w:t>
      </w:r>
      <w:proofErr w:type="spellStart"/>
      <w:r>
        <w:t>FiT</w:t>
      </w:r>
      <w:proofErr w:type="spellEnd"/>
      <w:r>
        <w:t xml:space="preserve"> cuts in 2012 deterred investment, illustrating how fiscal constraints can undermine subsidy efficacy (Lauber, </w:t>
      </w:r>
      <w:r>
        <w:rPr>
          <w:rStyle w:val="Emphasis"/>
        </w:rPr>
        <w:t>Renewable Energy Law and Policy Review</w:t>
      </w:r>
      <w:r>
        <w:t>, 2011, pp. 22-25).</w:t>
      </w:r>
    </w:p>
    <w:p w14:paraId="67BA7949" w14:textId="77777777" w:rsidR="009468CD" w:rsidRDefault="009468CD" w:rsidP="009468CD">
      <w:pPr>
        <w:pStyle w:val="break-words"/>
      </w:pPr>
      <w:r>
        <w:t xml:space="preserve">Richard L. </w:t>
      </w:r>
      <w:proofErr w:type="spellStart"/>
      <w:r>
        <w:t>Ottinger’s</w:t>
      </w:r>
      <w:proofErr w:type="spellEnd"/>
      <w:r>
        <w:t xml:space="preserve"> case studies further highlight that contextual factors, such as a jurisdiction’s administrative capacity, influence outcomes. In developing nations, limited institutional infrastructure often hampers the implementation of complex schemes like premium subsidies, reducing their appeal to investors (</w:t>
      </w:r>
      <w:proofErr w:type="spellStart"/>
      <w:r>
        <w:t>Ottinger</w:t>
      </w:r>
      <w:proofErr w:type="spellEnd"/>
      <w:r>
        <w:t xml:space="preserve">, </w:t>
      </w:r>
      <w:r>
        <w:rPr>
          <w:rStyle w:val="Emphasis"/>
        </w:rPr>
        <w:t>Renewable Energy Law and Development: Case Study Analysis</w:t>
      </w:r>
      <w:r>
        <w:t xml:space="preserve">, 2013, pp. 90-100). The IPCC report adds that market maturity affects subsidy impact; in liberalized markets, premium schemes thrive by integrating with price signals, whereas in less developed markets, </w:t>
      </w:r>
      <w:proofErr w:type="spellStart"/>
      <w:r>
        <w:t>FiTs</w:t>
      </w:r>
      <w:proofErr w:type="spellEnd"/>
      <w:r>
        <w:t xml:space="preserve"> are more effective due to their simplicity and certainty (IPCC, </w:t>
      </w:r>
      <w:r>
        <w:rPr>
          <w:rStyle w:val="Emphasis"/>
        </w:rPr>
        <w:t>Renewable Energy Sources and Climate Change Mitigation</w:t>
      </w:r>
      <w:r>
        <w:t>, 2012, pp. 30-35). Thus, context—economic stability, regulatory reliability, and market structure—determines whether a subsidy scheme can provide the predictability and profitability needed to attract investment.</w:t>
      </w:r>
    </w:p>
    <w:p w14:paraId="77CBDC81" w14:textId="77777777" w:rsidR="009468CD" w:rsidRDefault="009468CD" w:rsidP="009468CD">
      <w:pPr>
        <w:pStyle w:val="Heading4"/>
      </w:pPr>
      <w:r>
        <w:t>Variation Across Developers, Technologies, and Jurisdictions</w:t>
      </w:r>
    </w:p>
    <w:p w14:paraId="62D72BC9" w14:textId="77777777" w:rsidR="009468CD" w:rsidRDefault="009468CD" w:rsidP="009468CD">
      <w:pPr>
        <w:pStyle w:val="break-words"/>
      </w:pPr>
      <w:r>
        <w:t>The answer is not uniform across all types of developers, technologies, and jurisdictions due to their differing needs and constraints. For developers, size and expertise matter. Woolley notes that large developers in the UK thrived under the Contracts for Difference (</w:t>
      </w:r>
      <w:proofErr w:type="spellStart"/>
      <w:r>
        <w:t>CfD</w:t>
      </w:r>
      <w:proofErr w:type="spellEnd"/>
      <w:r>
        <w:t xml:space="preserve">) scheme due to their capacity to navigate competitive auctions, while smaller firms struggled with the administrative burden (Woolley, </w:t>
      </w:r>
      <w:r>
        <w:rPr>
          <w:rStyle w:val="Emphasis"/>
        </w:rPr>
        <w:t>Renewable Energy Law</w:t>
      </w:r>
      <w:r>
        <w:t xml:space="preserve">, 2023, pp. 111-124). In </w:t>
      </w:r>
      <w:r>
        <w:lastRenderedPageBreak/>
        <w:t xml:space="preserve">contrast, </w:t>
      </w:r>
      <w:proofErr w:type="spellStart"/>
      <w:r>
        <w:t>Ottinger’s</w:t>
      </w:r>
      <w:proofErr w:type="spellEnd"/>
      <w:r>
        <w:t xml:space="preserve"> analysis of small-scale developers in India shows that simple </w:t>
      </w:r>
      <w:proofErr w:type="spellStart"/>
      <w:r>
        <w:t>FiTs</w:t>
      </w:r>
      <w:proofErr w:type="spellEnd"/>
      <w:r>
        <w:t xml:space="preserve"> were more effective, as they lacked the resources to engage with complex market-based mechanisms (</w:t>
      </w:r>
      <w:proofErr w:type="spellStart"/>
      <w:r>
        <w:t>Ottinger</w:t>
      </w:r>
      <w:proofErr w:type="spellEnd"/>
      <w:r>
        <w:t xml:space="preserve">, </w:t>
      </w:r>
      <w:r>
        <w:rPr>
          <w:rStyle w:val="Emphasis"/>
        </w:rPr>
        <w:t>Renewable Energy Law and Development: Case Study Analysis</w:t>
      </w:r>
      <w:r>
        <w:t>, 2013, pp. 60-70).</w:t>
      </w:r>
    </w:p>
    <w:p w14:paraId="73B79FA6" w14:textId="77777777" w:rsidR="009468CD" w:rsidRDefault="009468CD" w:rsidP="009468CD">
      <w:pPr>
        <w:pStyle w:val="break-words"/>
      </w:pPr>
      <w:r>
        <w:t xml:space="preserve">Technological context also varies. Woolley’s case studies indicate that mature technologies like onshore wind benefit from premium schemes like </w:t>
      </w:r>
      <w:proofErr w:type="spellStart"/>
      <w:r>
        <w:t>CfD</w:t>
      </w:r>
      <w:proofErr w:type="spellEnd"/>
      <w:r>
        <w:t xml:space="preserve">, which reward efficiency, whereas emerging technologies like tidal energy require the guaranteed payments of </w:t>
      </w:r>
      <w:proofErr w:type="spellStart"/>
      <w:r>
        <w:t>FiTs</w:t>
      </w:r>
      <w:proofErr w:type="spellEnd"/>
      <w:r>
        <w:t xml:space="preserve"> to offset high initial risks (Woolley, </w:t>
      </w:r>
      <w:r>
        <w:rPr>
          <w:rStyle w:val="Emphasis"/>
        </w:rPr>
        <w:t>Renewable Energy Law</w:t>
      </w:r>
      <w:r>
        <w:t xml:space="preserve">, 2023, pp. 111-124). The IPCC report supports this, noting that technology-specific risks necessitate tailored subsidy approaches (IPCC, </w:t>
      </w:r>
      <w:r>
        <w:rPr>
          <w:rStyle w:val="Emphasis"/>
        </w:rPr>
        <w:t>Renewable Energy Sources and Climate Change Mitigation</w:t>
      </w:r>
      <w:r>
        <w:t>, 2012, pp. 35-40).</w:t>
      </w:r>
    </w:p>
    <w:p w14:paraId="66749724" w14:textId="77777777" w:rsidR="009468CD" w:rsidRDefault="009468CD" w:rsidP="009468CD">
      <w:pPr>
        <w:pStyle w:val="break-words"/>
      </w:pPr>
      <w:r>
        <w:t xml:space="preserve">Jurisdictional differences further complicate the analysis. Lauber’s review of European schemes shows that Germany’s centralized governance enabled </w:t>
      </w:r>
      <w:proofErr w:type="spellStart"/>
      <w:r>
        <w:t>FiTs</w:t>
      </w:r>
      <w:proofErr w:type="spellEnd"/>
      <w:r>
        <w:t xml:space="preserve"> to succeed, while Spain’s decentralized system struggled with consistent enforcement, leading to investor distrust (Lauber, </w:t>
      </w:r>
      <w:r>
        <w:rPr>
          <w:rStyle w:val="Emphasis"/>
        </w:rPr>
        <w:t>Renewable Energy Law and Policy Review</w:t>
      </w:r>
      <w:r>
        <w:t xml:space="preserve">, 2011, pp. 15-25). Song et al.’s study of China reveals that subsidies tied to national quotas faltered in regions with weak grid infrastructure, unlike in urban </w:t>
      </w:r>
      <w:proofErr w:type="spellStart"/>
      <w:r>
        <w:t>centers</w:t>
      </w:r>
      <w:proofErr w:type="spellEnd"/>
      <w:r>
        <w:t xml:space="preserve"> where they spurred growth (Song et al., </w:t>
      </w:r>
      <w:r>
        <w:rPr>
          <w:rStyle w:val="Emphasis"/>
        </w:rPr>
        <w:t>Review of Renewable Energy Subsidy System in China</w:t>
      </w:r>
      <w:r>
        <w:t>, 2022, pp. 10-15). Therefore, the effectiveness of a subsidy scheme is contingent on contextual alignment, and this varies significantly across developer types, technologies, and jurisdictions.</w:t>
      </w:r>
    </w:p>
    <w:p w14:paraId="21D7393D" w14:textId="77777777" w:rsidR="009468CD" w:rsidRDefault="00D00B96" w:rsidP="009468CD">
      <w:r>
        <w:rPr>
          <w:noProof/>
        </w:rPr>
        <w:pict w14:anchorId="189AAD6D">
          <v:rect id="_x0000_i1028" alt="" style="width:451.3pt;height:.05pt;mso-width-percent:0;mso-height-percent:0;mso-width-percent:0;mso-height-percent:0" o:hralign="center" o:hrstd="t" o:hr="t" fillcolor="#a0a0a0" stroked="f"/>
        </w:pict>
      </w:r>
    </w:p>
    <w:p w14:paraId="58BBA7FC" w14:textId="77777777" w:rsidR="009468CD" w:rsidRDefault="009468CD" w:rsidP="009468CD">
      <w:pPr>
        <w:pStyle w:val="Heading3"/>
      </w:pPr>
      <w:r>
        <w:t>Question 6: Competitive allocation through auctions has become a popular means of allocating subsidies. Why is competitive allocation viewed as desirable by governments for allocating renewables? Identify ways in which auctioning subsidies could deter investment in renewable energy (or make financiers unwilling to loan monies for such developments at low rates of interest) by exacerbating weaknesses of scheme types or adding additional risks. Draw from the UK’s Contracts for Difference case study where it furnishes useful examples for supporting your points.</w:t>
      </w:r>
    </w:p>
    <w:p w14:paraId="32284BAF" w14:textId="77777777" w:rsidR="009468CD" w:rsidRDefault="009468CD" w:rsidP="009468CD">
      <w:pPr>
        <w:pStyle w:val="Heading4"/>
      </w:pPr>
      <w:r>
        <w:t>Why Competitive Allocation is Desirable for Governments</w:t>
      </w:r>
    </w:p>
    <w:p w14:paraId="4EEC49F2" w14:textId="77777777" w:rsidR="009468CD" w:rsidRDefault="009468CD" w:rsidP="009468CD">
      <w:pPr>
        <w:pStyle w:val="break-words"/>
      </w:pPr>
      <w:r>
        <w:t xml:space="preserve">Competitive allocation through auctions is increasingly </w:t>
      </w:r>
      <w:proofErr w:type="spellStart"/>
      <w:r>
        <w:t>favored</w:t>
      </w:r>
      <w:proofErr w:type="spellEnd"/>
      <w:r>
        <w:t xml:space="preserve"> by governments for allocating renewable energy subsidies due to its cost-efficiency and market-driven outcomes. Woolley explains that auctions, as exemplified by the UK’s Contracts for Difference (</w:t>
      </w:r>
      <w:proofErr w:type="spellStart"/>
      <w:r>
        <w:t>CfD</w:t>
      </w:r>
      <w:proofErr w:type="spellEnd"/>
      <w:r>
        <w:t xml:space="preserve">), allow governments to control public expenditure by awarding subsidies to the lowest bidders, reducing the financial burden compared to fixed-rate schemes like </w:t>
      </w:r>
      <w:proofErr w:type="spellStart"/>
      <w:r>
        <w:t>FiTs</w:t>
      </w:r>
      <w:proofErr w:type="spellEnd"/>
      <w:r>
        <w:t xml:space="preserve"> (Woolley, </w:t>
      </w:r>
      <w:r>
        <w:rPr>
          <w:rStyle w:val="Emphasis"/>
        </w:rPr>
        <w:t>Renewable Energy Law</w:t>
      </w:r>
      <w:r>
        <w:t xml:space="preserve">, 2023, pp. 111-124). The IPCC report reinforces this, noting that auctions drive down subsidy costs by fostering competition, as seen in multiple jurisdictions transitioning from </w:t>
      </w:r>
      <w:proofErr w:type="spellStart"/>
      <w:r>
        <w:t>FiTs</w:t>
      </w:r>
      <w:proofErr w:type="spellEnd"/>
      <w:r>
        <w:t xml:space="preserve"> to auction-based systems (IPCC, </w:t>
      </w:r>
      <w:r>
        <w:rPr>
          <w:rStyle w:val="Emphasis"/>
        </w:rPr>
        <w:t>Renewable Energy Sources and Climate Change Mitigation</w:t>
      </w:r>
      <w:r>
        <w:t xml:space="preserve">, 2012, pp. 30-35). Lauber adds that auctions align with liberalized energy markets, encouraging efficiency and innovation among developers, which aligns with governmental goals of maximizing renewable deployment per public dollar (Lauber, </w:t>
      </w:r>
      <w:r>
        <w:rPr>
          <w:rStyle w:val="Emphasis"/>
        </w:rPr>
        <w:t>Renewable Energy Law and Policy Review</w:t>
      </w:r>
      <w:r>
        <w:t xml:space="preserve">, 2011, pp. 22-25). In the UK </w:t>
      </w:r>
      <w:proofErr w:type="spellStart"/>
      <w:r>
        <w:t>CfD</w:t>
      </w:r>
      <w:proofErr w:type="spellEnd"/>
      <w:r>
        <w:t xml:space="preserve"> case, Woolley highlights that </w:t>
      </w:r>
      <w:r>
        <w:lastRenderedPageBreak/>
        <w:t xml:space="preserve">auctions secured offshore wind projects at strike prices as low as £57.50/MWh by 2017, a significant reduction from earlier subsidy levels, demonstrating fiscal desirability (Woolley, </w:t>
      </w:r>
      <w:r>
        <w:rPr>
          <w:rStyle w:val="Emphasis"/>
        </w:rPr>
        <w:t>Renewable Energy Law</w:t>
      </w:r>
      <w:r>
        <w:t>, 2023, pp. 111-124).</w:t>
      </w:r>
    </w:p>
    <w:p w14:paraId="59DDACCB" w14:textId="77777777" w:rsidR="009468CD" w:rsidRDefault="009468CD" w:rsidP="009468CD">
      <w:pPr>
        <w:pStyle w:val="Heading4"/>
      </w:pPr>
      <w:r>
        <w:t>Ways Auctioning Subsidies Could Deter Investment or Increase Financing Costs</w:t>
      </w:r>
    </w:p>
    <w:p w14:paraId="283AC675" w14:textId="77777777" w:rsidR="009468CD" w:rsidRDefault="009468CD" w:rsidP="009468CD">
      <w:pPr>
        <w:pStyle w:val="break-words"/>
      </w:pPr>
      <w:r>
        <w:t xml:space="preserve">Despite its appeal to governments, competitive allocation via auctions can deter investment or discourage financiers from offering affordable loans by exacerbating weaknesses in subsidy schemes and introducing additional risks. Drawing from the UK </w:t>
      </w:r>
      <w:proofErr w:type="spellStart"/>
      <w:r>
        <w:t>CfD</w:t>
      </w:r>
      <w:proofErr w:type="spellEnd"/>
      <w:r>
        <w:t xml:space="preserve"> case study and other examples in the documents, the following issues emerge:</w:t>
      </w:r>
    </w:p>
    <w:p w14:paraId="71DC40C1" w14:textId="77777777" w:rsidR="009468CD" w:rsidRDefault="009468CD" w:rsidP="009468CD">
      <w:pPr>
        <w:pStyle w:val="break-words"/>
        <w:numPr>
          <w:ilvl w:val="0"/>
          <w:numId w:val="3"/>
        </w:numPr>
      </w:pPr>
      <w:r>
        <w:rPr>
          <w:rStyle w:val="Strong"/>
        </w:rPr>
        <w:t>Exacerbation of Financial Risk and Exclusion of Smaller Developers:</w:t>
      </w:r>
      <w:r>
        <w:br/>
        <w:t xml:space="preserve">Auctions intensify the financial risk inherent in premium schemes by requiring developers to bid aggressively, often at razor-thin margins. Woolley’s analysis of the UK </w:t>
      </w:r>
      <w:proofErr w:type="spellStart"/>
      <w:r>
        <w:t>CfD</w:t>
      </w:r>
      <w:proofErr w:type="spellEnd"/>
      <w:r>
        <w:t xml:space="preserve"> reveals that smaller developers were frequently outbid by larger firms with greater financial and technical capacity, reducing diversity in project ownership (Woolley, </w:t>
      </w:r>
      <w:r>
        <w:rPr>
          <w:rStyle w:val="Emphasis"/>
        </w:rPr>
        <w:t>Renewable Energy Law</w:t>
      </w:r>
      <w:r>
        <w:t xml:space="preserve">, 2023, pp. 111-124). This exclusion heightens perceived risk for smaller players, deterring their participation, while financiers view concentrated markets as less stable, potentially raising interest rates. </w:t>
      </w:r>
      <w:proofErr w:type="spellStart"/>
      <w:r>
        <w:t>Ottinger’s</w:t>
      </w:r>
      <w:proofErr w:type="spellEnd"/>
      <w:r>
        <w:t xml:space="preserve"> case studies echo this, noting that auctions in developing nations sidelined local developers, undermining investment (</w:t>
      </w:r>
      <w:proofErr w:type="spellStart"/>
      <w:r>
        <w:t>Ottinger</w:t>
      </w:r>
      <w:proofErr w:type="spellEnd"/>
      <w:r>
        <w:t xml:space="preserve">, </w:t>
      </w:r>
      <w:r>
        <w:rPr>
          <w:rStyle w:val="Emphasis"/>
        </w:rPr>
        <w:t>Renewable Energy Law and Development: Case Study Analysis</w:t>
      </w:r>
      <w:r>
        <w:t>, 2013, pp. 90-100).</w:t>
      </w:r>
    </w:p>
    <w:p w14:paraId="29AD2C8B" w14:textId="77777777" w:rsidR="009468CD" w:rsidRDefault="009468CD" w:rsidP="009468CD">
      <w:pPr>
        <w:pStyle w:val="break-words"/>
        <w:numPr>
          <w:ilvl w:val="0"/>
          <w:numId w:val="3"/>
        </w:numPr>
      </w:pPr>
      <w:r>
        <w:rPr>
          <w:rStyle w:val="Strong"/>
        </w:rPr>
        <w:t>Increased Uncertainty and Market Risk:</w:t>
      </w:r>
      <w:r>
        <w:br/>
        <w:t xml:space="preserve">The competitive nature of auctions introduces uncertainty, amplifying the market risk of premium schemes. In the UK </w:t>
      </w:r>
      <w:proofErr w:type="spellStart"/>
      <w:r>
        <w:t>CfD</w:t>
      </w:r>
      <w:proofErr w:type="spellEnd"/>
      <w:r>
        <w:t xml:space="preserve">, Woolley notes that developers faced pressure to underbid, risking unprofitable projects if costs exceeded expectations—e.g., unforeseen delays in offshore wind installations (Woolley, </w:t>
      </w:r>
      <w:r>
        <w:rPr>
          <w:rStyle w:val="Emphasis"/>
        </w:rPr>
        <w:t>Renewable Energy Law</w:t>
      </w:r>
      <w:r>
        <w:t xml:space="preserve">, 2023, pp. 111-124). Lauber warns that such uncertainty erodes investor confidence, as seen in early </w:t>
      </w:r>
      <w:proofErr w:type="spellStart"/>
      <w:r>
        <w:t>CfD</w:t>
      </w:r>
      <w:proofErr w:type="spellEnd"/>
      <w:r>
        <w:t xml:space="preserve"> rounds where bid failures led to project delays (Lauber, </w:t>
      </w:r>
      <w:r>
        <w:rPr>
          <w:rStyle w:val="Emphasis"/>
        </w:rPr>
        <w:t>Renewable Energy Law and Policy Review</w:t>
      </w:r>
      <w:r>
        <w:t>, 2011, pp. 22-25). For financiers, this unpredictability increases the likelihood of default, prompting higher interest rates to hedge against losses.</w:t>
      </w:r>
    </w:p>
    <w:p w14:paraId="739290B5" w14:textId="77777777" w:rsidR="009468CD" w:rsidRDefault="009468CD" w:rsidP="009468CD">
      <w:pPr>
        <w:pStyle w:val="break-words"/>
        <w:numPr>
          <w:ilvl w:val="0"/>
          <w:numId w:val="3"/>
        </w:numPr>
      </w:pPr>
      <w:r>
        <w:rPr>
          <w:rStyle w:val="Strong"/>
        </w:rPr>
        <w:t>Administrative Complexity and Technical Risk:</w:t>
      </w:r>
      <w:r>
        <w:br/>
        <w:t xml:space="preserve">Auctions add administrative burdens that exacerbate weaknesses in scheme implementation. Woolley’s </w:t>
      </w:r>
      <w:proofErr w:type="spellStart"/>
      <w:r>
        <w:t>CfD</w:t>
      </w:r>
      <w:proofErr w:type="spellEnd"/>
      <w:r>
        <w:t xml:space="preserve"> case study highlights that complex bidding processes and stringent qualification criteria deterred developers of emerging technologies, such as tidal energy, which struggled to compete with mature wind projects (Woolley, </w:t>
      </w:r>
      <w:r>
        <w:rPr>
          <w:rStyle w:val="Emphasis"/>
        </w:rPr>
        <w:t>Renewable Energy Law</w:t>
      </w:r>
      <w:r>
        <w:t xml:space="preserve">, 2023, pp. 111-124). This amplifies technical risk, as financiers perceive untested technologies as less viable in auction contexts, reducing loan affordability. Song et al.’s review of China’s auction trials similarly notes that bureaucratic inefficiencies delayed subsidy allocation, chilling investment (Song et al., </w:t>
      </w:r>
      <w:r>
        <w:rPr>
          <w:rStyle w:val="Emphasis"/>
        </w:rPr>
        <w:t>Review of Renewable Energy Subsidy System in China</w:t>
      </w:r>
      <w:r>
        <w:t>, 2022, pp. 15-20).</w:t>
      </w:r>
    </w:p>
    <w:p w14:paraId="58C66324" w14:textId="77777777" w:rsidR="009468CD" w:rsidRDefault="009468CD" w:rsidP="009468CD">
      <w:pPr>
        <w:pStyle w:val="break-words"/>
        <w:numPr>
          <w:ilvl w:val="0"/>
          <w:numId w:val="3"/>
        </w:numPr>
      </w:pPr>
      <w:r>
        <w:rPr>
          <w:rStyle w:val="Strong"/>
        </w:rPr>
        <w:t>Additional Risk of Policy Instability:</w:t>
      </w:r>
      <w:r>
        <w:br/>
        <w:t xml:space="preserve">Auctions tie subsidies to governmental discretion, heightening regulatory risk. In the UK </w:t>
      </w:r>
      <w:proofErr w:type="spellStart"/>
      <w:r>
        <w:t>CfD</w:t>
      </w:r>
      <w:proofErr w:type="spellEnd"/>
      <w:r>
        <w:t xml:space="preserve">, Woolley points out that changes in auction frequency or strike price caps—e.g., delays between rounds in 2015-2017—created uncertainty, deterring developers reliant on timely funding (Woolley, </w:t>
      </w:r>
      <w:r>
        <w:rPr>
          <w:rStyle w:val="Emphasis"/>
        </w:rPr>
        <w:t>Renewable Energy Law</w:t>
      </w:r>
      <w:r>
        <w:t xml:space="preserve">, 2023, pp. 111-124). Financiers, wary of policy shifts akin to Spain’s </w:t>
      </w:r>
      <w:proofErr w:type="spellStart"/>
      <w:r>
        <w:t>FiT</w:t>
      </w:r>
      <w:proofErr w:type="spellEnd"/>
      <w:r>
        <w:t xml:space="preserve"> cuts, may perceive this as a systemic risk, increasing borrowing costs (Lauber, </w:t>
      </w:r>
      <w:r>
        <w:rPr>
          <w:rStyle w:val="Emphasis"/>
        </w:rPr>
        <w:t>Renewable Energy Law and Policy Review</w:t>
      </w:r>
      <w:r>
        <w:t>, 2011, pp. 22-25).</w:t>
      </w:r>
    </w:p>
    <w:p w14:paraId="4AD40A00" w14:textId="77777777" w:rsidR="009468CD" w:rsidRDefault="009468CD">
      <w:pPr>
        <w:jc w:val="both"/>
      </w:pPr>
    </w:p>
    <w:p w14:paraId="1080B520" w14:textId="77777777" w:rsidR="000B5F3D" w:rsidRDefault="00000000">
      <w:pPr>
        <w:spacing w:after="0"/>
        <w:jc w:val="both"/>
        <w:rPr>
          <w:b/>
          <w:bCs/>
        </w:rPr>
      </w:pPr>
      <w:r>
        <w:rPr>
          <w:b/>
          <w:bCs/>
        </w:rPr>
        <w:t>Dr Olivia Woolley</w:t>
      </w:r>
    </w:p>
    <w:p w14:paraId="34B143FF" w14:textId="77777777" w:rsidR="000B5F3D" w:rsidRDefault="00000000">
      <w:pPr>
        <w:spacing w:after="0"/>
        <w:jc w:val="both"/>
        <w:rPr>
          <w:b/>
          <w:bCs/>
        </w:rPr>
      </w:pPr>
      <w:r>
        <w:rPr>
          <w:b/>
          <w:bCs/>
        </w:rPr>
        <w:t>10 March 2025</w:t>
      </w:r>
    </w:p>
    <w:p w14:paraId="660AE04A" w14:textId="7CF174E9" w:rsidR="00CC5B40" w:rsidRDefault="00CC5B40" w:rsidP="00CC5B40"/>
    <w:p w14:paraId="4A4B63D4" w14:textId="54487AF9" w:rsidR="00CC5B40" w:rsidRPr="00CC5B40" w:rsidRDefault="00CC5B40" w:rsidP="00CC5B40">
      <w:pPr>
        <w:pStyle w:val="Heading3"/>
        <w:rPr>
          <w:rFonts w:ascii="Times New Roman" w:hAnsi="Times New Roman"/>
          <w:sz w:val="24"/>
          <w:szCs w:val="24"/>
        </w:rPr>
      </w:pPr>
      <w:r w:rsidRPr="00CC5B40">
        <w:rPr>
          <w:rFonts w:ascii="Times New Roman" w:hAnsi="Times New Roman"/>
          <w:sz w:val="24"/>
          <w:szCs w:val="24"/>
        </w:rPr>
        <w:t xml:space="preserve">Q2: </w:t>
      </w:r>
      <w:r w:rsidRPr="00CC5B40">
        <w:rPr>
          <w:rFonts w:ascii="Times New Roman" w:hAnsi="Times New Roman"/>
          <w:sz w:val="24"/>
          <w:szCs w:val="24"/>
        </w:rPr>
        <w:t>Regulatory Risk: Sudden changes in government policies or subsidies can disrupt project funding and profitability.</w:t>
      </w:r>
    </w:p>
    <w:p w14:paraId="494199E7" w14:textId="77777777" w:rsidR="00CC5B40" w:rsidRPr="00CC5B40" w:rsidRDefault="00CC5B40" w:rsidP="00CC5B40">
      <w:pPr>
        <w:pStyle w:val="break-words"/>
      </w:pPr>
      <w:r w:rsidRPr="00CC5B40">
        <w:rPr>
          <w:rStyle w:val="Strong"/>
        </w:rPr>
        <w:t>Details</w:t>
      </w:r>
      <w:r w:rsidRPr="00CC5B40">
        <w:t xml:space="preserve">: Governments often adjust policies or subsidies unexpectedly due to budget constraints, political shifts, or changing energy priorities. For example, a promised subsidy might be reduced or </w:t>
      </w:r>
      <w:proofErr w:type="spellStart"/>
      <w:r w:rsidRPr="00CC5B40">
        <w:t>canceled</w:t>
      </w:r>
      <w:proofErr w:type="spellEnd"/>
      <w:r w:rsidRPr="00CC5B40">
        <w:t xml:space="preserve"> after a project begins, leaving developers without the expected financial support. This can halt construction, delay timelines, or force developers to find new funding sources at higher costs. It also creates uncertainty about future rules, making it hard to plan long-term projects. Developers may face legal battles to recover losses, but these are costly and time-consuming, further eroding profitability.</w:t>
      </w:r>
    </w:p>
    <w:p w14:paraId="74B9FD3E" w14:textId="77777777" w:rsidR="00CC5B40" w:rsidRPr="00CC5B40" w:rsidRDefault="00D00B96" w:rsidP="00CC5B40">
      <w:pPr>
        <w:rPr>
          <w:rFonts w:ascii="Times New Roman" w:hAnsi="Times New Roman"/>
        </w:rPr>
      </w:pPr>
      <w:r w:rsidRPr="00D00B96">
        <w:rPr>
          <w:rFonts w:ascii="Times New Roman" w:hAnsi="Times New Roman"/>
          <w:noProof/>
        </w:rPr>
        <w:pict w14:anchorId="64A67EAC">
          <v:rect id="_x0000_i1027" alt="" style="width:451.3pt;height:.05pt;mso-width-percent:0;mso-height-percent:0;mso-width-percent:0;mso-height-percent:0" o:hralign="center" o:hrstd="t" o:hr="t" fillcolor="#a0a0a0" stroked="f"/>
        </w:pict>
      </w:r>
    </w:p>
    <w:p w14:paraId="1E353AEC" w14:textId="77777777" w:rsidR="00CC5B40" w:rsidRPr="00CC5B40" w:rsidRDefault="00CC5B40" w:rsidP="00CC5B40">
      <w:pPr>
        <w:pStyle w:val="Heading3"/>
        <w:rPr>
          <w:rFonts w:ascii="Times New Roman" w:hAnsi="Times New Roman"/>
          <w:sz w:val="24"/>
          <w:szCs w:val="24"/>
        </w:rPr>
      </w:pPr>
      <w:r w:rsidRPr="00CC5B40">
        <w:rPr>
          <w:rFonts w:ascii="Times New Roman" w:hAnsi="Times New Roman"/>
          <w:sz w:val="24"/>
          <w:szCs w:val="24"/>
        </w:rPr>
        <w:t>Financial Risk: High upfront costs and delays in securing loans or subsidies can strain budgets.</w:t>
      </w:r>
    </w:p>
    <w:p w14:paraId="7B222BE6" w14:textId="77777777" w:rsidR="00CC5B40" w:rsidRPr="00CC5B40" w:rsidRDefault="00CC5B40" w:rsidP="00CC5B40">
      <w:pPr>
        <w:pStyle w:val="break-words"/>
      </w:pPr>
      <w:r w:rsidRPr="00CC5B40">
        <w:rPr>
          <w:rStyle w:val="Strong"/>
        </w:rPr>
        <w:t>Details</w:t>
      </w:r>
      <w:r w:rsidRPr="00CC5B40">
        <w:t>: Renewable energy projects, like wind farms or solar plants, require massive initial investments for equipment, land, and installation—often millions of dollars before any revenue is generated. If loans are delayed due to lender caution or subsidies don’t arrive on time, developers must cover these costs themselves, draining cash reserves or forcing them into expensive short-term borrowing. This can push budgets to the breaking point, especially for smaller companies, and may lead to project abandonment if funding gaps persist. Even when financing is secured, high interest rates can eat into profits over time.</w:t>
      </w:r>
    </w:p>
    <w:p w14:paraId="68FB1149" w14:textId="77777777" w:rsidR="00CC5B40" w:rsidRPr="00CC5B40" w:rsidRDefault="00D00B96" w:rsidP="00CC5B40">
      <w:pPr>
        <w:rPr>
          <w:rFonts w:ascii="Times New Roman" w:hAnsi="Times New Roman"/>
        </w:rPr>
      </w:pPr>
      <w:r w:rsidRPr="00D00B96">
        <w:rPr>
          <w:rFonts w:ascii="Times New Roman" w:hAnsi="Times New Roman"/>
          <w:noProof/>
        </w:rPr>
        <w:pict w14:anchorId="625688B7">
          <v:rect id="_x0000_i1026" alt="" style="width:451.3pt;height:.05pt;mso-width-percent:0;mso-height-percent:0;mso-width-percent:0;mso-height-percent:0" o:hralign="center" o:hrstd="t" o:hr="t" fillcolor="#a0a0a0" stroked="f"/>
        </w:pict>
      </w:r>
    </w:p>
    <w:p w14:paraId="02D30B98" w14:textId="77777777" w:rsidR="00CC5B40" w:rsidRPr="00CC5B40" w:rsidRDefault="00CC5B40" w:rsidP="00CC5B40">
      <w:pPr>
        <w:pStyle w:val="Heading3"/>
        <w:rPr>
          <w:rFonts w:ascii="Times New Roman" w:hAnsi="Times New Roman"/>
          <w:sz w:val="24"/>
          <w:szCs w:val="24"/>
        </w:rPr>
      </w:pPr>
      <w:r w:rsidRPr="00CC5B40">
        <w:rPr>
          <w:rFonts w:ascii="Times New Roman" w:hAnsi="Times New Roman"/>
          <w:sz w:val="24"/>
          <w:szCs w:val="24"/>
        </w:rPr>
        <w:t>Technical Risk: Unreliable or untested technology might fail to deliver expected energy output.</w:t>
      </w:r>
    </w:p>
    <w:p w14:paraId="7570732C" w14:textId="77777777" w:rsidR="00CC5B40" w:rsidRPr="00CC5B40" w:rsidRDefault="00CC5B40" w:rsidP="00CC5B40">
      <w:pPr>
        <w:pStyle w:val="break-words"/>
      </w:pPr>
      <w:r w:rsidRPr="00CC5B40">
        <w:rPr>
          <w:rStyle w:val="Strong"/>
        </w:rPr>
        <w:t>Details</w:t>
      </w:r>
      <w:r w:rsidRPr="00CC5B40">
        <w:t xml:space="preserve">: New or experimental technologies, like advanced solar panels or tidal energy systems, might not perform as promised in real-world conditions. Weather, equipment breakdowns, or design flaws can reduce energy production below projections, cutting revenue and making it harder to repay loans. For instance, an offshore wind turbine might underperform due to harsh sea conditions, or a biomass plant might struggle with inconsistent fuel supply. These failures increase maintenance costs and delay returns, while developers bear the burden of proving the technology’s worth to </w:t>
      </w:r>
      <w:proofErr w:type="spellStart"/>
      <w:r w:rsidRPr="00CC5B40">
        <w:t>skeptical</w:t>
      </w:r>
      <w:proofErr w:type="spellEnd"/>
      <w:r w:rsidRPr="00CC5B40">
        <w:t xml:space="preserve"> investors.</w:t>
      </w:r>
    </w:p>
    <w:p w14:paraId="75FF5E96" w14:textId="77777777" w:rsidR="00CC5B40" w:rsidRPr="00CC5B40" w:rsidRDefault="00D00B96" w:rsidP="00CC5B40">
      <w:pPr>
        <w:rPr>
          <w:rFonts w:ascii="Times New Roman" w:hAnsi="Times New Roman"/>
        </w:rPr>
      </w:pPr>
      <w:r w:rsidRPr="00D00B96">
        <w:rPr>
          <w:rFonts w:ascii="Times New Roman" w:hAnsi="Times New Roman"/>
          <w:noProof/>
        </w:rPr>
        <w:pict w14:anchorId="2CC7B477">
          <v:rect id="_x0000_i1025" alt="" style="width:451.3pt;height:.05pt;mso-width-percent:0;mso-height-percent:0;mso-width-percent:0;mso-height-percent:0" o:hralign="center" o:hrstd="t" o:hr="t" fillcolor="#a0a0a0" stroked="f"/>
        </w:pict>
      </w:r>
    </w:p>
    <w:p w14:paraId="60DC9E25" w14:textId="77777777" w:rsidR="00CC5B40" w:rsidRPr="00CC5B40" w:rsidRDefault="00CC5B40" w:rsidP="00CC5B40">
      <w:pPr>
        <w:pStyle w:val="Heading3"/>
        <w:rPr>
          <w:rFonts w:ascii="Times New Roman" w:hAnsi="Times New Roman"/>
          <w:sz w:val="24"/>
          <w:szCs w:val="24"/>
        </w:rPr>
      </w:pPr>
      <w:r w:rsidRPr="00CC5B40">
        <w:rPr>
          <w:rFonts w:ascii="Times New Roman" w:hAnsi="Times New Roman"/>
          <w:sz w:val="24"/>
          <w:szCs w:val="24"/>
        </w:rPr>
        <w:t>Market Risk: Fluctuating energy prices or low demand can reduce revenue.</w:t>
      </w:r>
    </w:p>
    <w:p w14:paraId="0AABE2D0" w14:textId="77777777" w:rsidR="00CC5B40" w:rsidRPr="00CC5B40" w:rsidRDefault="00CC5B40" w:rsidP="00CC5B40">
      <w:pPr>
        <w:pStyle w:val="break-words"/>
      </w:pPr>
      <w:r w:rsidRPr="00CC5B40">
        <w:rPr>
          <w:rStyle w:val="Strong"/>
        </w:rPr>
        <w:t>Details</w:t>
      </w:r>
      <w:r w:rsidRPr="00CC5B40">
        <w:t xml:space="preserve">: Renewable energy competes in markets where electricity prices can swing wildly due to supply, demand, or cheaper fossil fuels. If prices drop after a project starts, the energy sold might not cover costs, especially without fixed subsidies. Low demand—say, from an </w:t>
      </w:r>
      <w:r w:rsidRPr="00CC5B40">
        <w:lastRenderedPageBreak/>
        <w:t>economic slowdown or oversupply of power—further shrinks income. Developers locked into long-term projects can’t easily adjust, leaving them exposed to losses. This unpredictability also makes it tough to forecast profits, scaring off financiers who want steady returns.</w:t>
      </w:r>
    </w:p>
    <w:p w14:paraId="7C837F57" w14:textId="63E6A063" w:rsidR="00CC5B40" w:rsidRDefault="00CC5B40">
      <w:pPr>
        <w:spacing w:after="0"/>
        <w:jc w:val="both"/>
      </w:pPr>
      <w:r>
        <w:t xml:space="preserve">Q3: </w:t>
      </w:r>
    </w:p>
    <w:p w14:paraId="1B8A75EE" w14:textId="77777777" w:rsidR="00CC5B40" w:rsidRDefault="00CC5B40" w:rsidP="00CC5B40">
      <w:pPr>
        <w:pStyle w:val="Heading3"/>
      </w:pPr>
      <w:r>
        <w:t>Role of Operating Subsidies (Simple)</w:t>
      </w:r>
    </w:p>
    <w:p w14:paraId="29DADCB1" w14:textId="77777777" w:rsidR="00CC5B40" w:rsidRDefault="00CC5B40" w:rsidP="00CC5B40">
      <w:pPr>
        <w:pStyle w:val="break-words"/>
      </w:pPr>
      <w:r>
        <w:t>Operating subsidies help renewable energy projects stay profitable by providing ongoing financial support after setup. They cover the gap between production costs and market earnings, reducing risk and encouraging developers to build and operate projects like wind or solar farms.</w:t>
      </w:r>
    </w:p>
    <w:p w14:paraId="465EF1EC" w14:textId="77777777" w:rsidR="00CC5B40" w:rsidRDefault="00CC5B40" w:rsidP="00CC5B40">
      <w:pPr>
        <w:pStyle w:val="Heading3"/>
      </w:pPr>
      <w:r>
        <w:t>Three Main Types of Operating Subsidy (Detailed)</w:t>
      </w:r>
    </w:p>
    <w:p w14:paraId="4373D283" w14:textId="77777777" w:rsidR="00CC5B40" w:rsidRDefault="00CC5B40" w:rsidP="00CC5B40">
      <w:pPr>
        <w:pStyle w:val="break-words"/>
        <w:numPr>
          <w:ilvl w:val="0"/>
          <w:numId w:val="8"/>
        </w:numPr>
      </w:pPr>
      <w:r>
        <w:rPr>
          <w:rStyle w:val="Strong"/>
        </w:rPr>
        <w:t>Feed-in Tariffs (</w:t>
      </w:r>
      <w:proofErr w:type="spellStart"/>
      <w:r>
        <w:rPr>
          <w:rStyle w:val="Strong"/>
        </w:rPr>
        <w:t>FiTs</w:t>
      </w:r>
      <w:proofErr w:type="spellEnd"/>
      <w:r>
        <w:rPr>
          <w:rStyle w:val="Strong"/>
        </w:rPr>
        <w:t>)</w:t>
      </w:r>
      <w:r>
        <w:t xml:space="preserve"> </w:t>
      </w:r>
    </w:p>
    <w:p w14:paraId="5271E9CE" w14:textId="77777777" w:rsidR="00772750" w:rsidRDefault="00CC5B40" w:rsidP="00772750">
      <w:pPr>
        <w:pStyle w:val="break-words"/>
      </w:pPr>
      <w:r>
        <w:rPr>
          <w:rStyle w:val="Strong"/>
        </w:rPr>
        <w:t>Details</w:t>
      </w:r>
      <w:r>
        <w:t xml:space="preserve">: Feed-in Tariffs give developers a fixed amount of money for every unit of renewable energy they produce—like a set price per kilowatt-hour of wind or solar power. </w:t>
      </w:r>
    </w:p>
    <w:p w14:paraId="4D5FB505" w14:textId="3D6B24DC" w:rsidR="00CC5B40" w:rsidRDefault="00CC5B40" w:rsidP="00772750">
      <w:pPr>
        <w:pStyle w:val="break-words"/>
      </w:pPr>
      <w:r>
        <w:t>This payment is locked in for a long time, often 15-20 years, so developers know exactly what they’ll earn. It’s simple and predictable, which helps them plan and cover costs without worrying about changing market prices. Governments set the rates, and energy companies or taxpayers usually foot the bill. This type works well for getting projects off the ground, especially in places where renewable energy is new or expensive to start.</w:t>
      </w:r>
    </w:p>
    <w:p w14:paraId="6BB05AF4" w14:textId="77777777" w:rsidR="00CC5B40" w:rsidRDefault="00CC5B40" w:rsidP="00CC5B40">
      <w:pPr>
        <w:pStyle w:val="break-words"/>
        <w:numPr>
          <w:ilvl w:val="0"/>
          <w:numId w:val="8"/>
        </w:numPr>
      </w:pPr>
      <w:r>
        <w:rPr>
          <w:rStyle w:val="Strong"/>
        </w:rPr>
        <w:t>Certificate/Obligation Schemes</w:t>
      </w:r>
      <w:r>
        <w:t xml:space="preserve"> </w:t>
      </w:r>
    </w:p>
    <w:p w14:paraId="679E302F" w14:textId="77777777" w:rsidR="00CC5B40" w:rsidRDefault="00CC5B40" w:rsidP="00772750">
      <w:pPr>
        <w:pStyle w:val="break-words"/>
      </w:pPr>
      <w:r>
        <w:rPr>
          <w:rStyle w:val="Strong"/>
        </w:rPr>
        <w:t>Details</w:t>
      </w:r>
      <w:r>
        <w:t xml:space="preserve">: In this system, developers get certificates for the renewable energy they produce—like a reward ticket for each unit of green power. Utilities or energy suppliers are then required by law to buy a certain number of these certificates to prove they’re supporting renewables, creating a market where certificates can be traded. Developers sell the certificates for extra cash on top of what they earn from selling energy. It’s a way to push companies to use more renewables while giving developers a flexible income boost. However, certificate prices can go up or down, so earnings aren’t as steady as with </w:t>
      </w:r>
      <w:proofErr w:type="spellStart"/>
      <w:r>
        <w:t>FiTs</w:t>
      </w:r>
      <w:proofErr w:type="spellEnd"/>
      <w:r>
        <w:t>.</w:t>
      </w:r>
    </w:p>
    <w:p w14:paraId="3AAB6A58" w14:textId="77777777" w:rsidR="00CC5B40" w:rsidRDefault="00CC5B40" w:rsidP="00CC5B40">
      <w:pPr>
        <w:pStyle w:val="break-words"/>
        <w:numPr>
          <w:ilvl w:val="0"/>
          <w:numId w:val="8"/>
        </w:numPr>
      </w:pPr>
      <w:r>
        <w:rPr>
          <w:rStyle w:val="Strong"/>
        </w:rPr>
        <w:t>Premium Schemes</w:t>
      </w:r>
      <w:r>
        <w:t xml:space="preserve"> </w:t>
      </w:r>
    </w:p>
    <w:p w14:paraId="5D1B81B1" w14:textId="77777777" w:rsidR="00CC5B40" w:rsidRDefault="00CC5B40" w:rsidP="00772750">
      <w:pPr>
        <w:pStyle w:val="break-words"/>
      </w:pPr>
      <w:r>
        <w:rPr>
          <w:rStyle w:val="Strong"/>
        </w:rPr>
        <w:t>Details</w:t>
      </w:r>
      <w:r>
        <w:t>: Premium schemes pay developers an extra amount—a “bonus”—on top of the regular market price for their renewable energy. For example, if the market pays $50 per unit, the premium might add $20 more, but it can change based on market conditions or government rules. This keeps projects tied to real energy prices while still giving financial help. It’s often used in competitive setups, like auctions, where developers bid for the premium they need. This type encourages efficiency since developers still feel market pressure, but the bonus helps cover higher costs, making projects worthwhile even when prices dip.</w:t>
      </w:r>
    </w:p>
    <w:p w14:paraId="275341E3" w14:textId="77777777" w:rsidR="00CC5B40" w:rsidRDefault="00CC5B40">
      <w:pPr>
        <w:spacing w:after="0"/>
        <w:jc w:val="both"/>
      </w:pPr>
    </w:p>
    <w:sectPr w:rsidR="00CC5B4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3C816" w14:textId="77777777" w:rsidR="00D00B96" w:rsidRDefault="00D00B96">
      <w:pPr>
        <w:spacing w:after="0" w:line="240" w:lineRule="auto"/>
      </w:pPr>
      <w:r>
        <w:separator/>
      </w:r>
    </w:p>
  </w:endnote>
  <w:endnote w:type="continuationSeparator" w:id="0">
    <w:p w14:paraId="7E129BBD" w14:textId="77777777" w:rsidR="00D00B96" w:rsidRDefault="00D00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0C9423" w14:textId="77777777" w:rsidR="00D00B96" w:rsidRDefault="00D00B96">
      <w:pPr>
        <w:spacing w:after="0" w:line="240" w:lineRule="auto"/>
      </w:pPr>
      <w:r>
        <w:rPr>
          <w:color w:val="000000"/>
        </w:rPr>
        <w:separator/>
      </w:r>
    </w:p>
  </w:footnote>
  <w:footnote w:type="continuationSeparator" w:id="0">
    <w:p w14:paraId="0AA02556" w14:textId="77777777" w:rsidR="00D00B96" w:rsidRDefault="00D00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136F8"/>
    <w:multiLevelType w:val="multilevel"/>
    <w:tmpl w:val="0BB8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15F86"/>
    <w:multiLevelType w:val="multilevel"/>
    <w:tmpl w:val="DCE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13EA9"/>
    <w:multiLevelType w:val="multilevel"/>
    <w:tmpl w:val="3716C81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56B25C0"/>
    <w:multiLevelType w:val="multilevel"/>
    <w:tmpl w:val="F1F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B7F25"/>
    <w:multiLevelType w:val="multilevel"/>
    <w:tmpl w:val="129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05C40"/>
    <w:multiLevelType w:val="multilevel"/>
    <w:tmpl w:val="B040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46B06"/>
    <w:multiLevelType w:val="multilevel"/>
    <w:tmpl w:val="0ABC32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79EA52C1"/>
    <w:multiLevelType w:val="multilevel"/>
    <w:tmpl w:val="10BE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961702">
    <w:abstractNumId w:val="6"/>
  </w:num>
  <w:num w:numId="2" w16cid:durableId="83109525">
    <w:abstractNumId w:val="7"/>
  </w:num>
  <w:num w:numId="3" w16cid:durableId="84109445">
    <w:abstractNumId w:val="0"/>
  </w:num>
  <w:num w:numId="4" w16cid:durableId="242419799">
    <w:abstractNumId w:val="1"/>
  </w:num>
  <w:num w:numId="5" w16cid:durableId="1127554134">
    <w:abstractNumId w:val="3"/>
  </w:num>
  <w:num w:numId="6" w16cid:durableId="1787847387">
    <w:abstractNumId w:val="4"/>
  </w:num>
  <w:num w:numId="7" w16cid:durableId="883056311">
    <w:abstractNumId w:val="5"/>
  </w:num>
  <w:num w:numId="8" w16cid:durableId="1118065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F3D"/>
    <w:rsid w:val="000B5F3D"/>
    <w:rsid w:val="0014610C"/>
    <w:rsid w:val="00335249"/>
    <w:rsid w:val="0048053B"/>
    <w:rsid w:val="00703941"/>
    <w:rsid w:val="00772750"/>
    <w:rsid w:val="008614DB"/>
    <w:rsid w:val="00903B62"/>
    <w:rsid w:val="00944FF1"/>
    <w:rsid w:val="009468CD"/>
    <w:rsid w:val="00A07D9F"/>
    <w:rsid w:val="00C36588"/>
    <w:rsid w:val="00CC13A9"/>
    <w:rsid w:val="00CC5B40"/>
    <w:rsid w:val="00D00B9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93DFEDA"/>
  <w15:docId w15:val="{ABD54D4C-DB7C-4A75-8E71-D638E674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4"/>
        <w:szCs w:val="24"/>
        <w:lang w:val="en-GB"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customStyle="1" w:styleId="break-words">
    <w:name w:val="break-words"/>
    <w:basedOn w:val="Normal"/>
    <w:rsid w:val="00703941"/>
    <w:pPr>
      <w:suppressAutoHyphens w:val="0"/>
      <w:autoSpaceDN/>
      <w:spacing w:before="100" w:beforeAutospacing="1" w:after="100" w:afterAutospacing="1" w:line="240" w:lineRule="auto"/>
      <w:textAlignment w:val="auto"/>
    </w:pPr>
    <w:rPr>
      <w:rFonts w:ascii="Times New Roman" w:eastAsia="Times New Roman" w:hAnsi="Times New Roman"/>
      <w:kern w:val="0"/>
      <w:lang w:val="en-HK" w:eastAsia="zh-CN"/>
    </w:rPr>
  </w:style>
  <w:style w:type="character" w:styleId="Emphasis">
    <w:name w:val="Emphasis"/>
    <w:basedOn w:val="DefaultParagraphFont"/>
    <w:uiPriority w:val="20"/>
    <w:qFormat/>
    <w:rsid w:val="00703941"/>
    <w:rPr>
      <w:i/>
      <w:iCs/>
    </w:rPr>
  </w:style>
  <w:style w:type="character" w:styleId="Strong">
    <w:name w:val="Strong"/>
    <w:basedOn w:val="DefaultParagraphFont"/>
    <w:uiPriority w:val="22"/>
    <w:qFormat/>
    <w:rsid w:val="00703941"/>
    <w:rPr>
      <w:b/>
      <w:bCs/>
    </w:rPr>
  </w:style>
  <w:style w:type="paragraph" w:styleId="Date">
    <w:name w:val="Date"/>
    <w:basedOn w:val="Normal"/>
    <w:next w:val="Normal"/>
    <w:link w:val="DateChar"/>
    <w:uiPriority w:val="99"/>
    <w:semiHidden/>
    <w:unhideWhenUsed/>
    <w:rsid w:val="00CC5B40"/>
  </w:style>
  <w:style w:type="character" w:customStyle="1" w:styleId="DateChar">
    <w:name w:val="Date Char"/>
    <w:basedOn w:val="DefaultParagraphFont"/>
    <w:link w:val="Date"/>
    <w:uiPriority w:val="99"/>
    <w:semiHidden/>
    <w:rsid w:val="00CC5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674720">
      <w:bodyDiv w:val="1"/>
      <w:marLeft w:val="0"/>
      <w:marRight w:val="0"/>
      <w:marTop w:val="0"/>
      <w:marBottom w:val="0"/>
      <w:divBdr>
        <w:top w:val="none" w:sz="0" w:space="0" w:color="auto"/>
        <w:left w:val="none" w:sz="0" w:space="0" w:color="auto"/>
        <w:bottom w:val="none" w:sz="0" w:space="0" w:color="auto"/>
        <w:right w:val="none" w:sz="0" w:space="0" w:color="auto"/>
      </w:divBdr>
      <w:divsChild>
        <w:div w:id="1663390793">
          <w:marLeft w:val="0"/>
          <w:marRight w:val="0"/>
          <w:marTop w:val="0"/>
          <w:marBottom w:val="0"/>
          <w:divBdr>
            <w:top w:val="none" w:sz="0" w:space="0" w:color="auto"/>
            <w:left w:val="none" w:sz="0" w:space="0" w:color="auto"/>
            <w:bottom w:val="none" w:sz="0" w:space="0" w:color="auto"/>
            <w:right w:val="none" w:sz="0" w:space="0" w:color="auto"/>
          </w:divBdr>
        </w:div>
      </w:divsChild>
    </w:div>
    <w:div w:id="750930540">
      <w:bodyDiv w:val="1"/>
      <w:marLeft w:val="0"/>
      <w:marRight w:val="0"/>
      <w:marTop w:val="0"/>
      <w:marBottom w:val="0"/>
      <w:divBdr>
        <w:top w:val="none" w:sz="0" w:space="0" w:color="auto"/>
        <w:left w:val="none" w:sz="0" w:space="0" w:color="auto"/>
        <w:bottom w:val="none" w:sz="0" w:space="0" w:color="auto"/>
        <w:right w:val="none" w:sz="0" w:space="0" w:color="auto"/>
      </w:divBdr>
      <w:divsChild>
        <w:div w:id="1808163454">
          <w:marLeft w:val="0"/>
          <w:marRight w:val="0"/>
          <w:marTop w:val="0"/>
          <w:marBottom w:val="0"/>
          <w:divBdr>
            <w:top w:val="none" w:sz="0" w:space="0" w:color="auto"/>
            <w:left w:val="none" w:sz="0" w:space="0" w:color="auto"/>
            <w:bottom w:val="none" w:sz="0" w:space="0" w:color="auto"/>
            <w:right w:val="none" w:sz="0" w:space="0" w:color="auto"/>
          </w:divBdr>
        </w:div>
      </w:divsChild>
    </w:div>
    <w:div w:id="1137379810">
      <w:bodyDiv w:val="1"/>
      <w:marLeft w:val="0"/>
      <w:marRight w:val="0"/>
      <w:marTop w:val="0"/>
      <w:marBottom w:val="0"/>
      <w:divBdr>
        <w:top w:val="none" w:sz="0" w:space="0" w:color="auto"/>
        <w:left w:val="none" w:sz="0" w:space="0" w:color="auto"/>
        <w:bottom w:val="none" w:sz="0" w:space="0" w:color="auto"/>
        <w:right w:val="none" w:sz="0" w:space="0" w:color="auto"/>
      </w:divBdr>
      <w:divsChild>
        <w:div w:id="1822193884">
          <w:marLeft w:val="0"/>
          <w:marRight w:val="0"/>
          <w:marTop w:val="0"/>
          <w:marBottom w:val="0"/>
          <w:divBdr>
            <w:top w:val="none" w:sz="0" w:space="0" w:color="auto"/>
            <w:left w:val="none" w:sz="0" w:space="0" w:color="auto"/>
            <w:bottom w:val="none" w:sz="0" w:space="0" w:color="auto"/>
            <w:right w:val="none" w:sz="0" w:space="0" w:color="auto"/>
          </w:divBdr>
        </w:div>
      </w:divsChild>
    </w:div>
    <w:div w:id="1192651458">
      <w:bodyDiv w:val="1"/>
      <w:marLeft w:val="0"/>
      <w:marRight w:val="0"/>
      <w:marTop w:val="0"/>
      <w:marBottom w:val="0"/>
      <w:divBdr>
        <w:top w:val="none" w:sz="0" w:space="0" w:color="auto"/>
        <w:left w:val="none" w:sz="0" w:space="0" w:color="auto"/>
        <w:bottom w:val="none" w:sz="0" w:space="0" w:color="auto"/>
        <w:right w:val="none" w:sz="0" w:space="0" w:color="auto"/>
      </w:divBdr>
      <w:divsChild>
        <w:div w:id="1768428907">
          <w:marLeft w:val="0"/>
          <w:marRight w:val="0"/>
          <w:marTop w:val="0"/>
          <w:marBottom w:val="0"/>
          <w:divBdr>
            <w:top w:val="none" w:sz="0" w:space="0" w:color="auto"/>
            <w:left w:val="none" w:sz="0" w:space="0" w:color="auto"/>
            <w:bottom w:val="none" w:sz="0" w:space="0" w:color="auto"/>
            <w:right w:val="none" w:sz="0" w:space="0" w:color="auto"/>
          </w:divBdr>
        </w:div>
      </w:divsChild>
    </w:div>
    <w:div w:id="1918396707">
      <w:bodyDiv w:val="1"/>
      <w:marLeft w:val="0"/>
      <w:marRight w:val="0"/>
      <w:marTop w:val="0"/>
      <w:marBottom w:val="0"/>
      <w:divBdr>
        <w:top w:val="none" w:sz="0" w:space="0" w:color="auto"/>
        <w:left w:val="none" w:sz="0" w:space="0" w:color="auto"/>
        <w:bottom w:val="none" w:sz="0" w:space="0" w:color="auto"/>
        <w:right w:val="none" w:sz="0" w:space="0" w:color="auto"/>
      </w:divBdr>
      <w:divsChild>
        <w:div w:id="49697794">
          <w:marLeft w:val="0"/>
          <w:marRight w:val="0"/>
          <w:marTop w:val="0"/>
          <w:marBottom w:val="0"/>
          <w:divBdr>
            <w:top w:val="none" w:sz="0" w:space="0" w:color="auto"/>
            <w:left w:val="none" w:sz="0" w:space="0" w:color="auto"/>
            <w:bottom w:val="none" w:sz="0" w:space="0" w:color="auto"/>
            <w:right w:val="none" w:sz="0" w:space="0" w:color="auto"/>
          </w:divBdr>
        </w:div>
      </w:divsChild>
    </w:div>
    <w:div w:id="2084331427">
      <w:bodyDiv w:val="1"/>
      <w:marLeft w:val="0"/>
      <w:marRight w:val="0"/>
      <w:marTop w:val="0"/>
      <w:marBottom w:val="0"/>
      <w:divBdr>
        <w:top w:val="none" w:sz="0" w:space="0" w:color="auto"/>
        <w:left w:val="none" w:sz="0" w:space="0" w:color="auto"/>
        <w:bottom w:val="none" w:sz="0" w:space="0" w:color="auto"/>
        <w:right w:val="none" w:sz="0" w:space="0" w:color="auto"/>
      </w:divBdr>
      <w:divsChild>
        <w:div w:id="2981928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5015</Words>
  <Characters>28586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Woolley</dc:creator>
  <dc:description/>
  <cp:lastModifiedBy>TSANG, AGNES H.L. (Student)</cp:lastModifiedBy>
  <cp:revision>7</cp:revision>
  <dcterms:created xsi:type="dcterms:W3CDTF">2025-03-10T21:59:00Z</dcterms:created>
  <dcterms:modified xsi:type="dcterms:W3CDTF">2025-03-18T11:23:00Z</dcterms:modified>
</cp:coreProperties>
</file>