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E62CF" w14:textId="6669474C" w:rsidR="00662923" w:rsidRPr="00662923" w:rsidRDefault="00662923" w:rsidP="00662923">
      <w:pPr>
        <w:autoSpaceDE w:val="0"/>
        <w:autoSpaceDN w:val="0"/>
        <w:adjustRightInd w:val="0"/>
        <w:spacing w:after="240" w:line="360" w:lineRule="auto"/>
        <w:rPr>
          <w:rFonts w:ascii="Times-Bold" w:eastAsiaTheme="minorEastAsia" w:hAnsi="Times-Bold" w:cs="Times-Bold"/>
          <w:b/>
          <w:bCs/>
          <w14:ligatures w14:val="standardContextual"/>
        </w:rPr>
      </w:pPr>
      <w:r w:rsidRPr="00662923">
        <w:rPr>
          <w:rFonts w:ascii="Times-Bold" w:eastAsiaTheme="minorEastAsia" w:hAnsi="Times-Bold" w:cs="Times-Bold"/>
          <w:b/>
          <w:bCs/>
          <w14:ligatures w14:val="standardContextual"/>
        </w:rPr>
        <w:t xml:space="preserve">1. </w:t>
      </w:r>
      <w:r w:rsidRPr="00662923">
        <w:rPr>
          <w:rFonts w:ascii="Times-Bold" w:eastAsiaTheme="minorEastAsia" w:hAnsi="Times-Bold" w:cs="Times-Bold"/>
          <w:b/>
          <w:bCs/>
          <w14:ligatures w14:val="standardContextual"/>
        </w:rPr>
        <w:t>Non-Fossil Fuel Obligation (NFFO) - 1990-1998</w:t>
      </w:r>
    </w:p>
    <w:p w14:paraId="55BCD14E" w14:textId="063A41A2"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Summary</w:t>
      </w:r>
      <w:r w:rsidRPr="00662923">
        <w:rPr>
          <w:rFonts w:ascii="Times-Roman" w:eastAsiaTheme="minorEastAsia" w:hAnsi="Times-Roman" w:cs="Times-Roman"/>
          <w14:ligatures w14:val="standardContextual"/>
        </w:rPr>
        <w:t xml:space="preserve">: The NFFO was the UK’s initial mechanism to support renewable electricity (RES-E), running from 1990 to 1998. It operated through competitive bidding rounds, where developers bid for contracts to supply renewable energy at set prices, subsidized by a fossil fuel levy. It aimed to stimulate economic exploitation of renewable resources and foster a domestic renewable industry. However, it underperformed, with only 30% of contracted projects reaching commissioning, notably </w:t>
      </w:r>
      <w:proofErr w:type="spellStart"/>
      <w:r w:rsidRPr="00662923">
        <w:rPr>
          <w:rFonts w:ascii="Times-Roman" w:eastAsiaTheme="minorEastAsia" w:hAnsi="Times-Roman" w:cs="Times-Roman"/>
          <w14:ligatures w14:val="standardContextual"/>
        </w:rPr>
        <w:t>favoring</w:t>
      </w:r>
      <w:proofErr w:type="spellEnd"/>
      <w:r w:rsidRPr="00662923">
        <w:rPr>
          <w:rFonts w:ascii="Times-Roman" w:eastAsiaTheme="minorEastAsia" w:hAnsi="Times-Roman" w:cs="Times-Roman"/>
          <w14:ligatures w14:val="standardContextual"/>
        </w:rPr>
        <w:t xml:space="preserve"> landfill gas (68% deployment) over wind (19%) and waste (17%).</w:t>
      </w:r>
    </w:p>
    <w:p w14:paraId="47B68869"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Internal Failures</w:t>
      </w:r>
      <w:r w:rsidRPr="00662923">
        <w:rPr>
          <w:rFonts w:ascii="Times-Roman" w:eastAsiaTheme="minorEastAsia" w:hAnsi="Times-Roman" w:cs="Times-Roman"/>
          <w14:ligatures w14:val="standardContextual"/>
        </w:rPr>
        <w:t>:</w:t>
      </w:r>
    </w:p>
    <w:p w14:paraId="167FC61E" w14:textId="42CAF238"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Short Duration</w:t>
      </w:r>
      <w:r w:rsidRPr="00662923">
        <w:rPr>
          <w:rFonts w:ascii="Times-Roman" w:eastAsiaTheme="minorEastAsia" w:hAnsi="Times-Roman" w:cs="Times-Roman"/>
          <w14:ligatures w14:val="standardContextual"/>
        </w:rPr>
        <w:t>: Initially set for 8 years, the limited lifespan increased financial risk and deterred long-term investment.</w:t>
      </w:r>
    </w:p>
    <w:p w14:paraId="3A437226" w14:textId="7EBB263B"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Excessive Focus on Low Costs</w:t>
      </w:r>
      <w:r w:rsidRPr="00662923">
        <w:rPr>
          <w:rFonts w:ascii="Times-Roman" w:eastAsiaTheme="minorEastAsia" w:hAnsi="Times-Roman" w:cs="Times-Roman"/>
          <w14:ligatures w14:val="standardContextual"/>
        </w:rPr>
        <w:t>: Competitive bidding drove prices unrealistically low, causing many projects to fail as developers couldn’t build at contracted rates.</w:t>
      </w:r>
    </w:p>
    <w:p w14:paraId="46443369" w14:textId="6CB6A81B"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Bidding Structure Issues</w:t>
      </w:r>
      <w:r w:rsidRPr="00662923">
        <w:rPr>
          <w:rFonts w:ascii="Times-Roman" w:eastAsiaTheme="minorEastAsia" w:hAnsi="Times-Roman" w:cs="Times-Roman"/>
          <w14:ligatures w14:val="standardContextual"/>
        </w:rPr>
        <w:t>: Clustering of bids led to simultaneous construction attempts, exacerbating planning issues (e.g., a perceived "wind rush").</w:t>
      </w:r>
    </w:p>
    <w:p w14:paraId="4621F2FE" w14:textId="365C0B9F"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Irregular Bidding Rounds</w:t>
      </w:r>
      <w:r w:rsidRPr="00662923">
        <w:rPr>
          <w:rFonts w:ascii="Times-Roman" w:eastAsiaTheme="minorEastAsia" w:hAnsi="Times-Roman" w:cs="Times-Roman"/>
          <w14:ligatures w14:val="standardContextual"/>
        </w:rPr>
        <w:t>: Infrequent and unpredictable rounds created uncertainty for developers.</w:t>
      </w:r>
    </w:p>
    <w:p w14:paraId="3A9A22D4" w14:textId="04369753"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Subsidy Bundling</w:t>
      </w:r>
      <w:r w:rsidRPr="00662923">
        <w:rPr>
          <w:rFonts w:ascii="Times-Roman" w:eastAsiaTheme="minorEastAsia" w:hAnsi="Times-Roman" w:cs="Times-Roman"/>
          <w14:ligatures w14:val="standardContextual"/>
        </w:rPr>
        <w:t>: Until 1994, renewables competed with nuclear power for subsidies, diverting funds away from renewables.</w:t>
      </w:r>
    </w:p>
    <w:p w14:paraId="43499A03" w14:textId="3D580659"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No Penalty Mechanism</w:t>
      </w:r>
      <w:r w:rsidRPr="00662923">
        <w:rPr>
          <w:rFonts w:ascii="Times-Roman" w:eastAsiaTheme="minorEastAsia" w:hAnsi="Times-Roman" w:cs="Times-Roman"/>
          <w14:ligatures w14:val="standardContextual"/>
        </w:rPr>
        <w:t xml:space="preserve">: Lack of penalties for failing to </w:t>
      </w:r>
      <w:proofErr w:type="spellStart"/>
      <w:r w:rsidRPr="00662923">
        <w:rPr>
          <w:rFonts w:ascii="Times-Roman" w:eastAsiaTheme="minorEastAsia" w:hAnsi="Times-Roman" w:cs="Times-Roman"/>
          <w14:ligatures w14:val="standardContextual"/>
        </w:rPr>
        <w:t>fulfill</w:t>
      </w:r>
      <w:proofErr w:type="spellEnd"/>
      <w:r w:rsidRPr="00662923">
        <w:rPr>
          <w:rFonts w:ascii="Times-Roman" w:eastAsiaTheme="minorEastAsia" w:hAnsi="Times-Roman" w:cs="Times-Roman"/>
          <w14:ligatures w14:val="standardContextual"/>
        </w:rPr>
        <w:t xml:space="preserve"> contracts reduced accountability.</w:t>
      </w:r>
    </w:p>
    <w:p w14:paraId="77399F9E" w14:textId="74F84AD6"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Fiscal Constraints</w:t>
      </w:r>
      <w:r w:rsidRPr="00662923">
        <w:rPr>
          <w:rFonts w:ascii="Times-Roman" w:eastAsiaTheme="minorEastAsia" w:hAnsi="Times-Roman" w:cs="Times-Roman"/>
          <w14:ligatures w14:val="standardContextual"/>
        </w:rPr>
        <w:t>: Tight budgets limited support, stunting industry growth.</w:t>
      </w:r>
    </w:p>
    <w:p w14:paraId="78AD5CAB"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Complexity</w:t>
      </w:r>
      <w:r w:rsidRPr="00662923">
        <w:rPr>
          <w:rFonts w:ascii="Times-Roman" w:eastAsiaTheme="minorEastAsia" w:hAnsi="Times-Roman" w:cs="Times-Roman"/>
          <w14:ligatures w14:val="standardContextual"/>
        </w:rPr>
        <w:t xml:space="preserve">: The mechanism </w:t>
      </w:r>
      <w:proofErr w:type="spellStart"/>
      <w:r w:rsidRPr="00662923">
        <w:rPr>
          <w:rFonts w:ascii="Times-Roman" w:eastAsiaTheme="minorEastAsia" w:hAnsi="Times-Roman" w:cs="Times-Roman"/>
          <w14:ligatures w14:val="standardContextual"/>
        </w:rPr>
        <w:t>favored</w:t>
      </w:r>
      <w:proofErr w:type="spellEnd"/>
      <w:r w:rsidRPr="00662923">
        <w:rPr>
          <w:rFonts w:ascii="Times-Roman" w:eastAsiaTheme="minorEastAsia" w:hAnsi="Times-Roman" w:cs="Times-Roman"/>
          <w14:ligatures w14:val="standardContextual"/>
        </w:rPr>
        <w:t xml:space="preserve"> large firms, sidelining smaller players.</w:t>
      </w:r>
    </w:p>
    <w:p w14:paraId="11E280D2" w14:textId="6FE12020"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External Failures</w:t>
      </w:r>
      <w:r w:rsidRPr="00662923">
        <w:rPr>
          <w:rFonts w:ascii="Times-Roman" w:eastAsiaTheme="minorEastAsia" w:hAnsi="Times-Roman" w:cs="Times-Roman"/>
          <w14:ligatures w14:val="standardContextual"/>
        </w:rPr>
        <w:t>:</w:t>
      </w:r>
    </w:p>
    <w:p w14:paraId="4CEE245D"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Planning Issues</w:t>
      </w:r>
      <w:r w:rsidRPr="00662923">
        <w:rPr>
          <w:rFonts w:ascii="Times-Roman" w:eastAsiaTheme="minorEastAsia" w:hAnsi="Times-Roman" w:cs="Times-Roman"/>
          <w14:ligatures w14:val="standardContextual"/>
        </w:rPr>
        <w:t>: Local authorities lacked guidance, leading to frequent project rejections.</w:t>
      </w:r>
    </w:p>
    <w:p w14:paraId="03B9987A"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lastRenderedPageBreak/>
        <w:t>Policy Uncertainty</w:t>
      </w:r>
      <w:r w:rsidRPr="00662923">
        <w:rPr>
          <w:rFonts w:ascii="Times-Roman" w:eastAsiaTheme="minorEastAsia" w:hAnsi="Times-Roman" w:cs="Times-Roman"/>
          <w14:ligatures w14:val="standardContextual"/>
        </w:rPr>
        <w:t>: Significant changes (e.g., extension to 15-year contracts in 1993, replacement after 8 years) and initial bundling with nuclear power created instability.</w:t>
      </w:r>
    </w:p>
    <w:p w14:paraId="6B482C21"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Grid Connection Issues</w:t>
      </w:r>
      <w:r w:rsidRPr="00662923">
        <w:rPr>
          <w:rFonts w:ascii="Times-Roman" w:eastAsiaTheme="minorEastAsia" w:hAnsi="Times-Roman" w:cs="Times-Roman"/>
          <w14:ligatures w14:val="standardContextual"/>
        </w:rPr>
        <w:t>: Transmission constraints existed but were less severe due to lower renewable deployment compared to later schemes.</w:t>
      </w:r>
    </w:p>
    <w:p w14:paraId="6FF6F591"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p>
    <w:p w14:paraId="7037A71F" w14:textId="52919FB8" w:rsidR="00662923" w:rsidRPr="00662923" w:rsidRDefault="00662923" w:rsidP="00662923">
      <w:pPr>
        <w:autoSpaceDE w:val="0"/>
        <w:autoSpaceDN w:val="0"/>
        <w:adjustRightInd w:val="0"/>
        <w:spacing w:after="240" w:line="360" w:lineRule="auto"/>
        <w:rPr>
          <w:rFonts w:ascii="Times-Bold" w:eastAsiaTheme="minorEastAsia" w:hAnsi="Times-Bold" w:cs="Times-Bold"/>
          <w:b/>
          <w:bCs/>
          <w14:ligatures w14:val="standardContextual"/>
        </w:rPr>
      </w:pPr>
      <w:r w:rsidRPr="00662923">
        <w:rPr>
          <w:rFonts w:ascii="Times-Bold" w:eastAsiaTheme="minorEastAsia" w:hAnsi="Times-Bold" w:cs="Times-Bold"/>
          <w:b/>
          <w:bCs/>
          <w14:ligatures w14:val="standardContextual"/>
        </w:rPr>
        <w:t xml:space="preserve">2. </w:t>
      </w:r>
      <w:r w:rsidRPr="00662923">
        <w:rPr>
          <w:rFonts w:ascii="Times-Bold" w:eastAsiaTheme="minorEastAsia" w:hAnsi="Times-Bold" w:cs="Times-Bold"/>
          <w:b/>
          <w:bCs/>
          <w14:ligatures w14:val="standardContextual"/>
        </w:rPr>
        <w:t>Renewables Obligation (RO) - 2002-2009</w:t>
      </w:r>
    </w:p>
    <w:p w14:paraId="66EEC6B2" w14:textId="745BF105"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Summary</w:t>
      </w:r>
      <w:r w:rsidRPr="00662923">
        <w:rPr>
          <w:rFonts w:ascii="Times-Roman" w:eastAsiaTheme="minorEastAsia" w:hAnsi="Times-Roman" w:cs="Times-Roman"/>
          <w14:ligatures w14:val="standardContextual"/>
        </w:rPr>
        <w:t xml:space="preserve">: Replacing the NFFO, the RO mandated electricity suppliers to source a growing percentage of electricity from renewables, issuing Renewable Obligation Certificates (ROCs) per MWh generated. It aimed to increase RES-E deployment and meet emission reduction targets but fell short, achieving only 6.6% RES-E by 2009 against a 9.1% target. It </w:t>
      </w:r>
      <w:proofErr w:type="spellStart"/>
      <w:r w:rsidRPr="00662923">
        <w:rPr>
          <w:rFonts w:ascii="Times-Roman" w:eastAsiaTheme="minorEastAsia" w:hAnsi="Times-Roman" w:cs="Times-Roman"/>
          <w14:ligatures w14:val="standardContextual"/>
        </w:rPr>
        <w:t>favored</w:t>
      </w:r>
      <w:proofErr w:type="spellEnd"/>
      <w:r w:rsidRPr="00662923">
        <w:rPr>
          <w:rFonts w:ascii="Times-Roman" w:eastAsiaTheme="minorEastAsia" w:hAnsi="Times-Roman" w:cs="Times-Roman"/>
          <w14:ligatures w14:val="standardContextual"/>
        </w:rPr>
        <w:t xml:space="preserve"> mature, low-cost technologies like onshore wind and landfill gas, neglecting emerging ones.</w:t>
      </w:r>
    </w:p>
    <w:p w14:paraId="71499911"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Internal Failures</w:t>
      </w:r>
      <w:r w:rsidRPr="00662923">
        <w:rPr>
          <w:rFonts w:ascii="Times-Roman" w:eastAsiaTheme="minorEastAsia" w:hAnsi="Times-Roman" w:cs="Times-Roman"/>
          <w14:ligatures w14:val="standardContextual"/>
        </w:rPr>
        <w:t>:</w:t>
      </w:r>
    </w:p>
    <w:p w14:paraId="2AFD1DCE"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Price/Financial Risks</w:t>
      </w:r>
      <w:r w:rsidRPr="00662923">
        <w:rPr>
          <w:rFonts w:ascii="Times-Roman" w:eastAsiaTheme="minorEastAsia" w:hAnsi="Times-Roman" w:cs="Times-Roman"/>
          <w14:ligatures w14:val="standardContextual"/>
        </w:rPr>
        <w:t>: Short-term contracts, fluctuating ROC and wholesale electricity prices, and removal of NFFO’s priority access made financing difficult.</w:t>
      </w:r>
    </w:p>
    <w:p w14:paraId="3666DF16"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Volume Risk</w:t>
      </w:r>
      <w:r w:rsidRPr="00662923">
        <w:rPr>
          <w:rFonts w:ascii="Times-Roman" w:eastAsiaTheme="minorEastAsia" w:hAnsi="Times-Roman" w:cs="Times-Roman"/>
          <w14:ligatures w14:val="standardContextual"/>
        </w:rPr>
        <w:t>: ROC value decreased as targets neared, incentivizing underperformance.</w:t>
      </w:r>
    </w:p>
    <w:p w14:paraId="5D3B8438"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Technology Blindness</w:t>
      </w:r>
      <w:r w:rsidRPr="00662923">
        <w:rPr>
          <w:rFonts w:ascii="Times-Roman" w:eastAsiaTheme="minorEastAsia" w:hAnsi="Times-Roman" w:cs="Times-Roman"/>
          <w14:ligatures w14:val="standardContextual"/>
        </w:rPr>
        <w:t>: No banding meant cheaper technologies dominated, pricing out emerging options (e.g., wave, tidal), stifling innovation.</w:t>
      </w:r>
    </w:p>
    <w:p w14:paraId="127197AB" w14:textId="7397ECFA"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Complexity</w:t>
      </w:r>
      <w:r w:rsidRPr="00662923">
        <w:rPr>
          <w:rFonts w:ascii="Times-Roman" w:eastAsiaTheme="minorEastAsia" w:hAnsi="Times-Roman" w:cs="Times-Roman"/>
          <w14:ligatures w14:val="standardContextual"/>
        </w:rPr>
        <w:t xml:space="preserve">: The mechanism’s intricacy </w:t>
      </w:r>
      <w:proofErr w:type="spellStart"/>
      <w:r w:rsidRPr="00662923">
        <w:rPr>
          <w:rFonts w:ascii="Times-Roman" w:eastAsiaTheme="minorEastAsia" w:hAnsi="Times-Roman" w:cs="Times-Roman"/>
          <w14:ligatures w14:val="standardContextual"/>
        </w:rPr>
        <w:t>favored</w:t>
      </w:r>
      <w:proofErr w:type="spellEnd"/>
      <w:r w:rsidRPr="00662923">
        <w:rPr>
          <w:rFonts w:ascii="Times-Roman" w:eastAsiaTheme="minorEastAsia" w:hAnsi="Times-Roman" w:cs="Times-Roman"/>
          <w14:ligatures w14:val="standardContextual"/>
        </w:rPr>
        <w:t xml:space="preserve"> large, vertically integrated companies, marginalizing small/community projects that could ease planning woes.</w:t>
      </w:r>
    </w:p>
    <w:p w14:paraId="29852FD3" w14:textId="266B31D3"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Focus on Low Costs</w:t>
      </w:r>
      <w:r w:rsidRPr="00662923">
        <w:rPr>
          <w:rFonts w:ascii="Times-Roman" w:eastAsiaTheme="minorEastAsia" w:hAnsi="Times-Roman" w:cs="Times-Roman"/>
          <w14:ligatures w14:val="standardContextual"/>
        </w:rPr>
        <w:t>: Prioritizing cost efficiency undermined industry development.</w:t>
      </w:r>
    </w:p>
    <w:p w14:paraId="75887768"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External Failures</w:t>
      </w:r>
      <w:r w:rsidRPr="00662923">
        <w:rPr>
          <w:rFonts w:ascii="Times-Roman" w:eastAsiaTheme="minorEastAsia" w:hAnsi="Times-Roman" w:cs="Times-Roman"/>
          <w14:ligatures w14:val="standardContextual"/>
        </w:rPr>
        <w:t>:</w:t>
      </w:r>
    </w:p>
    <w:p w14:paraId="04513E1C"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Planning Permission</w:t>
      </w:r>
      <w:r w:rsidRPr="00662923">
        <w:rPr>
          <w:rFonts w:ascii="Times-Roman" w:eastAsiaTheme="minorEastAsia" w:hAnsi="Times-Roman" w:cs="Times-Roman"/>
          <w14:ligatures w14:val="standardContextual"/>
        </w:rPr>
        <w:t>: Persistent issues with local opposition and delays remained unresolved, exacerbated by onshore wind focus.</w:t>
      </w:r>
    </w:p>
    <w:p w14:paraId="134C6BAD"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Grid Connection</w:t>
      </w:r>
      <w:r w:rsidRPr="00662923">
        <w:rPr>
          <w:rFonts w:ascii="Times-Roman" w:eastAsiaTheme="minorEastAsia" w:hAnsi="Times-Roman" w:cs="Times-Roman"/>
          <w14:ligatures w14:val="standardContextual"/>
        </w:rPr>
        <w:t>: Transmission challenges grew with increased renewable capacity.</w:t>
      </w:r>
    </w:p>
    <w:p w14:paraId="1E3BDE28"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lastRenderedPageBreak/>
        <w:t>Policy Uncertainty</w:t>
      </w:r>
      <w:r w:rsidRPr="00662923">
        <w:rPr>
          <w:rFonts w:ascii="Times-Roman" w:eastAsiaTheme="minorEastAsia" w:hAnsi="Times-Roman" w:cs="Times-Roman"/>
          <w14:ligatures w14:val="standardContextual"/>
        </w:rPr>
        <w:t>: Early review intentions (2003) and major reform by 2009, alongside carbon trading emphasis, eroded confidence.</w:t>
      </w:r>
    </w:p>
    <w:p w14:paraId="4E2D1CB8"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NETA/BETTA</w:t>
      </w:r>
      <w:r w:rsidRPr="00662923">
        <w:rPr>
          <w:rFonts w:ascii="Times-Roman" w:eastAsiaTheme="minorEastAsia" w:hAnsi="Times-Roman" w:cs="Times-Roman"/>
          <w14:ligatures w14:val="standardContextual"/>
        </w:rPr>
        <w:t xml:space="preserve">: </w:t>
      </w:r>
      <w:r w:rsidRPr="00662923">
        <w:rPr>
          <w:rFonts w:ascii="Times-Roman" w:eastAsiaTheme="minorEastAsia" w:hAnsi="Times-Roman" w:cs="Times-Roman"/>
          <w:b/>
          <w:bCs/>
          <w14:ligatures w14:val="standardContextual"/>
        </w:rPr>
        <w:t>New electricity trading arrangements (2001/2005)</w:t>
      </w:r>
      <w:r w:rsidRPr="00662923">
        <w:rPr>
          <w:rFonts w:ascii="Times-Roman" w:eastAsiaTheme="minorEastAsia" w:hAnsi="Times-Roman" w:cs="Times-Roman"/>
          <w14:ligatures w14:val="standardContextual"/>
        </w:rPr>
        <w:t xml:space="preserve"> increased balancing risks and costs for renewable generators.</w:t>
      </w:r>
    </w:p>
    <w:p w14:paraId="0C683E14"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p>
    <w:p w14:paraId="16222CE8" w14:textId="17DE4F68" w:rsidR="00662923" w:rsidRPr="00662923" w:rsidRDefault="00662923" w:rsidP="00662923">
      <w:pPr>
        <w:autoSpaceDE w:val="0"/>
        <w:autoSpaceDN w:val="0"/>
        <w:adjustRightInd w:val="0"/>
        <w:spacing w:after="240" w:line="360" w:lineRule="auto"/>
        <w:rPr>
          <w:rFonts w:ascii="Times-Bold" w:eastAsiaTheme="minorEastAsia" w:hAnsi="Times-Bold" w:cs="Times-Bold"/>
          <w:b/>
          <w:bCs/>
          <w14:ligatures w14:val="standardContextual"/>
        </w:rPr>
      </w:pPr>
      <w:r w:rsidRPr="00662923">
        <w:rPr>
          <w:rFonts w:ascii="Times-Bold" w:eastAsiaTheme="minorEastAsia" w:hAnsi="Times-Bold" w:cs="Times-Bold"/>
          <w:b/>
          <w:bCs/>
          <w14:ligatures w14:val="standardContextual"/>
        </w:rPr>
        <w:t xml:space="preserve">3. </w:t>
      </w:r>
      <w:r w:rsidRPr="00662923">
        <w:rPr>
          <w:rFonts w:ascii="Times-Bold" w:eastAsiaTheme="minorEastAsia" w:hAnsi="Times-Bold" w:cs="Times-Bold"/>
          <w:b/>
          <w:bCs/>
          <w14:ligatures w14:val="standardContextual"/>
        </w:rPr>
        <w:t>Reformed Renewables Obligation (Reformed RO) - 2009 Onwards</w:t>
      </w:r>
    </w:p>
    <w:p w14:paraId="24AD4747" w14:textId="03F49E3A"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Summary</w:t>
      </w:r>
      <w:r w:rsidRPr="00662923">
        <w:rPr>
          <w:rFonts w:ascii="Times-Roman" w:eastAsiaTheme="minorEastAsia" w:hAnsi="Times-Roman" w:cs="Times-Roman"/>
          <w14:ligatures w14:val="standardContextual"/>
        </w:rPr>
        <w:t>: Introduced in 2009, the reformed RO addressed some RO shortcomings by banding technologies (e.g., 0.25 ROCs/MWh for landfill gas, up to 5 for wave in Scotland), extending its lifespan to 2037, and removing the 20% obligation cap. It aimed to boost deployment (projected 40% increase by 2015) and meet the 2020 target of 30-35% RES-E. However, it retained complexity and reliance on select technologies (offshore wind, onshore wind, co-firing).</w:t>
      </w:r>
    </w:p>
    <w:p w14:paraId="1CBCB9B0" w14:textId="5A66B74A"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Internal Failures</w:t>
      </w:r>
      <w:r w:rsidRPr="00662923">
        <w:rPr>
          <w:rFonts w:ascii="Times-Roman" w:eastAsiaTheme="minorEastAsia" w:hAnsi="Times-Roman" w:cs="Times-Roman"/>
          <w14:ligatures w14:val="standardContextual"/>
        </w:rPr>
        <w:t>:</w:t>
      </w:r>
    </w:p>
    <w:p w14:paraId="3394BD24" w14:textId="31926FC5"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Persistent Price/Financial Risks</w:t>
      </w:r>
      <w:r w:rsidRPr="00662923">
        <w:rPr>
          <w:rFonts w:ascii="Times-Roman" w:eastAsiaTheme="minorEastAsia" w:hAnsi="Times-Roman" w:cs="Times-Roman"/>
          <w14:ligatures w14:val="standardContextual"/>
        </w:rPr>
        <w:t>: Risks from the non-reformed RO (e.g., short-term contracts, uncertain revenue) persisted.</w:t>
      </w:r>
    </w:p>
    <w:p w14:paraId="7986A655" w14:textId="59D6A2E5"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Banding Limitations</w:t>
      </w:r>
      <w:r w:rsidRPr="00662923">
        <w:rPr>
          <w:rFonts w:ascii="Times-Roman" w:eastAsiaTheme="minorEastAsia" w:hAnsi="Times-Roman" w:cs="Times-Roman"/>
          <w14:ligatures w14:val="standardContextual"/>
        </w:rPr>
        <w:t>: While increasing deployment, banding was insufficient for less mature technologies (e.g., wave, tidal) by 2020, with leakage from onshore wind possible.</w:t>
      </w:r>
    </w:p>
    <w:p w14:paraId="707390C1" w14:textId="1A340C3A"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Funding Uncertainty</w:t>
      </w:r>
      <w:r w:rsidRPr="00662923">
        <w:rPr>
          <w:rFonts w:ascii="Times-Roman" w:eastAsiaTheme="minorEastAsia" w:hAnsi="Times-Roman" w:cs="Times-Roman"/>
          <w14:ligatures w14:val="standardContextual"/>
        </w:rPr>
        <w:t>: Shifting administration costs to the buy-out fund (with government covering shortfalls) increased developer uncertainty.</w:t>
      </w:r>
    </w:p>
    <w:p w14:paraId="1C853F8A"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Vague Review Criteria</w:t>
      </w:r>
      <w:r w:rsidRPr="00662923">
        <w:rPr>
          <w:rFonts w:ascii="Times-Roman" w:eastAsiaTheme="minorEastAsia" w:hAnsi="Times-Roman" w:cs="Times-Roman"/>
          <w14:ligatures w14:val="standardContextual"/>
        </w:rPr>
        <w:t>: Broad, unclear triggers for early reviews heightened investor risk.</w:t>
      </w:r>
    </w:p>
    <w:p w14:paraId="0C7B29E8" w14:textId="59C5C929"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Increased Complexity</w:t>
      </w:r>
      <w:r w:rsidRPr="00662923">
        <w:rPr>
          <w:rFonts w:ascii="Times-Roman" w:eastAsiaTheme="minorEastAsia" w:hAnsi="Times-Roman" w:cs="Times-Roman"/>
          <w14:ligatures w14:val="standardContextual"/>
        </w:rPr>
        <w:t xml:space="preserve">: Banding added layers, reducing transparency and </w:t>
      </w:r>
      <w:proofErr w:type="spellStart"/>
      <w:r w:rsidRPr="00662923">
        <w:rPr>
          <w:rFonts w:ascii="Times-Roman" w:eastAsiaTheme="minorEastAsia" w:hAnsi="Times-Roman" w:cs="Times-Roman"/>
          <w14:ligatures w14:val="standardContextual"/>
        </w:rPr>
        <w:t>favoring</w:t>
      </w:r>
      <w:proofErr w:type="spellEnd"/>
      <w:r w:rsidRPr="00662923">
        <w:rPr>
          <w:rFonts w:ascii="Times-Roman" w:eastAsiaTheme="minorEastAsia" w:hAnsi="Times-Roman" w:cs="Times-Roman"/>
          <w14:ligatures w14:val="standardContextual"/>
        </w:rPr>
        <w:t xml:space="preserve"> large firms over community projects.</w:t>
      </w:r>
    </w:p>
    <w:p w14:paraId="563B84F8" w14:textId="13C31DA9"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Uncertain Industry Impact</w:t>
      </w:r>
      <w:r w:rsidRPr="00662923">
        <w:rPr>
          <w:rFonts w:ascii="Times-Roman" w:eastAsiaTheme="minorEastAsia" w:hAnsi="Times-Roman" w:cs="Times-Roman"/>
          <w14:ligatures w14:val="standardContextual"/>
        </w:rPr>
        <w:t>: Higher subsidies might not suffice for domestic industry growth, with equipment imports likely due to cost focus.</w:t>
      </w:r>
    </w:p>
    <w:p w14:paraId="446902DF" w14:textId="77777777" w:rsidR="00662923" w:rsidRP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External Failures</w:t>
      </w:r>
      <w:r w:rsidRPr="00662923">
        <w:rPr>
          <w:rFonts w:ascii="Times-Roman" w:eastAsiaTheme="minorEastAsia" w:hAnsi="Times-Roman" w:cs="Times-Roman"/>
          <w14:ligatures w14:val="standardContextual"/>
        </w:rPr>
        <w:t>:</w:t>
      </w:r>
    </w:p>
    <w:p w14:paraId="1D6F88E0" w14:textId="3F55A839"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lastRenderedPageBreak/>
        <w:t>Planning Delays</w:t>
      </w:r>
      <w:r w:rsidRPr="00662923">
        <w:rPr>
          <w:rFonts w:ascii="Times-Roman" w:eastAsiaTheme="minorEastAsia" w:hAnsi="Times-Roman" w:cs="Times-Roman"/>
          <w14:ligatures w14:val="standardContextual"/>
        </w:rPr>
        <w:t>: The 2008 Planning Act aimed to streamline processes, but local opposition and slow implementation persisted, especially for small-scale and marine projects.</w:t>
      </w:r>
    </w:p>
    <w:p w14:paraId="4661299B" w14:textId="23EE14DB"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Grid Constraints</w:t>
      </w:r>
      <w:r w:rsidRPr="00662923">
        <w:rPr>
          <w:rFonts w:ascii="Times-Roman" w:eastAsiaTheme="minorEastAsia" w:hAnsi="Times-Roman" w:cs="Times-Roman"/>
          <w14:ligatures w14:val="standardContextual"/>
        </w:rPr>
        <w:t>: Transmission issues remained unresolved, critical for offshore wind (targ</w:t>
      </w:r>
      <w:r>
        <w:rPr>
          <w:rFonts w:ascii="Times-Roman" w:eastAsiaTheme="minorEastAsia" w:hAnsi="Times-Roman" w:cs="Times-Roman"/>
          <w14:ligatures w14:val="standardContextual"/>
        </w:rPr>
        <w:t>e</w:t>
      </w:r>
      <w:r w:rsidRPr="00662923">
        <w:rPr>
          <w:rFonts w:ascii="Times-Roman" w:eastAsiaTheme="minorEastAsia" w:hAnsi="Times-Roman" w:cs="Times-Roman"/>
          <w14:ligatures w14:val="standardContextual"/>
        </w:rPr>
        <w:t>ting 34 GW by 2020).</w:t>
      </w:r>
    </w:p>
    <w:p w14:paraId="687FE3C8" w14:textId="7FA2E7C0"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Policy Uncertainty</w:t>
      </w:r>
      <w:r w:rsidRPr="00662923">
        <w:rPr>
          <w:rFonts w:ascii="Times-Roman" w:eastAsiaTheme="minorEastAsia" w:hAnsi="Times-Roman" w:cs="Times-Roman"/>
          <w14:ligatures w14:val="standardContextual"/>
        </w:rPr>
        <w:t>: Ongoing changes, carbon trading prioritization, and coalition government ambiguity (e.g., FIT vs. RO debate) sustained instability.</w:t>
      </w:r>
    </w:p>
    <w:p w14:paraId="0D526838"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NETA/BETTA</w:t>
      </w:r>
      <w:r w:rsidRPr="00662923">
        <w:rPr>
          <w:rFonts w:ascii="Times-Roman" w:eastAsiaTheme="minorEastAsia" w:hAnsi="Times-Roman" w:cs="Times-Roman"/>
          <w14:ligatures w14:val="standardContextual"/>
        </w:rPr>
        <w:t>: Continued to impose balancing risks and costs.</w:t>
      </w:r>
    </w:p>
    <w:p w14:paraId="028CA11E" w14:textId="77777777" w:rsidR="00662923" w:rsidRDefault="00662923" w:rsidP="00662923">
      <w:pPr>
        <w:autoSpaceDE w:val="0"/>
        <w:autoSpaceDN w:val="0"/>
        <w:adjustRightInd w:val="0"/>
        <w:spacing w:after="240" w:line="360" w:lineRule="auto"/>
        <w:rPr>
          <w:rFonts w:ascii="Times-Roman" w:eastAsiaTheme="minorEastAsia" w:hAnsi="Times-Roman" w:cs="Times-Roman"/>
          <w14:ligatures w14:val="standardContextual"/>
        </w:rPr>
      </w:pPr>
    </w:p>
    <w:p w14:paraId="32195637" w14:textId="27A1BAEB" w:rsidR="00662923" w:rsidRPr="00662923" w:rsidRDefault="00662923" w:rsidP="00662923">
      <w:pPr>
        <w:autoSpaceDE w:val="0"/>
        <w:autoSpaceDN w:val="0"/>
        <w:adjustRightInd w:val="0"/>
        <w:spacing w:after="240" w:line="360" w:lineRule="auto"/>
        <w:rPr>
          <w:rFonts w:ascii="Times-Bold" w:eastAsiaTheme="minorEastAsia" w:hAnsi="Times-Bold" w:cs="Times-Bold"/>
          <w:b/>
          <w:bCs/>
          <w14:ligatures w14:val="standardContextual"/>
        </w:rPr>
      </w:pPr>
      <w:r w:rsidRPr="00662923">
        <w:rPr>
          <w:rFonts w:ascii="Times-Bold" w:eastAsiaTheme="minorEastAsia" w:hAnsi="Times-Bold" w:cs="Times-Bold"/>
          <w:b/>
          <w:bCs/>
          <w14:ligatures w14:val="standardContextual"/>
        </w:rPr>
        <w:t>Key Lessons and Observations</w:t>
      </w:r>
    </w:p>
    <w:p w14:paraId="56CA24F9" w14:textId="680DA3E8"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Learning Evident</w:t>
      </w:r>
      <w:r w:rsidRPr="00662923">
        <w:rPr>
          <w:rFonts w:ascii="Times-Roman" w:eastAsiaTheme="minorEastAsia" w:hAnsi="Times-Roman" w:cs="Times-Roman"/>
          <w14:ligatures w14:val="standardContextual"/>
        </w:rPr>
        <w:t>: The reformed RO addressed some failures, notably extending duration to 2037 and removing volume risk via the obligation cap, reflecting lessons from NFFO’s short lifespan and RO’s volume risk. Banding tackled technology blindness, aiming to support diverse renewables.</w:t>
      </w:r>
    </w:p>
    <w:p w14:paraId="2FBD2E68" w14:textId="6E55FB55"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Persistent Failures</w:t>
      </w:r>
      <w:r w:rsidRPr="00662923">
        <w:rPr>
          <w:rFonts w:ascii="Times-Roman" w:eastAsiaTheme="minorEastAsia" w:hAnsi="Times-Roman" w:cs="Times-Roman"/>
          <w14:ligatures w14:val="standardContextual"/>
        </w:rPr>
        <w:t>: High financial risks, mechanism complexity, and external barriers (planning, grid) persisted across all schemes, indicating incomplete learning. The focus on low costs continued to hinder industry growth and innovation.</w:t>
      </w:r>
    </w:p>
    <w:p w14:paraId="07AA1A9C"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Dependence on Few Technologies</w:t>
      </w:r>
      <w:r w:rsidRPr="00662923">
        <w:rPr>
          <w:rFonts w:ascii="Times-Roman" w:eastAsiaTheme="minorEastAsia" w:hAnsi="Times-Roman" w:cs="Times-Roman"/>
          <w14:ligatures w14:val="standardContextual"/>
        </w:rPr>
        <w:t>: The reformed RO’s success hinges on offshore wind, onshore wind, and co-firing, risking targets if external failures (e.g., grid, planning) aren’t resolved.</w:t>
      </w:r>
    </w:p>
    <w:p w14:paraId="5264ABC9" w14:textId="77777777" w:rsidR="00662923" w:rsidRPr="00662923" w:rsidRDefault="00662923" w:rsidP="00662923">
      <w:pPr>
        <w:tabs>
          <w:tab w:val="left" w:pos="220"/>
          <w:tab w:val="left" w:pos="720"/>
        </w:tabs>
        <w:autoSpaceDE w:val="0"/>
        <w:autoSpaceDN w:val="0"/>
        <w:adjustRightInd w:val="0"/>
        <w:spacing w:after="240" w:line="360" w:lineRule="auto"/>
        <w:rPr>
          <w:rFonts w:ascii="Times-Roman" w:eastAsiaTheme="minorEastAsia" w:hAnsi="Times-Roman" w:cs="Times-Roman"/>
          <w14:ligatures w14:val="standardContextual"/>
        </w:rPr>
      </w:pPr>
      <w:r w:rsidRPr="00662923">
        <w:rPr>
          <w:rFonts w:ascii="Times-Bold" w:eastAsiaTheme="minorEastAsia" w:hAnsi="Times-Bold" w:cs="Times-Bold"/>
          <w:b/>
          <w:bCs/>
          <w14:ligatures w14:val="standardContextual"/>
        </w:rPr>
        <w:t>Coalition Government Impact</w:t>
      </w:r>
      <w:r w:rsidRPr="00662923">
        <w:rPr>
          <w:rFonts w:ascii="Times-Roman" w:eastAsiaTheme="minorEastAsia" w:hAnsi="Times-Roman" w:cs="Times-Roman"/>
          <w14:ligatures w14:val="standardContextual"/>
        </w:rPr>
        <w:t>: Post-2010 proposals (e.g., large-scale FITs, planning reform) introduced further uncertainty, potentially exacerbating external failures like planning delays.</w:t>
      </w:r>
    </w:p>
    <w:p w14:paraId="1C298638" w14:textId="51773AFA" w:rsidR="00CD39F1" w:rsidRPr="00662923" w:rsidRDefault="00CD39F1" w:rsidP="00662923">
      <w:pPr>
        <w:spacing w:after="240" w:line="360" w:lineRule="auto"/>
      </w:pPr>
    </w:p>
    <w:sectPr w:rsidR="00CD39F1" w:rsidRPr="00662923" w:rsidSect="0066292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16F72A3"/>
    <w:multiLevelType w:val="hybridMultilevel"/>
    <w:tmpl w:val="6584E8C8"/>
    <w:lvl w:ilvl="0" w:tplc="DACEA6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312204"/>
    <w:multiLevelType w:val="hybridMultilevel"/>
    <w:tmpl w:val="28825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7975176">
    <w:abstractNumId w:val="0"/>
  </w:num>
  <w:num w:numId="2" w16cid:durableId="893810786">
    <w:abstractNumId w:val="1"/>
  </w:num>
  <w:num w:numId="3" w16cid:durableId="212616976">
    <w:abstractNumId w:val="2"/>
  </w:num>
  <w:num w:numId="4" w16cid:durableId="1692876341">
    <w:abstractNumId w:val="3"/>
  </w:num>
  <w:num w:numId="5" w16cid:durableId="881482075">
    <w:abstractNumId w:val="4"/>
  </w:num>
  <w:num w:numId="6" w16cid:durableId="885332342">
    <w:abstractNumId w:val="5"/>
  </w:num>
  <w:num w:numId="7" w16cid:durableId="1848791780">
    <w:abstractNumId w:val="6"/>
  </w:num>
  <w:num w:numId="8" w16cid:durableId="2061974774">
    <w:abstractNumId w:val="7"/>
  </w:num>
  <w:num w:numId="9" w16cid:durableId="5483010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6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B436A"/>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62923"/>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2D5D06"/>
  <w15:chartTrackingRefBased/>
  <w15:docId w15:val="{2C26A5A1-7768-4241-B989-66B7013F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B4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3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3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43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43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43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43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43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6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B436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B436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B436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2B436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B436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B436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B436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B436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B43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36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B43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36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B43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436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B436A"/>
    <w:pPr>
      <w:ind w:left="720"/>
      <w:contextualSpacing/>
    </w:pPr>
  </w:style>
  <w:style w:type="character" w:styleId="IntenseEmphasis">
    <w:name w:val="Intense Emphasis"/>
    <w:basedOn w:val="DefaultParagraphFont"/>
    <w:uiPriority w:val="21"/>
    <w:qFormat/>
    <w:rsid w:val="002B436A"/>
    <w:rPr>
      <w:i/>
      <w:iCs/>
      <w:color w:val="2F5496" w:themeColor="accent1" w:themeShade="BF"/>
    </w:rPr>
  </w:style>
  <w:style w:type="paragraph" w:styleId="IntenseQuote">
    <w:name w:val="Intense Quote"/>
    <w:basedOn w:val="Normal"/>
    <w:next w:val="Normal"/>
    <w:link w:val="IntenseQuoteChar"/>
    <w:uiPriority w:val="30"/>
    <w:qFormat/>
    <w:rsid w:val="002B4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36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B43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2025-02-26T10:48:00Z</dcterms:created>
  <dcterms:modified xsi:type="dcterms:W3CDTF">2025-02-26T11:19:00Z</dcterms:modified>
</cp:coreProperties>
</file>