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474377" w14:textId="77777777" w:rsidR="00554E96" w:rsidRPr="00554E96" w:rsidRDefault="00554E96" w:rsidP="00554E96">
      <w:pPr>
        <w:spacing w:before="100" w:beforeAutospacing="1" w:after="100" w:afterAutospacing="1" w:line="360" w:lineRule="auto"/>
        <w:outlineLvl w:val="2"/>
        <w:rPr>
          <w:rFonts w:ascii="Times New Roman" w:hAnsi="Times New Roman"/>
          <w:b/>
          <w:bCs/>
          <w:lang w:val="en-HK"/>
        </w:rPr>
      </w:pPr>
      <w:r w:rsidRPr="00554E96">
        <w:rPr>
          <w:rFonts w:ascii="Times New Roman" w:hAnsi="Times New Roman"/>
          <w:b/>
          <w:bCs/>
          <w:lang w:val="en-HK"/>
        </w:rPr>
        <w:t>Detailed Summary of Current Schemes in Different Countries</w:t>
      </w:r>
    </w:p>
    <w:p w14:paraId="34F5A149" w14:textId="12C8EC69" w:rsidR="00554E96" w:rsidRPr="00554E96" w:rsidRDefault="00554E96" w:rsidP="00554E96">
      <w:pPr>
        <w:spacing w:line="360" w:lineRule="auto"/>
        <w:rPr>
          <w:rFonts w:ascii="Times New Roman" w:hAnsi="Times New Roman"/>
          <w:lang w:val="en-HK"/>
        </w:rPr>
      </w:pPr>
      <w:r w:rsidRPr="00554E96">
        <w:rPr>
          <w:rFonts w:ascii="Times New Roman" w:hAnsi="Times New Roman"/>
          <w:lang w:val="en-HK"/>
        </w:rPr>
        <w:t>The document delineates a variety of governmental support schemes for renewable energy across multiple jurisdictions, categorized into renewable energy targets and quotas, feed-in tariffs (FITs) and premiums, procurement mechanisms, direct financial support, and transportation sector incentives. Below, each country’s or region’s current schemes are summarized, with details drawn strictly from sections 3.2 to 3.6.</w:t>
      </w:r>
    </w:p>
    <w:p w14:paraId="59A7E523" w14:textId="5E6F40CB" w:rsidR="00554E96" w:rsidRPr="00554E96" w:rsidRDefault="00554E96" w:rsidP="00554E96">
      <w:pPr>
        <w:spacing w:line="360" w:lineRule="auto"/>
        <w:rPr>
          <w:rFonts w:ascii="Times New Roman" w:hAnsi="Times New Roman"/>
          <w:lang w:val="en-HK"/>
        </w:rPr>
      </w:pPr>
      <w:r w:rsidRPr="00554E96">
        <w:rPr>
          <w:rFonts w:ascii="Times New Roman" w:hAnsi="Times New Roman"/>
          <w:lang w:val="en-HK"/>
        </w:rPr>
        <w:t xml:space="preserve">(xx) = page number </w:t>
      </w:r>
    </w:p>
    <w:p w14:paraId="1646E8B3" w14:textId="3959D027" w:rsidR="00554E96" w:rsidRDefault="00E12800" w:rsidP="00554E96">
      <w:pPr>
        <w:spacing w:before="100" w:beforeAutospacing="1" w:after="100" w:afterAutospacing="1" w:line="360" w:lineRule="auto"/>
        <w:outlineLvl w:val="3"/>
        <w:rPr>
          <w:rFonts w:ascii="Times New Roman" w:hAnsi="Times New Roman"/>
          <w:b/>
          <w:bCs/>
          <w:lang w:val="en-HK"/>
        </w:rPr>
      </w:pPr>
      <w:r w:rsidRPr="00E12800">
        <w:rPr>
          <w:rFonts w:ascii="Times New Roman" w:hAnsi="Times New Roman"/>
          <w:b/>
          <w:bCs/>
          <w:noProof/>
          <w:lang w:val="en-HK"/>
          <w14:ligatures w14:val="standardContextual"/>
        </w:rPr>
        <w:pict w14:anchorId="459339B1">
          <v:rect id="_x0000_i1026" alt="" style="width:451.3pt;height:.05pt;mso-width-percent:0;mso-height-percent:0;mso-width-percent:0;mso-height-percent:0" o:hralign="center" o:hrstd="t" o:hr="t" fillcolor="#a0a0a0" stroked="f"/>
        </w:pict>
      </w:r>
    </w:p>
    <w:p w14:paraId="39C944B6" w14:textId="1B5490E2" w:rsidR="00554E96" w:rsidRPr="00554E96" w:rsidRDefault="00554E96" w:rsidP="00554E96">
      <w:pPr>
        <w:spacing w:before="100" w:beforeAutospacing="1" w:after="100" w:afterAutospacing="1" w:line="360" w:lineRule="auto"/>
        <w:outlineLvl w:val="3"/>
        <w:rPr>
          <w:rFonts w:ascii="Times New Roman" w:hAnsi="Times New Roman"/>
          <w:b/>
          <w:bCs/>
          <w:lang w:val="en-HK"/>
        </w:rPr>
      </w:pPr>
      <w:r w:rsidRPr="00554E96">
        <w:rPr>
          <w:rFonts w:ascii="Times New Roman" w:hAnsi="Times New Roman"/>
          <w:b/>
          <w:bCs/>
          <w:lang w:val="en-HK"/>
        </w:rPr>
        <w:t>European Union</w:t>
      </w:r>
    </w:p>
    <w:p w14:paraId="1C7FD35F" w14:textId="79D647B3" w:rsidR="00554E96" w:rsidRPr="00554E96" w:rsidRDefault="00554E96" w:rsidP="00554E96">
      <w:pPr>
        <w:spacing w:line="360" w:lineRule="auto"/>
        <w:rPr>
          <w:rFonts w:ascii="Times New Roman" w:hAnsi="Times New Roman"/>
          <w:lang w:val="en-HK"/>
        </w:rPr>
      </w:pPr>
      <w:r w:rsidRPr="00554E96">
        <w:rPr>
          <w:rFonts w:ascii="Times New Roman" w:hAnsi="Times New Roman"/>
          <w:lang w:val="en-HK"/>
        </w:rPr>
        <w:t>The European Union (EU) employs a comprehensive framework for renewable energy support, integrating targets, tradable certificates, and procurement mechanisms, reflecting its commitment to climate goals under the Paris Agreement.</w:t>
      </w:r>
    </w:p>
    <w:p w14:paraId="23424F6D"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Renewable Energy Targets (RETs)</w:t>
      </w:r>
      <w:r w:rsidRPr="00554E96">
        <w:rPr>
          <w:rFonts w:ascii="Times New Roman" w:hAnsi="Times New Roman"/>
          <w:lang w:val="en-HK"/>
        </w:rPr>
        <w:t>:</w:t>
      </w:r>
    </w:p>
    <w:p w14:paraId="41EDBAE0"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 xml:space="preserve">The </w:t>
      </w:r>
      <w:r w:rsidRPr="00554E96">
        <w:rPr>
          <w:rFonts w:ascii="Times New Roman" w:hAnsi="Times New Roman"/>
          <w:b/>
          <w:bCs/>
          <w:i/>
          <w:iCs/>
          <w:lang w:val="en-HK"/>
        </w:rPr>
        <w:t>Directive 2018/2001</w:t>
      </w:r>
      <w:r w:rsidRPr="00554E96">
        <w:rPr>
          <w:rFonts w:ascii="Times New Roman" w:hAnsi="Times New Roman"/>
          <w:b/>
          <w:bCs/>
          <w:lang w:val="en-HK"/>
        </w:rPr>
        <w:t xml:space="preserve"> (EU Renewable Energy Directive, 2018) mandates that the EU meet at least 32 percent of its final energy consumption from renewable sources by 2030 (47).</w:t>
      </w:r>
      <w:r w:rsidRPr="00554E96">
        <w:rPr>
          <w:rFonts w:ascii="Times New Roman" w:hAnsi="Times New Roman"/>
          <w:lang w:val="en-HK"/>
        </w:rPr>
        <w:t xml:space="preserve"> Member States must draft national energy and climate plans to achieve individual targets, allowing flexibility in policy choice (50). This target, revised from the 20 percent goal in the 2009 Directive, reflects a consensus-driven upward adjustment (50).</w:t>
      </w:r>
    </w:p>
    <w:p w14:paraId="6A1DA08A"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Arguments</w:t>
      </w:r>
      <w:r w:rsidRPr="00554E96">
        <w:rPr>
          <w:rFonts w:ascii="Times New Roman" w:hAnsi="Times New Roman"/>
          <w:lang w:val="en-HK"/>
        </w:rPr>
        <w:t>: The directive’s flexibility accommodates diverse national conditions, but critics note reliance on biomass may undermine environmental benefits, such as greenhouse gas (GHG) reductions (51). The document suggests that compliance hinges on supplementary mechanisms like FITs or auctions, with potential trade restriction challenges (50; see section 8.5).</w:t>
      </w:r>
    </w:p>
    <w:p w14:paraId="1E16D818"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Guarantees of Origin (GOs)</w:t>
      </w:r>
      <w:r w:rsidRPr="00554E96">
        <w:rPr>
          <w:rFonts w:ascii="Times New Roman" w:hAnsi="Times New Roman"/>
          <w:lang w:val="en-HK"/>
        </w:rPr>
        <w:t>:</w:t>
      </w:r>
    </w:p>
    <w:p w14:paraId="6D6CD3A1"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lang w:val="en-HK"/>
        </w:rPr>
        <w:t xml:space="preserve">Under </w:t>
      </w:r>
      <w:r w:rsidRPr="00554E96">
        <w:rPr>
          <w:rFonts w:ascii="Times New Roman" w:hAnsi="Times New Roman"/>
          <w:i/>
          <w:iCs/>
          <w:lang w:val="en-HK"/>
        </w:rPr>
        <w:t>Directive 2018/2001</w:t>
      </w:r>
      <w:r w:rsidRPr="00554E96">
        <w:rPr>
          <w:rFonts w:ascii="Times New Roman" w:hAnsi="Times New Roman"/>
          <w:lang w:val="en-HK"/>
        </w:rPr>
        <w:t xml:space="preserve">, GOs verify renewable electricity production for transparency, stating, Guarantees of origin ... have the sole function of showing to a final customer that a given share or quantity of energy was produced from renewable sources (54). Approximately </w:t>
      </w:r>
      <w:r w:rsidRPr="00554E96">
        <w:rPr>
          <w:rFonts w:ascii="Times New Roman" w:hAnsi="Times New Roman"/>
          <w:lang w:val="en-HK"/>
        </w:rPr>
        <w:lastRenderedPageBreak/>
        <w:t xml:space="preserve">35 percent of EU renewable electricity was verified by GOs in 2015 (Hulshof et al., </w:t>
      </w:r>
      <w:r w:rsidRPr="00554E96">
        <w:rPr>
          <w:rFonts w:ascii="Times New Roman" w:hAnsi="Times New Roman"/>
          <w:i/>
          <w:iCs/>
          <w:lang w:val="en-HK"/>
        </w:rPr>
        <w:t>Performance of Markets for European Renewable Energy</w:t>
      </w:r>
      <w:r w:rsidRPr="00554E96">
        <w:rPr>
          <w:rFonts w:ascii="Times New Roman" w:hAnsi="Times New Roman"/>
          <w:lang w:val="en-HK"/>
        </w:rPr>
        <w:t>, 2016) (54).</w:t>
      </w:r>
    </w:p>
    <w:p w14:paraId="250AB79C"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Implementation</w:t>
      </w:r>
      <w:r w:rsidRPr="00554E96">
        <w:rPr>
          <w:rFonts w:ascii="Times New Roman" w:hAnsi="Times New Roman"/>
          <w:lang w:val="en-HK"/>
        </w:rPr>
        <w:t>: GOs are traded bilaterally, often bundled with power purchase agreements, enhancing project financing (54). Countries like Belgium, Italy, Poland, Romania, Sweden, and the UK use tradable green certificates nationally (54).</w:t>
      </w:r>
    </w:p>
    <w:p w14:paraId="5DBDFE88"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Arguments</w:t>
      </w:r>
      <w:r w:rsidRPr="00554E96">
        <w:rPr>
          <w:rFonts w:ascii="Times New Roman" w:hAnsi="Times New Roman"/>
          <w:lang w:val="en-HK"/>
        </w:rPr>
        <w:t>: GOs promote consumer choice and market signals but are not primary deployment drivers, complementing national schemes (54).</w:t>
      </w:r>
    </w:p>
    <w:p w14:paraId="5A8907EA"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Procurement Mechanisms</w:t>
      </w:r>
      <w:r w:rsidRPr="00554E96">
        <w:rPr>
          <w:rFonts w:ascii="Times New Roman" w:hAnsi="Times New Roman"/>
          <w:lang w:val="en-HK"/>
        </w:rPr>
        <w:t>:</w:t>
      </w:r>
    </w:p>
    <w:p w14:paraId="1E20FA66"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lang w:val="en-HK"/>
        </w:rPr>
        <w:t xml:space="preserve">EU Member States increasingly use competitive bidding, with </w:t>
      </w:r>
      <w:r w:rsidRPr="00554E96">
        <w:rPr>
          <w:rFonts w:ascii="Times New Roman" w:hAnsi="Times New Roman"/>
          <w:i/>
          <w:iCs/>
          <w:lang w:val="en-HK"/>
        </w:rPr>
        <w:t>Directive 2018/2001</w:t>
      </w:r>
      <w:r w:rsidRPr="00554E96">
        <w:rPr>
          <w:rFonts w:ascii="Times New Roman" w:hAnsi="Times New Roman"/>
          <w:lang w:val="en-HK"/>
        </w:rPr>
        <w:t xml:space="preserve"> noting, While Member States develop their support schemes, they may limit tendering procedures to specific technologies where this is needed to avoid sub-optimal results (62). This reflects a shift from FITs to auctions for cost-effectiveness (61).</w:t>
      </w:r>
    </w:p>
    <w:p w14:paraId="5D5F4807" w14:textId="000A1700"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Arguments</w:t>
      </w:r>
      <w:r w:rsidRPr="00554E96">
        <w:rPr>
          <w:rFonts w:ascii="Times New Roman" w:hAnsi="Times New Roman"/>
          <w:lang w:val="en-HK"/>
        </w:rPr>
        <w:t>: Auctions allow precise capacity control, but the document implies a risk of reduced deployment if not regularly scheduled (64).</w:t>
      </w:r>
    </w:p>
    <w:p w14:paraId="2D367E9B"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Research and Development (R&amp;D)</w:t>
      </w:r>
      <w:r w:rsidRPr="00554E96">
        <w:rPr>
          <w:rFonts w:ascii="Times New Roman" w:hAnsi="Times New Roman"/>
          <w:lang w:val="en-HK"/>
        </w:rPr>
        <w:t>:</w:t>
      </w:r>
    </w:p>
    <w:p w14:paraId="74D7062D"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lang w:val="en-HK"/>
        </w:rPr>
        <w:t>The Horizon 2020 program allocated over €5.2 billion from 2014-2020 for renewable energy R&amp;D, supporting multinational collaboration (66).</w:t>
      </w:r>
    </w:p>
    <w:p w14:paraId="161ED634"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Arguments</w:t>
      </w:r>
      <w:r w:rsidRPr="00554E96">
        <w:rPr>
          <w:rFonts w:ascii="Times New Roman" w:hAnsi="Times New Roman"/>
          <w:lang w:val="en-HK"/>
        </w:rPr>
        <w:t>: Sustained R&amp;D funding is critical for long-term technological breakthroughs, though its impact depends on consistent political support (66).</w:t>
      </w:r>
    </w:p>
    <w:p w14:paraId="662E863D" w14:textId="77777777" w:rsidR="00554E96" w:rsidRDefault="00554E96" w:rsidP="00554E96">
      <w:pPr>
        <w:spacing w:before="100" w:beforeAutospacing="1" w:after="100" w:afterAutospacing="1" w:line="360" w:lineRule="auto"/>
        <w:rPr>
          <w:rFonts w:ascii="Times New Roman" w:hAnsi="Times New Roman"/>
          <w:b/>
          <w:bCs/>
          <w:lang w:val="en-HK"/>
        </w:rPr>
      </w:pPr>
    </w:p>
    <w:p w14:paraId="2C76BEB7" w14:textId="3E9E9E5F"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Germany</w:t>
      </w:r>
    </w:p>
    <w:p w14:paraId="47102970" w14:textId="49A2863E" w:rsidR="00554E96" w:rsidRPr="00554E96" w:rsidRDefault="00554E96" w:rsidP="00554E96">
      <w:pPr>
        <w:spacing w:line="360" w:lineRule="auto"/>
        <w:rPr>
          <w:rFonts w:ascii="Times New Roman" w:hAnsi="Times New Roman"/>
          <w:lang w:val="en-HK"/>
        </w:rPr>
      </w:pPr>
      <w:r w:rsidRPr="00554E96">
        <w:rPr>
          <w:rFonts w:ascii="Times New Roman" w:hAnsi="Times New Roman"/>
          <w:lang w:val="en-HK"/>
        </w:rPr>
        <w:t xml:space="preserve">Germany’s renewable energy policy, a cornerstone of its </w:t>
      </w:r>
      <w:proofErr w:type="spellStart"/>
      <w:r w:rsidRPr="00554E96">
        <w:rPr>
          <w:rFonts w:ascii="Times New Roman" w:hAnsi="Times New Roman"/>
          <w:i/>
          <w:iCs/>
          <w:lang w:val="en-HK"/>
        </w:rPr>
        <w:t>Energiewende</w:t>
      </w:r>
      <w:proofErr w:type="spellEnd"/>
      <w:r w:rsidRPr="00554E96">
        <w:rPr>
          <w:rFonts w:ascii="Times New Roman" w:hAnsi="Times New Roman"/>
          <w:lang w:val="en-HK"/>
        </w:rPr>
        <w:t>, has transitioned from FITs to auctions, reflecting market maturation.</w:t>
      </w:r>
    </w:p>
    <w:p w14:paraId="2B703D05"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Feed-in Tariffs (Historical Context)</w:t>
      </w:r>
      <w:r w:rsidRPr="00554E96">
        <w:rPr>
          <w:rFonts w:ascii="Times New Roman" w:hAnsi="Times New Roman"/>
          <w:lang w:val="en-HK"/>
        </w:rPr>
        <w:t>:</w:t>
      </w:r>
    </w:p>
    <w:p w14:paraId="0BE1AB5B"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lang w:val="en-HK"/>
        </w:rPr>
        <w:lastRenderedPageBreak/>
        <w:t xml:space="preserve">The </w:t>
      </w:r>
      <w:r w:rsidRPr="00554E96">
        <w:rPr>
          <w:rFonts w:ascii="Times New Roman" w:hAnsi="Times New Roman"/>
          <w:i/>
          <w:iCs/>
          <w:lang w:val="en-HK"/>
        </w:rPr>
        <w:t>Renewable Energy Sources Act of 2000</w:t>
      </w:r>
      <w:r w:rsidRPr="00554E96">
        <w:rPr>
          <w:rFonts w:ascii="Times New Roman" w:hAnsi="Times New Roman"/>
          <w:lang w:val="en-HK"/>
        </w:rPr>
        <w:t xml:space="preserve"> introduced a FIT, guaranteeing grid access, fixed prices, and long-term payments (15-25 years), driving solar and wind growth from 4 percent in 1990 to 38 percent in 2018 (IEA, </w:t>
      </w:r>
      <w:r w:rsidRPr="00554E96">
        <w:rPr>
          <w:rFonts w:ascii="Times New Roman" w:hAnsi="Times New Roman"/>
          <w:i/>
          <w:iCs/>
          <w:lang w:val="en-HK"/>
        </w:rPr>
        <w:t>Germany 2020: Energy Policy Review</w:t>
      </w:r>
      <w:r w:rsidRPr="00554E96">
        <w:rPr>
          <w:rFonts w:ascii="Times New Roman" w:hAnsi="Times New Roman"/>
          <w:lang w:val="en-HK"/>
        </w:rPr>
        <w:t>, 2020) (56). Caps evolved from 350 MW to none, reflecting policy adaptation (59).</w:t>
      </w:r>
    </w:p>
    <w:p w14:paraId="6299C6C8"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Arguments</w:t>
      </w:r>
      <w:r w:rsidRPr="00554E96">
        <w:rPr>
          <w:rFonts w:ascii="Times New Roman" w:hAnsi="Times New Roman"/>
          <w:lang w:val="en-HK"/>
        </w:rPr>
        <w:t>: FITs spurred over 1.7 million solar projects, but high rates increased consumer costs, prompting a shift (59).</w:t>
      </w:r>
    </w:p>
    <w:p w14:paraId="2A4542A2"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Procurement Mechanisms (Current Scheme)</w:t>
      </w:r>
      <w:r w:rsidRPr="00554E96">
        <w:rPr>
          <w:rFonts w:ascii="Times New Roman" w:hAnsi="Times New Roman"/>
          <w:lang w:val="en-HK"/>
        </w:rPr>
        <w:t>:</w:t>
      </w:r>
    </w:p>
    <w:p w14:paraId="3E1A1A9E"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lang w:val="en-HK"/>
        </w:rPr>
        <w:t xml:space="preserve">Recent revisions to the </w:t>
      </w:r>
      <w:r w:rsidRPr="00554E96">
        <w:rPr>
          <w:rFonts w:ascii="Times New Roman" w:hAnsi="Times New Roman"/>
          <w:i/>
          <w:iCs/>
          <w:lang w:val="en-HK"/>
        </w:rPr>
        <w:t>Renewable Energy Sources Act</w:t>
      </w:r>
      <w:r w:rsidRPr="00554E96">
        <w:rPr>
          <w:rFonts w:ascii="Times New Roman" w:hAnsi="Times New Roman"/>
          <w:lang w:val="en-HK"/>
        </w:rPr>
        <w:t xml:space="preserve"> </w:t>
      </w:r>
      <w:proofErr w:type="spellStart"/>
      <w:r w:rsidRPr="00554E96">
        <w:rPr>
          <w:rFonts w:ascii="Times New Roman" w:hAnsi="Times New Roman"/>
          <w:lang w:val="en-HK"/>
        </w:rPr>
        <w:t>favor</w:t>
      </w:r>
      <w:proofErr w:type="spellEnd"/>
      <w:r w:rsidRPr="00554E96">
        <w:rPr>
          <w:rFonts w:ascii="Times New Roman" w:hAnsi="Times New Roman"/>
          <w:lang w:val="en-HK"/>
        </w:rPr>
        <w:t xml:space="preserve"> competitive auctions over FITs, where generators bid to supply electricity (60). This aligns with EU trends toward market-based mechanisms (61).</w:t>
      </w:r>
    </w:p>
    <w:p w14:paraId="4ED0C4F5"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Arguments</w:t>
      </w:r>
      <w:r w:rsidRPr="00554E96">
        <w:rPr>
          <w:rFonts w:ascii="Times New Roman" w:hAnsi="Times New Roman"/>
          <w:lang w:val="en-HK"/>
        </w:rPr>
        <w:t xml:space="preserve">: Auctions aim for cost-efficiency, though critics fear reduced support may </w:t>
      </w:r>
      <w:proofErr w:type="spellStart"/>
      <w:r w:rsidRPr="00554E96">
        <w:rPr>
          <w:rFonts w:ascii="Times New Roman" w:hAnsi="Times New Roman"/>
          <w:lang w:val="en-HK"/>
        </w:rPr>
        <w:t>favor</w:t>
      </w:r>
      <w:proofErr w:type="spellEnd"/>
      <w:r w:rsidRPr="00554E96">
        <w:rPr>
          <w:rFonts w:ascii="Times New Roman" w:hAnsi="Times New Roman"/>
          <w:lang w:val="en-HK"/>
        </w:rPr>
        <w:t xml:space="preserve"> large entities, limiting broad participation (64).</w:t>
      </w:r>
    </w:p>
    <w:p w14:paraId="540863F6"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Transportation Incentives</w:t>
      </w:r>
      <w:r w:rsidRPr="00554E96">
        <w:rPr>
          <w:rFonts w:ascii="Times New Roman" w:hAnsi="Times New Roman"/>
          <w:lang w:val="en-HK"/>
        </w:rPr>
        <w:t>:</w:t>
      </w:r>
    </w:p>
    <w:p w14:paraId="60EFB360"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lang w:val="en-HK"/>
        </w:rPr>
        <w:t>Germany offers up to €5,000 per EV or fuel cell vehicle (up to €65,000 purchase price), per government policy (72).</w:t>
      </w:r>
    </w:p>
    <w:p w14:paraId="2126FFF2"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Arguments</w:t>
      </w:r>
      <w:r w:rsidRPr="00554E96">
        <w:rPr>
          <w:rFonts w:ascii="Times New Roman" w:hAnsi="Times New Roman"/>
          <w:lang w:val="en-HK"/>
        </w:rPr>
        <w:t>: Tax incentives boost EV adoption but require renewable electricity growth to ensure environmental gains (73).</w:t>
      </w:r>
    </w:p>
    <w:p w14:paraId="54DD3113" w14:textId="77777777" w:rsidR="00554E96" w:rsidRPr="00554E96" w:rsidRDefault="00554E96" w:rsidP="00554E96">
      <w:pPr>
        <w:spacing w:before="100" w:beforeAutospacing="1" w:after="100" w:afterAutospacing="1" w:line="360" w:lineRule="auto"/>
        <w:outlineLvl w:val="3"/>
        <w:rPr>
          <w:rFonts w:ascii="Times New Roman" w:hAnsi="Times New Roman"/>
          <w:b/>
          <w:bCs/>
          <w:lang w:val="en-HK"/>
        </w:rPr>
      </w:pPr>
    </w:p>
    <w:p w14:paraId="7FC5309D" w14:textId="1153BF43" w:rsidR="00554E96" w:rsidRPr="00554E96" w:rsidRDefault="00554E96" w:rsidP="00554E96">
      <w:pPr>
        <w:spacing w:before="100" w:beforeAutospacing="1" w:after="100" w:afterAutospacing="1" w:line="360" w:lineRule="auto"/>
        <w:outlineLvl w:val="3"/>
        <w:rPr>
          <w:rFonts w:ascii="Times New Roman" w:hAnsi="Times New Roman"/>
          <w:b/>
          <w:bCs/>
          <w:lang w:val="en-HK"/>
        </w:rPr>
      </w:pPr>
      <w:r w:rsidRPr="00554E96">
        <w:rPr>
          <w:rFonts w:ascii="Times New Roman" w:hAnsi="Times New Roman"/>
          <w:b/>
          <w:bCs/>
          <w:lang w:val="en-HK"/>
        </w:rPr>
        <w:t>United Kingdom</w:t>
      </w:r>
    </w:p>
    <w:p w14:paraId="2C3AFBCF" w14:textId="21E0C94C" w:rsidR="00554E96" w:rsidRPr="00554E96" w:rsidRDefault="00554E96" w:rsidP="00554E96">
      <w:pPr>
        <w:spacing w:line="360" w:lineRule="auto"/>
        <w:rPr>
          <w:rFonts w:ascii="Times New Roman" w:hAnsi="Times New Roman"/>
          <w:lang w:val="en-HK"/>
        </w:rPr>
      </w:pPr>
      <w:r w:rsidRPr="00554E96">
        <w:rPr>
          <w:rFonts w:ascii="Times New Roman" w:hAnsi="Times New Roman"/>
          <w:lang w:val="en-HK"/>
        </w:rPr>
        <w:t>The UK blends FITs, tradable certificates, and auctions, balancing market-driven and guaranteed support approaches.</w:t>
      </w:r>
    </w:p>
    <w:p w14:paraId="6DDAF95B"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Contracts for Difference (</w:t>
      </w:r>
      <w:proofErr w:type="spellStart"/>
      <w:r w:rsidRPr="00554E96">
        <w:rPr>
          <w:rFonts w:ascii="Times New Roman" w:hAnsi="Times New Roman"/>
          <w:b/>
          <w:bCs/>
          <w:lang w:val="en-HK"/>
        </w:rPr>
        <w:t>CfD</w:t>
      </w:r>
      <w:proofErr w:type="spellEnd"/>
      <w:r w:rsidRPr="00554E96">
        <w:rPr>
          <w:rFonts w:ascii="Times New Roman" w:hAnsi="Times New Roman"/>
          <w:b/>
          <w:bCs/>
          <w:lang w:val="en-HK"/>
        </w:rPr>
        <w:t>) FIT</w:t>
      </w:r>
      <w:r w:rsidRPr="00554E96">
        <w:rPr>
          <w:rFonts w:ascii="Times New Roman" w:hAnsi="Times New Roman"/>
          <w:lang w:val="en-HK"/>
        </w:rPr>
        <w:t>:</w:t>
      </w:r>
    </w:p>
    <w:p w14:paraId="049D0B01"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lang w:val="en-HK"/>
        </w:rPr>
        <w:t xml:space="preserve">The </w:t>
      </w:r>
      <w:r w:rsidRPr="00554E96">
        <w:rPr>
          <w:rFonts w:ascii="Times New Roman" w:hAnsi="Times New Roman"/>
          <w:i/>
          <w:iCs/>
          <w:lang w:val="en-HK"/>
        </w:rPr>
        <w:t>Energy Act 2013</w:t>
      </w:r>
      <w:r w:rsidRPr="00554E96">
        <w:rPr>
          <w:rFonts w:ascii="Times New Roman" w:hAnsi="Times New Roman"/>
          <w:lang w:val="en-HK"/>
        </w:rPr>
        <w:t xml:space="preserve"> introduced </w:t>
      </w:r>
      <w:proofErr w:type="spellStart"/>
      <w:r w:rsidRPr="00554E96">
        <w:rPr>
          <w:rFonts w:ascii="Times New Roman" w:hAnsi="Times New Roman"/>
          <w:lang w:val="en-HK"/>
        </w:rPr>
        <w:t>CfDs</w:t>
      </w:r>
      <w:proofErr w:type="spellEnd"/>
      <w:r w:rsidRPr="00554E96">
        <w:rPr>
          <w:rFonts w:ascii="Times New Roman" w:hAnsi="Times New Roman"/>
          <w:lang w:val="en-HK"/>
        </w:rPr>
        <w:t xml:space="preserve">, where generators receive a flat-rate payment over 15 years, calculated as the difference between a strike price (technology-specific cost) and a </w:t>
      </w:r>
      <w:r w:rsidRPr="00554E96">
        <w:rPr>
          <w:rFonts w:ascii="Times New Roman" w:hAnsi="Times New Roman"/>
          <w:lang w:val="en-HK"/>
        </w:rPr>
        <w:lastRenderedPageBreak/>
        <w:t xml:space="preserve">reference price (market average) (58). Administered by the Low Carbon Contracts Company, </w:t>
      </w:r>
      <w:proofErr w:type="spellStart"/>
      <w:r w:rsidRPr="00554E96">
        <w:rPr>
          <w:rFonts w:ascii="Times New Roman" w:hAnsi="Times New Roman"/>
          <w:lang w:val="en-HK"/>
        </w:rPr>
        <w:t>CfDs</w:t>
      </w:r>
      <w:proofErr w:type="spellEnd"/>
      <w:r w:rsidRPr="00554E96">
        <w:rPr>
          <w:rFonts w:ascii="Times New Roman" w:hAnsi="Times New Roman"/>
          <w:lang w:val="en-HK"/>
        </w:rPr>
        <w:t xml:space="preserve"> replaced earlier FITs (58).</w:t>
      </w:r>
    </w:p>
    <w:p w14:paraId="1A63D9D6"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Arguments</w:t>
      </w:r>
      <w:r w:rsidRPr="00554E96">
        <w:rPr>
          <w:rFonts w:ascii="Times New Roman" w:hAnsi="Times New Roman"/>
          <w:lang w:val="en-HK"/>
        </w:rPr>
        <w:t xml:space="preserve">: </w:t>
      </w:r>
      <w:proofErr w:type="spellStart"/>
      <w:r w:rsidRPr="00554E96">
        <w:rPr>
          <w:rFonts w:ascii="Times New Roman" w:hAnsi="Times New Roman"/>
          <w:lang w:val="en-HK"/>
        </w:rPr>
        <w:t>CfDs</w:t>
      </w:r>
      <w:proofErr w:type="spellEnd"/>
      <w:r w:rsidRPr="00554E96">
        <w:rPr>
          <w:rFonts w:ascii="Times New Roman" w:hAnsi="Times New Roman"/>
          <w:lang w:val="en-HK"/>
        </w:rPr>
        <w:t xml:space="preserve"> provide revenue stability, stimulating investment, though complexity may deter smaller players (58, 64).</w:t>
      </w:r>
    </w:p>
    <w:p w14:paraId="72725C97"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Renewable Energy Targets and Tradable Certificates</w:t>
      </w:r>
      <w:r w:rsidRPr="00554E96">
        <w:rPr>
          <w:rFonts w:ascii="Times New Roman" w:hAnsi="Times New Roman"/>
          <w:lang w:val="en-HK"/>
        </w:rPr>
        <w:t>:</w:t>
      </w:r>
    </w:p>
    <w:p w14:paraId="4A98587F"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lang w:val="en-HK"/>
        </w:rPr>
        <w:t xml:space="preserve">The UK uses tradable green certificates within its national RET scheme, complemented by GOs under </w:t>
      </w:r>
      <w:r w:rsidRPr="00554E96">
        <w:rPr>
          <w:rFonts w:ascii="Times New Roman" w:hAnsi="Times New Roman"/>
          <w:i/>
          <w:iCs/>
          <w:lang w:val="en-HK"/>
        </w:rPr>
        <w:t>Directive 2018/2001</w:t>
      </w:r>
      <w:r w:rsidRPr="00554E96">
        <w:rPr>
          <w:rFonts w:ascii="Times New Roman" w:hAnsi="Times New Roman"/>
          <w:lang w:val="en-HK"/>
        </w:rPr>
        <w:t xml:space="preserve"> (54).</w:t>
      </w:r>
    </w:p>
    <w:p w14:paraId="03A8F61C" w14:textId="543D314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Arguments</w:t>
      </w:r>
      <w:r w:rsidRPr="00554E96">
        <w:rPr>
          <w:rFonts w:ascii="Times New Roman" w:hAnsi="Times New Roman"/>
          <w:lang w:val="en-HK"/>
        </w:rPr>
        <w:t xml:space="preserve">: Certificates enhance flexibility but may not match </w:t>
      </w:r>
      <w:proofErr w:type="spellStart"/>
      <w:r w:rsidRPr="00554E96">
        <w:rPr>
          <w:rFonts w:ascii="Times New Roman" w:hAnsi="Times New Roman"/>
          <w:lang w:val="en-HK"/>
        </w:rPr>
        <w:t>FITs’</w:t>
      </w:r>
      <w:proofErr w:type="spellEnd"/>
      <w:r w:rsidRPr="00554E96">
        <w:rPr>
          <w:rFonts w:ascii="Times New Roman" w:hAnsi="Times New Roman"/>
          <w:lang w:val="en-HK"/>
        </w:rPr>
        <w:t xml:space="preserve"> deployment success (60).</w:t>
      </w:r>
    </w:p>
    <w:p w14:paraId="2BE3BF28" w14:textId="77777777" w:rsidR="00554E96" w:rsidRPr="00554E96" w:rsidRDefault="00554E96" w:rsidP="00554E96">
      <w:pPr>
        <w:spacing w:before="100" w:beforeAutospacing="1" w:after="100" w:afterAutospacing="1" w:line="360" w:lineRule="auto"/>
        <w:outlineLvl w:val="3"/>
        <w:rPr>
          <w:rFonts w:ascii="Times New Roman" w:hAnsi="Times New Roman"/>
          <w:b/>
          <w:bCs/>
          <w:lang w:val="en-HK"/>
        </w:rPr>
      </w:pPr>
      <w:r w:rsidRPr="00554E96">
        <w:rPr>
          <w:rFonts w:ascii="Times New Roman" w:hAnsi="Times New Roman"/>
          <w:b/>
          <w:bCs/>
          <w:lang w:val="en-HK"/>
        </w:rPr>
        <w:t>Spain</w:t>
      </w:r>
    </w:p>
    <w:p w14:paraId="535C90C9" w14:textId="63B3BE23" w:rsidR="00554E96" w:rsidRPr="00554E96" w:rsidRDefault="00554E96" w:rsidP="00554E96">
      <w:pPr>
        <w:spacing w:line="360" w:lineRule="auto"/>
        <w:rPr>
          <w:rFonts w:ascii="Times New Roman" w:hAnsi="Times New Roman"/>
          <w:lang w:val="en-HK"/>
        </w:rPr>
      </w:pPr>
      <w:r w:rsidRPr="00554E96">
        <w:rPr>
          <w:rFonts w:ascii="Times New Roman" w:hAnsi="Times New Roman"/>
          <w:lang w:val="en-HK"/>
        </w:rPr>
        <w:t>Spain’s renewable energy policy has shifted from FITs to alternative compensation, reflecting cost management concerns.</w:t>
      </w:r>
    </w:p>
    <w:p w14:paraId="640CA4F4"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Feed-in Tariffs (Historical Context)</w:t>
      </w:r>
      <w:r w:rsidRPr="00554E96">
        <w:rPr>
          <w:rFonts w:ascii="Times New Roman" w:hAnsi="Times New Roman"/>
          <w:lang w:val="en-HK"/>
        </w:rPr>
        <w:t>:</w:t>
      </w:r>
    </w:p>
    <w:p w14:paraId="52915407" w14:textId="60B03C78"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lang w:val="en-HK"/>
        </w:rPr>
        <w:t>Spain’s FIT doubled renewable electricity to 42 percent by 2020 (</w:t>
      </w:r>
      <w:proofErr w:type="spellStart"/>
      <w:r w:rsidRPr="00554E96">
        <w:rPr>
          <w:rFonts w:ascii="Times New Roman" w:hAnsi="Times New Roman"/>
          <w:lang w:val="en-HK"/>
        </w:rPr>
        <w:t>Djunisic</w:t>
      </w:r>
      <w:proofErr w:type="spellEnd"/>
      <w:r w:rsidRPr="00554E96">
        <w:rPr>
          <w:rFonts w:ascii="Times New Roman" w:hAnsi="Times New Roman"/>
          <w:lang w:val="en-HK"/>
        </w:rPr>
        <w:t xml:space="preserve">, </w:t>
      </w:r>
      <w:r w:rsidRPr="00554E96">
        <w:rPr>
          <w:rFonts w:ascii="Times New Roman" w:hAnsi="Times New Roman"/>
          <w:i/>
          <w:iCs/>
          <w:lang w:val="en-HK"/>
        </w:rPr>
        <w:t>Renewables Share in Spain Reaches 42.8% in Feb</w:t>
      </w:r>
      <w:r w:rsidRPr="00554E96">
        <w:rPr>
          <w:rFonts w:ascii="Times New Roman" w:hAnsi="Times New Roman"/>
          <w:lang w:val="en-HK"/>
        </w:rPr>
        <w:t>, 2020) (56). High rates led to overdevelopment, prompting a 2013 suspension and replacement with a new system (59).</w:t>
      </w:r>
    </w:p>
    <w:p w14:paraId="4A1A86E5"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Arguments</w:t>
      </w:r>
      <w:r w:rsidRPr="00554E96">
        <w:rPr>
          <w:rFonts w:ascii="Times New Roman" w:hAnsi="Times New Roman"/>
          <w:lang w:val="en-HK"/>
        </w:rPr>
        <w:t>: FITs were effective but unsustainable, necessitating a market-responsive alternative (59).</w:t>
      </w:r>
    </w:p>
    <w:p w14:paraId="14647D1A" w14:textId="77777777" w:rsidR="00554E96" w:rsidRPr="00554E96" w:rsidRDefault="00554E96" w:rsidP="00554E96">
      <w:pPr>
        <w:spacing w:before="100" w:beforeAutospacing="1" w:after="100" w:afterAutospacing="1" w:line="360" w:lineRule="auto"/>
        <w:outlineLvl w:val="3"/>
        <w:rPr>
          <w:rFonts w:ascii="Times New Roman" w:hAnsi="Times New Roman"/>
          <w:lang w:val="en-HK"/>
        </w:rPr>
      </w:pPr>
    </w:p>
    <w:p w14:paraId="04420861" w14:textId="54211662" w:rsidR="00554E96" w:rsidRPr="00554E96" w:rsidRDefault="00554E96" w:rsidP="00554E96">
      <w:pPr>
        <w:spacing w:before="100" w:beforeAutospacing="1" w:after="100" w:afterAutospacing="1" w:line="360" w:lineRule="auto"/>
        <w:outlineLvl w:val="3"/>
        <w:rPr>
          <w:rFonts w:ascii="Times New Roman" w:hAnsi="Times New Roman"/>
          <w:b/>
          <w:bCs/>
          <w:lang w:val="en-HK"/>
        </w:rPr>
      </w:pPr>
      <w:r w:rsidRPr="00554E96">
        <w:rPr>
          <w:rFonts w:ascii="Times New Roman" w:hAnsi="Times New Roman"/>
          <w:b/>
          <w:bCs/>
          <w:lang w:val="en-HK"/>
        </w:rPr>
        <w:t>United States</w:t>
      </w:r>
    </w:p>
    <w:p w14:paraId="0CDB077F" w14:textId="611B3CAF" w:rsidR="00554E96" w:rsidRPr="00554E96" w:rsidRDefault="00554E96" w:rsidP="00554E96">
      <w:pPr>
        <w:spacing w:line="360" w:lineRule="auto"/>
        <w:rPr>
          <w:rFonts w:ascii="Times New Roman" w:hAnsi="Times New Roman"/>
          <w:lang w:val="en-HK"/>
        </w:rPr>
      </w:pPr>
      <w:r w:rsidRPr="00554E96">
        <w:rPr>
          <w:rFonts w:ascii="Times New Roman" w:hAnsi="Times New Roman"/>
          <w:lang w:val="en-HK"/>
        </w:rPr>
        <w:t>The US employs a decentralized approach, with state-led RESs, limited FITs, auctions, and federal R&amp;D and transportation incentives.</w:t>
      </w:r>
    </w:p>
    <w:p w14:paraId="2EED1997"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Renewable Energy Standards (RESs)</w:t>
      </w:r>
      <w:r w:rsidRPr="00554E96">
        <w:rPr>
          <w:rFonts w:ascii="Times New Roman" w:hAnsi="Times New Roman"/>
          <w:lang w:val="en-HK"/>
        </w:rPr>
        <w:t>:</w:t>
      </w:r>
    </w:p>
    <w:p w14:paraId="58FB831B"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lang w:val="en-HK"/>
        </w:rPr>
        <w:lastRenderedPageBreak/>
        <w:t>Twenty-nine states, Washington, DC, and three territories have mandatory RESs, with eight states and one territory having voluntary goals (51). Targets range up to 100 percent (e.g., New York, California), often with set-asides (e.g., Maryland’s 14.5 percent solar by 2030) (51-52). Renewable Energy Certificates (RECs) facilitate compliance, tracked by ISOs/RTOs under FERC oversight (53).</w:t>
      </w:r>
    </w:p>
    <w:p w14:paraId="7435738C"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Arguments</w:t>
      </w:r>
      <w:r w:rsidRPr="00554E96">
        <w:rPr>
          <w:rFonts w:ascii="Times New Roman" w:hAnsi="Times New Roman"/>
          <w:lang w:val="en-HK"/>
        </w:rPr>
        <w:t xml:space="preserve">: RESs are a key climate policy, boosting deployment, though Greenstone and Nath (2019) argue they raise costs with modest renewable gains, </w:t>
      </w:r>
      <w:proofErr w:type="spellStart"/>
      <w:r w:rsidRPr="00554E96">
        <w:rPr>
          <w:rFonts w:ascii="Times New Roman" w:hAnsi="Times New Roman"/>
          <w:lang w:val="en-HK"/>
        </w:rPr>
        <w:t>favoring</w:t>
      </w:r>
      <w:proofErr w:type="spellEnd"/>
      <w:r w:rsidRPr="00554E96">
        <w:rPr>
          <w:rFonts w:ascii="Times New Roman" w:hAnsi="Times New Roman"/>
          <w:lang w:val="en-HK"/>
        </w:rPr>
        <w:t xml:space="preserve"> carbon pricing—a contested claim (O’Shaughnessy and </w:t>
      </w:r>
      <w:proofErr w:type="spellStart"/>
      <w:r w:rsidRPr="00554E96">
        <w:rPr>
          <w:rFonts w:ascii="Times New Roman" w:hAnsi="Times New Roman"/>
          <w:lang w:val="en-HK"/>
        </w:rPr>
        <w:t>Heeter</w:t>
      </w:r>
      <w:proofErr w:type="spellEnd"/>
      <w:r w:rsidRPr="00554E96">
        <w:rPr>
          <w:rFonts w:ascii="Times New Roman" w:hAnsi="Times New Roman"/>
          <w:lang w:val="en-HK"/>
        </w:rPr>
        <w:t xml:space="preserve">, </w:t>
      </w:r>
      <w:r w:rsidRPr="00554E96">
        <w:rPr>
          <w:rFonts w:ascii="Times New Roman" w:hAnsi="Times New Roman"/>
          <w:i/>
          <w:iCs/>
          <w:lang w:val="en-HK"/>
        </w:rPr>
        <w:t>Status and Trends in the U.S.</w:t>
      </w:r>
      <w:r w:rsidRPr="00554E96">
        <w:rPr>
          <w:rFonts w:ascii="Times New Roman" w:hAnsi="Times New Roman"/>
          <w:lang w:val="en-HK"/>
        </w:rPr>
        <w:t>, 2020) (53).</w:t>
      </w:r>
    </w:p>
    <w:p w14:paraId="55A6CC83" w14:textId="679FB025"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Feed-in Tariffs</w:t>
      </w:r>
      <w:r w:rsidRPr="00554E96">
        <w:rPr>
          <w:rFonts w:ascii="Times New Roman" w:hAnsi="Times New Roman"/>
          <w:lang w:val="en-HK"/>
        </w:rPr>
        <w:t>:</w:t>
      </w:r>
    </w:p>
    <w:p w14:paraId="7B0096AD"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lang w:val="en-HK"/>
        </w:rPr>
        <w:t xml:space="preserve">Six states (e.g., California, Hawaii) have implemented FITs. California’s Re-MAT (2012) capped participation at 500 MW, adjusting prices bimonthly (57). In </w:t>
      </w:r>
      <w:r w:rsidRPr="00554E96">
        <w:rPr>
          <w:rFonts w:ascii="Times New Roman" w:hAnsi="Times New Roman"/>
          <w:i/>
          <w:iCs/>
          <w:lang w:val="en-HK"/>
        </w:rPr>
        <w:t>Winding Creek Solar LLC v. Peterman</w:t>
      </w:r>
      <w:r w:rsidRPr="00554E96">
        <w:rPr>
          <w:rFonts w:ascii="Times New Roman" w:hAnsi="Times New Roman"/>
          <w:lang w:val="en-HK"/>
        </w:rPr>
        <w:t xml:space="preserve"> (932 F.3d 863, 9th Cir. 2019), the court held PURPA </w:t>
      </w:r>
      <w:proofErr w:type="spellStart"/>
      <w:r w:rsidRPr="00554E96">
        <w:rPr>
          <w:rFonts w:ascii="Times New Roman" w:hAnsi="Times New Roman"/>
          <w:lang w:val="en-HK"/>
        </w:rPr>
        <w:t>preempted</w:t>
      </w:r>
      <w:proofErr w:type="spellEnd"/>
      <w:r w:rsidRPr="00554E96">
        <w:rPr>
          <w:rFonts w:ascii="Times New Roman" w:hAnsi="Times New Roman"/>
          <w:lang w:val="en-HK"/>
        </w:rPr>
        <w:t xml:space="preserve"> Re-MAT, as it capped purchases and used market-based pricing, not avoided costs (57). Hawaii’s FIT (2009) is closed to new entrants (57).</w:t>
      </w:r>
    </w:p>
    <w:p w14:paraId="2B698556"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Facts and Reasoning</w:t>
      </w:r>
      <w:r w:rsidRPr="00554E96">
        <w:rPr>
          <w:rFonts w:ascii="Times New Roman" w:hAnsi="Times New Roman"/>
          <w:lang w:val="en-HK"/>
        </w:rPr>
        <w:t>: The case involved Winding Creek challenging California’s FIT, arguing PURPA mandated uncapped purchases at avoided cost. The 9th Circuit agreed, reasoning PURPA’s federal authority overrode state pricing discretion (57).</w:t>
      </w:r>
    </w:p>
    <w:p w14:paraId="7B34C7CF"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Arguments</w:t>
      </w:r>
      <w:r w:rsidRPr="00554E96">
        <w:rPr>
          <w:rFonts w:ascii="Times New Roman" w:hAnsi="Times New Roman"/>
          <w:lang w:val="en-HK"/>
        </w:rPr>
        <w:t>: FITs spurred small-scale growth (e.g., Gainesville, Florida, from 300 kW to 20.5 MW, 2008-2014), but high rates led to suspensions (e.g., Gainesville) due to ratepayer burdens (58-59).</w:t>
      </w:r>
    </w:p>
    <w:p w14:paraId="061ACA34"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Procurement Mechanisms</w:t>
      </w:r>
      <w:r w:rsidRPr="00554E96">
        <w:rPr>
          <w:rFonts w:ascii="Times New Roman" w:hAnsi="Times New Roman"/>
          <w:lang w:val="en-HK"/>
        </w:rPr>
        <w:t>:</w:t>
      </w:r>
    </w:p>
    <w:p w14:paraId="4CCBD6A0"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lang w:val="en-HK"/>
        </w:rPr>
        <w:t xml:space="preserve">New York’s 2019 solicitation awarded 1,700 MW of offshore wind capacity via competitive bidding (61). Bids often combine resources (e.g., renewables with storage), reflecting </w:t>
      </w:r>
      <w:r w:rsidRPr="00554E96">
        <w:rPr>
          <w:rFonts w:ascii="Times New Roman" w:hAnsi="Times New Roman"/>
          <w:i/>
          <w:iCs/>
          <w:lang w:val="en-HK"/>
        </w:rPr>
        <w:t>Directive 2018/2001</w:t>
      </w:r>
      <w:r w:rsidRPr="00554E96">
        <w:rPr>
          <w:rFonts w:ascii="Times New Roman" w:hAnsi="Times New Roman"/>
          <w:lang w:val="en-HK"/>
        </w:rPr>
        <w:t>’s diversification logic (62).</w:t>
      </w:r>
    </w:p>
    <w:p w14:paraId="62ED56E4"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Arguments</w:t>
      </w:r>
      <w:r w:rsidRPr="00554E96">
        <w:rPr>
          <w:rFonts w:ascii="Times New Roman" w:hAnsi="Times New Roman"/>
          <w:lang w:val="en-HK"/>
        </w:rPr>
        <w:t>: Tenders ensure precise capacity but may exclude smaller bidders (64).</w:t>
      </w:r>
    </w:p>
    <w:p w14:paraId="48D5BA31"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Public Investment</w:t>
      </w:r>
      <w:r w:rsidRPr="00554E96">
        <w:rPr>
          <w:rFonts w:ascii="Times New Roman" w:hAnsi="Times New Roman"/>
          <w:lang w:val="en-HK"/>
        </w:rPr>
        <w:t>:</w:t>
      </w:r>
    </w:p>
    <w:p w14:paraId="4A54BD58"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lang w:val="en-HK"/>
        </w:rPr>
        <w:lastRenderedPageBreak/>
        <w:t xml:space="preserve">The </w:t>
      </w:r>
      <w:r w:rsidRPr="00554E96">
        <w:rPr>
          <w:rFonts w:ascii="Times New Roman" w:hAnsi="Times New Roman"/>
          <w:i/>
          <w:iCs/>
          <w:lang w:val="en-HK"/>
        </w:rPr>
        <w:t>Energy Policy Act of 2005</w:t>
      </w:r>
      <w:r w:rsidRPr="00554E96">
        <w:rPr>
          <w:rFonts w:ascii="Times New Roman" w:hAnsi="Times New Roman"/>
          <w:lang w:val="en-HK"/>
        </w:rPr>
        <w:t xml:space="preserve"> and </w:t>
      </w:r>
      <w:r w:rsidRPr="00554E96">
        <w:rPr>
          <w:rFonts w:ascii="Times New Roman" w:hAnsi="Times New Roman"/>
          <w:i/>
          <w:iCs/>
          <w:lang w:val="en-HK"/>
        </w:rPr>
        <w:t>American Recovery and Reinvestment Act of 2009</w:t>
      </w:r>
      <w:r w:rsidRPr="00554E96">
        <w:rPr>
          <w:rFonts w:ascii="Times New Roman" w:hAnsi="Times New Roman"/>
          <w:lang w:val="en-HK"/>
        </w:rPr>
        <w:t xml:space="preserve"> expanded DOE’s Loan Programs Office, issuing $34.2 billion in guarantees with a 2 percent default rate despite Solyndra’s $535 million failure (67). ARPA-E (2007) funds high-risk R&amp;D, though Trump-era cuts reduced support by 70 percent (67). State programs like Colorado’s RENU Loan and PACE (37 states) offer financing (68).</w:t>
      </w:r>
    </w:p>
    <w:p w14:paraId="43137DD3"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Arguments</w:t>
      </w:r>
      <w:r w:rsidRPr="00554E96">
        <w:rPr>
          <w:rFonts w:ascii="Times New Roman" w:hAnsi="Times New Roman"/>
          <w:lang w:val="en-HK"/>
        </w:rPr>
        <w:t>: Public investment bridges private sector gaps, but political volatility threatens continuity (67).</w:t>
      </w:r>
    </w:p>
    <w:p w14:paraId="496B8FB1"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Transportation Incentives</w:t>
      </w:r>
      <w:r w:rsidRPr="00554E96">
        <w:rPr>
          <w:rFonts w:ascii="Times New Roman" w:hAnsi="Times New Roman"/>
          <w:lang w:val="en-HK"/>
        </w:rPr>
        <w:t>:</w:t>
      </w:r>
    </w:p>
    <w:p w14:paraId="3E74564A"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lang w:val="en-HK"/>
        </w:rPr>
        <w:t xml:space="preserve">California’s ZEV program and the federal </w:t>
      </w:r>
      <w:r w:rsidRPr="00554E96">
        <w:rPr>
          <w:rFonts w:ascii="Times New Roman" w:hAnsi="Times New Roman"/>
          <w:i/>
          <w:iCs/>
          <w:lang w:val="en-HK"/>
        </w:rPr>
        <w:t>Clean Air Act</w:t>
      </w:r>
      <w:r w:rsidRPr="00554E96">
        <w:rPr>
          <w:rFonts w:ascii="Times New Roman" w:hAnsi="Times New Roman"/>
          <w:lang w:val="en-HK"/>
        </w:rPr>
        <w:t xml:space="preserve"> amendments set EV and GHG standards, with tax credits ($2,500-$7,500) phasing out after 200,000 sales (70-72). The RFS mandates 36 billion gallons of biofuel by 2022 (71).</w:t>
      </w:r>
    </w:p>
    <w:p w14:paraId="13F4C78D"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Arguments</w:t>
      </w:r>
      <w:r w:rsidRPr="00554E96">
        <w:rPr>
          <w:rFonts w:ascii="Times New Roman" w:hAnsi="Times New Roman"/>
          <w:lang w:val="en-HK"/>
        </w:rPr>
        <w:t>: Incentives boost ZEVs, but without renewable electricity, fossil fuel use may rise; biofuels face sustainability critiques (73).</w:t>
      </w:r>
    </w:p>
    <w:p w14:paraId="4B8B72B3" w14:textId="77777777" w:rsidR="00554E96" w:rsidRPr="00554E96" w:rsidRDefault="00554E96" w:rsidP="00554E96">
      <w:pPr>
        <w:spacing w:before="100" w:beforeAutospacing="1" w:after="100" w:afterAutospacing="1" w:line="360" w:lineRule="auto"/>
        <w:outlineLvl w:val="3"/>
        <w:rPr>
          <w:rFonts w:ascii="Times New Roman" w:hAnsi="Times New Roman"/>
          <w:lang w:val="en-HK"/>
        </w:rPr>
      </w:pPr>
    </w:p>
    <w:p w14:paraId="235A5768" w14:textId="41789F7E" w:rsidR="00554E96" w:rsidRPr="00554E96" w:rsidRDefault="00554E96" w:rsidP="00554E96">
      <w:pPr>
        <w:spacing w:before="100" w:beforeAutospacing="1" w:after="100" w:afterAutospacing="1" w:line="360" w:lineRule="auto"/>
        <w:outlineLvl w:val="3"/>
        <w:rPr>
          <w:rFonts w:ascii="Times New Roman" w:hAnsi="Times New Roman"/>
          <w:b/>
          <w:bCs/>
          <w:lang w:val="en-HK"/>
        </w:rPr>
      </w:pPr>
      <w:r w:rsidRPr="00554E96">
        <w:rPr>
          <w:rFonts w:ascii="Times New Roman" w:hAnsi="Times New Roman"/>
          <w:b/>
          <w:bCs/>
          <w:lang w:val="en-HK"/>
        </w:rPr>
        <w:t>China</w:t>
      </w:r>
    </w:p>
    <w:p w14:paraId="05B57A22" w14:textId="0FC35420" w:rsidR="00554E96" w:rsidRPr="00554E96" w:rsidRDefault="00554E96" w:rsidP="00554E96">
      <w:pPr>
        <w:spacing w:line="360" w:lineRule="auto"/>
        <w:rPr>
          <w:rFonts w:ascii="Times New Roman" w:hAnsi="Times New Roman"/>
          <w:lang w:val="en-HK"/>
        </w:rPr>
      </w:pPr>
      <w:r w:rsidRPr="00554E96">
        <w:rPr>
          <w:rFonts w:ascii="Times New Roman" w:hAnsi="Times New Roman"/>
          <w:lang w:val="en-HK"/>
        </w:rPr>
        <w:t>China balances ambitious targets with a shift from FITs to auctions and robust transportation policies.</w:t>
      </w:r>
    </w:p>
    <w:p w14:paraId="11E3D939"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Renewable Energy Targets</w:t>
      </w:r>
      <w:r w:rsidRPr="00554E96">
        <w:rPr>
          <w:rFonts w:ascii="Times New Roman" w:hAnsi="Times New Roman"/>
          <w:lang w:val="en-HK"/>
        </w:rPr>
        <w:t>:</w:t>
      </w:r>
    </w:p>
    <w:p w14:paraId="6D112ADC"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lang w:val="en-HK"/>
        </w:rPr>
        <w:t>China targets 35 percent renewable electricity by 2030 (49).</w:t>
      </w:r>
    </w:p>
    <w:p w14:paraId="6D620539"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Arguments</w:t>
      </w:r>
      <w:r w:rsidRPr="00554E96">
        <w:rPr>
          <w:rFonts w:ascii="Times New Roman" w:hAnsi="Times New Roman"/>
          <w:lang w:val="en-HK"/>
        </w:rPr>
        <w:t>: Ambitious targets drive growth, supported by diverse mechanisms (50).</w:t>
      </w:r>
    </w:p>
    <w:p w14:paraId="376DD1F4"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Feed-in Tariffs (Historical Context)</w:t>
      </w:r>
      <w:r w:rsidRPr="00554E96">
        <w:rPr>
          <w:rFonts w:ascii="Times New Roman" w:hAnsi="Times New Roman"/>
          <w:lang w:val="en-HK"/>
        </w:rPr>
        <w:t>:</w:t>
      </w:r>
    </w:p>
    <w:p w14:paraId="0B1C48A6"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lang w:val="en-HK"/>
        </w:rPr>
        <w:t>FIT cuts in 2018, with capacity caps, reduced solar installations by 17 percent (2018-2019) (59).</w:t>
      </w:r>
    </w:p>
    <w:p w14:paraId="5CFA2518"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Arguments</w:t>
      </w:r>
      <w:r w:rsidRPr="00554E96">
        <w:rPr>
          <w:rFonts w:ascii="Times New Roman" w:hAnsi="Times New Roman"/>
          <w:lang w:val="en-HK"/>
        </w:rPr>
        <w:t>: High FIT rates overstimulated markets, necessitating cost controls (59).</w:t>
      </w:r>
    </w:p>
    <w:p w14:paraId="28598667"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Procurement Mechanisms</w:t>
      </w:r>
      <w:r w:rsidRPr="00554E96">
        <w:rPr>
          <w:rFonts w:ascii="Times New Roman" w:hAnsi="Times New Roman"/>
          <w:lang w:val="en-HK"/>
        </w:rPr>
        <w:t>:</w:t>
      </w:r>
    </w:p>
    <w:p w14:paraId="0D85E4AE"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lang w:val="en-HK"/>
        </w:rPr>
        <w:lastRenderedPageBreak/>
        <w:t>Since 2020, the National Energy Administration uses auctions for onshore wind and solar PV (64).</w:t>
      </w:r>
    </w:p>
    <w:p w14:paraId="4B96D4CF"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Arguments</w:t>
      </w:r>
      <w:r w:rsidRPr="00554E96">
        <w:rPr>
          <w:rFonts w:ascii="Times New Roman" w:hAnsi="Times New Roman"/>
          <w:lang w:val="en-HK"/>
        </w:rPr>
        <w:t>: Auctions aim for cost-efficiency, aligning with global trends (64).</w:t>
      </w:r>
    </w:p>
    <w:p w14:paraId="71C18462"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Transportation Incentives</w:t>
      </w:r>
      <w:r w:rsidRPr="00554E96">
        <w:rPr>
          <w:rFonts w:ascii="Times New Roman" w:hAnsi="Times New Roman"/>
          <w:lang w:val="en-HK"/>
        </w:rPr>
        <w:t>:</w:t>
      </w:r>
    </w:p>
    <w:p w14:paraId="28008742"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lang w:val="en-HK"/>
        </w:rPr>
        <w:t xml:space="preserve">The New Energy Vehicle mandate targets 12 percent EV sales by 2019, with plans for 2025-2035 increases (69). The 2015 </w:t>
      </w:r>
      <w:r w:rsidRPr="00554E96">
        <w:rPr>
          <w:rFonts w:ascii="Times New Roman" w:hAnsi="Times New Roman"/>
          <w:i/>
          <w:iCs/>
          <w:lang w:val="en-HK"/>
        </w:rPr>
        <w:t>Guidance on Accelerating EV Charging Infrastructure</w:t>
      </w:r>
      <w:r w:rsidRPr="00554E96">
        <w:rPr>
          <w:rFonts w:ascii="Times New Roman" w:hAnsi="Times New Roman"/>
          <w:lang w:val="en-HK"/>
        </w:rPr>
        <w:t xml:space="preserve"> mandates extensive charging networks (70).</w:t>
      </w:r>
    </w:p>
    <w:p w14:paraId="552AA746"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Arguments</w:t>
      </w:r>
      <w:r w:rsidRPr="00554E96">
        <w:rPr>
          <w:rFonts w:ascii="Times New Roman" w:hAnsi="Times New Roman"/>
          <w:lang w:val="en-HK"/>
        </w:rPr>
        <w:t>: Mandates and infrastructure support EV growth, but renewable electricity is critical (73).</w:t>
      </w:r>
    </w:p>
    <w:p w14:paraId="2D3C1A88" w14:textId="77777777" w:rsidR="00554E96" w:rsidRPr="00554E96" w:rsidRDefault="00554E96" w:rsidP="00554E96">
      <w:pPr>
        <w:spacing w:before="100" w:beforeAutospacing="1" w:after="100" w:afterAutospacing="1" w:line="360" w:lineRule="auto"/>
        <w:outlineLvl w:val="3"/>
        <w:rPr>
          <w:rFonts w:ascii="Times New Roman" w:hAnsi="Times New Roman"/>
          <w:lang w:val="en-HK"/>
        </w:rPr>
      </w:pPr>
    </w:p>
    <w:p w14:paraId="42114F5D" w14:textId="3FBC1345" w:rsidR="00554E96" w:rsidRPr="00554E96" w:rsidRDefault="00554E96" w:rsidP="00554E96">
      <w:pPr>
        <w:spacing w:before="100" w:beforeAutospacing="1" w:after="100" w:afterAutospacing="1" w:line="360" w:lineRule="auto"/>
        <w:outlineLvl w:val="3"/>
        <w:rPr>
          <w:rFonts w:ascii="Times New Roman" w:hAnsi="Times New Roman"/>
          <w:b/>
          <w:bCs/>
          <w:lang w:val="en-HK"/>
        </w:rPr>
      </w:pPr>
      <w:r w:rsidRPr="00554E96">
        <w:rPr>
          <w:rFonts w:ascii="Times New Roman" w:hAnsi="Times New Roman"/>
          <w:b/>
          <w:bCs/>
          <w:lang w:val="en-HK"/>
        </w:rPr>
        <w:t>Australia</w:t>
      </w:r>
    </w:p>
    <w:p w14:paraId="0335D39B" w14:textId="29621434" w:rsidR="00554E96" w:rsidRPr="00554E96" w:rsidRDefault="00554E96" w:rsidP="00554E96">
      <w:pPr>
        <w:spacing w:line="360" w:lineRule="auto"/>
        <w:rPr>
          <w:rFonts w:ascii="Times New Roman" w:hAnsi="Times New Roman"/>
          <w:lang w:val="en-HK"/>
        </w:rPr>
      </w:pPr>
      <w:r w:rsidRPr="00554E96">
        <w:rPr>
          <w:rFonts w:ascii="Times New Roman" w:hAnsi="Times New Roman"/>
          <w:lang w:val="en-HK"/>
        </w:rPr>
        <w:t>Australia combines targets with tradable certificates, emphasizing utility-scale generation.</w:t>
      </w:r>
    </w:p>
    <w:p w14:paraId="7BEB4F21"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Renewable Energy Targets and Certificates</w:t>
      </w:r>
      <w:r w:rsidRPr="00554E96">
        <w:rPr>
          <w:rFonts w:ascii="Times New Roman" w:hAnsi="Times New Roman"/>
          <w:lang w:val="en-HK"/>
        </w:rPr>
        <w:t>:</w:t>
      </w:r>
    </w:p>
    <w:p w14:paraId="0D47A3FF"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lang w:val="en-HK"/>
        </w:rPr>
        <w:t>The Renewable Energy Target aims for 33,000 GWh (23.5 percent) by 2020, met early in 2019, backed by Large-scale Generation Certificates (LGCs) managed by the Clean Energy Regulator (50, 54). A separate scheme supports small-scale generation (49).</w:t>
      </w:r>
    </w:p>
    <w:p w14:paraId="7835AEF7"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Arguments</w:t>
      </w:r>
      <w:r w:rsidRPr="00554E96">
        <w:rPr>
          <w:rFonts w:ascii="Times New Roman" w:hAnsi="Times New Roman"/>
          <w:lang w:val="en-HK"/>
        </w:rPr>
        <w:t>: LGCs provide revenue stability, though political resistance stalled target increases (50).</w:t>
      </w:r>
    </w:p>
    <w:p w14:paraId="6654EB92" w14:textId="77777777" w:rsidR="00554E96" w:rsidRPr="00554E96" w:rsidRDefault="00554E96" w:rsidP="00554E96">
      <w:pPr>
        <w:spacing w:before="100" w:beforeAutospacing="1" w:after="100" w:afterAutospacing="1" w:line="360" w:lineRule="auto"/>
        <w:outlineLvl w:val="3"/>
        <w:rPr>
          <w:rFonts w:ascii="Times New Roman" w:hAnsi="Times New Roman"/>
          <w:lang w:val="en-HK"/>
        </w:rPr>
      </w:pPr>
    </w:p>
    <w:p w14:paraId="4A90E445" w14:textId="77777777" w:rsidR="00554E96" w:rsidRPr="00554E96" w:rsidRDefault="00554E96" w:rsidP="00554E96">
      <w:pPr>
        <w:spacing w:before="100" w:beforeAutospacing="1" w:after="100" w:afterAutospacing="1" w:line="360" w:lineRule="auto"/>
        <w:outlineLvl w:val="3"/>
        <w:rPr>
          <w:rFonts w:ascii="Times New Roman" w:hAnsi="Times New Roman"/>
          <w:b/>
          <w:bCs/>
          <w:lang w:val="en-HK"/>
        </w:rPr>
      </w:pPr>
      <w:r w:rsidRPr="00554E96">
        <w:rPr>
          <w:rFonts w:ascii="Times New Roman" w:hAnsi="Times New Roman"/>
          <w:b/>
          <w:bCs/>
          <w:lang w:val="en-HK"/>
        </w:rPr>
        <w:t>Other Countries</w:t>
      </w:r>
    </w:p>
    <w:p w14:paraId="4BB11B16" w14:textId="19B186E6" w:rsidR="00554E96" w:rsidRPr="00554E96" w:rsidRDefault="00554E96" w:rsidP="00554E96">
      <w:pPr>
        <w:spacing w:before="100" w:beforeAutospacing="1" w:after="100" w:afterAutospacing="1" w:line="360" w:lineRule="auto"/>
        <w:outlineLvl w:val="3"/>
        <w:rPr>
          <w:rFonts w:ascii="Times New Roman" w:hAnsi="Times New Roman"/>
          <w:b/>
          <w:bCs/>
          <w:lang w:val="en-HK"/>
        </w:rPr>
      </w:pPr>
      <w:r w:rsidRPr="00554E96">
        <w:rPr>
          <w:rFonts w:ascii="Times New Roman" w:hAnsi="Times New Roman"/>
          <w:b/>
          <w:bCs/>
          <w:lang w:val="en-HK"/>
        </w:rPr>
        <w:t>Morocco</w:t>
      </w:r>
      <w:r w:rsidRPr="00554E96">
        <w:rPr>
          <w:rFonts w:ascii="Times New Roman" w:hAnsi="Times New Roman"/>
          <w:lang w:val="en-HK"/>
        </w:rPr>
        <w:t xml:space="preserve">: Targets 42 percent renewable electricity by 2020 and 52 percent by 2030 under its National Energy Strategy (49). </w:t>
      </w:r>
      <w:r w:rsidRPr="00554E96">
        <w:rPr>
          <w:rFonts w:ascii="Times New Roman" w:hAnsi="Times New Roman"/>
          <w:b/>
          <w:bCs/>
          <w:lang w:val="en-HK"/>
        </w:rPr>
        <w:t>Argument</w:t>
      </w:r>
      <w:r w:rsidRPr="00554E96">
        <w:rPr>
          <w:rFonts w:ascii="Times New Roman" w:hAnsi="Times New Roman"/>
          <w:lang w:val="en-HK"/>
        </w:rPr>
        <w:t>: Ambitious targets reflect energy security goals (46).</w:t>
      </w:r>
    </w:p>
    <w:p w14:paraId="2C56E097"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lastRenderedPageBreak/>
        <w:t>Brazil</w:t>
      </w:r>
      <w:r w:rsidRPr="00554E96">
        <w:rPr>
          <w:rFonts w:ascii="Times New Roman" w:hAnsi="Times New Roman"/>
          <w:lang w:val="en-HK"/>
        </w:rPr>
        <w:t xml:space="preserve">: Uses hybrid auctions (descending clock and sealed bid) for procurement (63). </w:t>
      </w:r>
      <w:r w:rsidRPr="00554E96">
        <w:rPr>
          <w:rFonts w:ascii="Times New Roman" w:hAnsi="Times New Roman"/>
          <w:b/>
          <w:bCs/>
          <w:lang w:val="en-HK"/>
        </w:rPr>
        <w:t>Argument</w:t>
      </w:r>
      <w:r w:rsidRPr="00554E96">
        <w:rPr>
          <w:rFonts w:ascii="Times New Roman" w:hAnsi="Times New Roman"/>
          <w:lang w:val="en-HK"/>
        </w:rPr>
        <w:t>: Hybridity enhances flexibility and cost control (63).</w:t>
      </w:r>
    </w:p>
    <w:p w14:paraId="4EE20EA7"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India</w:t>
      </w:r>
      <w:r w:rsidRPr="00554E96">
        <w:rPr>
          <w:rFonts w:ascii="Times New Roman" w:hAnsi="Times New Roman"/>
          <w:lang w:val="en-HK"/>
        </w:rPr>
        <w:t xml:space="preserve">: Auctions include solar-wind hybrids (840 MW, 2018) and local manufacturing requirements (62). </w:t>
      </w:r>
      <w:r w:rsidRPr="00554E96">
        <w:rPr>
          <w:rFonts w:ascii="Times New Roman" w:hAnsi="Times New Roman"/>
          <w:b/>
          <w:bCs/>
          <w:lang w:val="en-HK"/>
        </w:rPr>
        <w:t>Argument</w:t>
      </w:r>
      <w:r w:rsidRPr="00554E96">
        <w:rPr>
          <w:rFonts w:ascii="Times New Roman" w:hAnsi="Times New Roman"/>
          <w:lang w:val="en-HK"/>
        </w:rPr>
        <w:t>: Tenders promote diversification and domestic industry (62).</w:t>
      </w:r>
    </w:p>
    <w:p w14:paraId="605CA3B6" w14:textId="77777777"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Japan</w:t>
      </w:r>
      <w:r w:rsidRPr="00554E96">
        <w:rPr>
          <w:rFonts w:ascii="Times New Roman" w:hAnsi="Times New Roman"/>
          <w:lang w:val="en-HK"/>
        </w:rPr>
        <w:t xml:space="preserve">: FIT rates cut by over half (2022-2027) from 2012 highs (e.g., 40 yen/kWh) to ease ratepayer burdens (58-59). </w:t>
      </w:r>
      <w:r w:rsidRPr="00554E96">
        <w:rPr>
          <w:rFonts w:ascii="Times New Roman" w:hAnsi="Times New Roman"/>
          <w:b/>
          <w:bCs/>
          <w:lang w:val="en-HK"/>
        </w:rPr>
        <w:t>Argument</w:t>
      </w:r>
      <w:r w:rsidRPr="00554E96">
        <w:rPr>
          <w:rFonts w:ascii="Times New Roman" w:hAnsi="Times New Roman"/>
          <w:lang w:val="en-HK"/>
        </w:rPr>
        <w:t>: Adjustments balance growth and cost (59).</w:t>
      </w:r>
    </w:p>
    <w:p w14:paraId="6EC2C5A2" w14:textId="3392062E" w:rsidR="00554E96" w:rsidRPr="00554E96" w:rsidRDefault="00554E96" w:rsidP="00554E96">
      <w:pPr>
        <w:spacing w:before="100" w:beforeAutospacing="1" w:after="100" w:afterAutospacing="1" w:line="360" w:lineRule="auto"/>
        <w:rPr>
          <w:rFonts w:ascii="Times New Roman" w:hAnsi="Times New Roman"/>
          <w:lang w:val="en-HK"/>
        </w:rPr>
      </w:pPr>
      <w:r w:rsidRPr="00554E96">
        <w:rPr>
          <w:rFonts w:ascii="Times New Roman" w:hAnsi="Times New Roman"/>
          <w:b/>
          <w:bCs/>
          <w:lang w:val="en-HK"/>
        </w:rPr>
        <w:t>South Korea</w:t>
      </w:r>
      <w:r w:rsidRPr="00554E96">
        <w:rPr>
          <w:rFonts w:ascii="Times New Roman" w:hAnsi="Times New Roman"/>
          <w:lang w:val="en-HK"/>
        </w:rPr>
        <w:t xml:space="preserve">: Offers 8 million won ($6,600) EV subsidies (2020) (72). </w:t>
      </w:r>
      <w:r w:rsidRPr="00554E96">
        <w:rPr>
          <w:rFonts w:ascii="Times New Roman" w:hAnsi="Times New Roman"/>
          <w:b/>
          <w:bCs/>
          <w:lang w:val="en-HK"/>
        </w:rPr>
        <w:t>Argument</w:t>
      </w:r>
      <w:r w:rsidRPr="00554E96">
        <w:rPr>
          <w:rFonts w:ascii="Times New Roman" w:hAnsi="Times New Roman"/>
          <w:lang w:val="en-HK"/>
        </w:rPr>
        <w:t>: Incentives spur adoption, needing renewable energy support (73).</w:t>
      </w:r>
    </w:p>
    <w:p w14:paraId="4124D402" w14:textId="77777777" w:rsidR="00554E96" w:rsidRPr="00554E96" w:rsidRDefault="00E12800" w:rsidP="00554E96">
      <w:pPr>
        <w:spacing w:line="360" w:lineRule="auto"/>
        <w:rPr>
          <w:rFonts w:ascii="Times New Roman" w:hAnsi="Times New Roman"/>
          <w:lang w:val="en-HK"/>
        </w:rPr>
      </w:pPr>
      <w:r w:rsidRPr="00E12800">
        <w:rPr>
          <w:rFonts w:ascii="Times New Roman" w:hAnsi="Times New Roman"/>
          <w:noProof/>
          <w:lang w:val="en-HK"/>
          <w14:ligatures w14:val="standardContextual"/>
        </w:rPr>
        <w:pict w14:anchorId="5D66549F">
          <v:rect id="_x0000_i1025" alt="" style="width:451.3pt;height:.05pt;mso-width-percent:0;mso-height-percent:0;mso-width-percent:0;mso-height-percent:0" o:hralign="center" o:hrstd="t" o:hr="t" fillcolor="#a0a0a0" stroked="f"/>
        </w:pict>
      </w:r>
    </w:p>
    <w:p w14:paraId="3CE629D1" w14:textId="77777777" w:rsidR="00554E96" w:rsidRPr="00554E96" w:rsidRDefault="00554E96" w:rsidP="00554E96">
      <w:pPr>
        <w:spacing w:before="100" w:beforeAutospacing="1" w:after="100" w:afterAutospacing="1" w:line="360" w:lineRule="auto"/>
        <w:outlineLvl w:val="2"/>
        <w:rPr>
          <w:rFonts w:ascii="Times New Roman" w:hAnsi="Times New Roman"/>
          <w:b/>
          <w:bCs/>
          <w:lang w:val="en-HK"/>
        </w:rPr>
      </w:pPr>
      <w:r w:rsidRPr="00554E96">
        <w:rPr>
          <w:rFonts w:ascii="Times New Roman" w:hAnsi="Times New Roman"/>
          <w:b/>
          <w:bCs/>
          <w:lang w:val="en-HK"/>
        </w:rPr>
        <w:t>Explanation of Arguments</w:t>
      </w:r>
    </w:p>
    <w:p w14:paraId="5C67E2D0" w14:textId="6F88458F" w:rsidR="00554E96" w:rsidRPr="00554E96" w:rsidRDefault="00554E96" w:rsidP="00554E96">
      <w:pPr>
        <w:spacing w:line="360" w:lineRule="auto"/>
        <w:rPr>
          <w:rFonts w:ascii="Times New Roman" w:hAnsi="Times New Roman"/>
          <w:lang w:val="en-HK"/>
        </w:rPr>
      </w:pPr>
      <w:r w:rsidRPr="00554E96">
        <w:rPr>
          <w:rFonts w:ascii="Times New Roman" w:hAnsi="Times New Roman"/>
          <w:lang w:val="en-HK"/>
        </w:rPr>
        <w:t xml:space="preserve">The document argues that current schemes reflect national priorities—energy security, climate goals, economic growth, and fossil fuel parity (46)—but vary in efficacy. EU and German transitions to auctions prioritize cost-effectiveness, risking reduced deployment (64), while FITs (e.g., Germany, Spain) historically excelled in rapid growth but faced sustainability critiques (59-60). US RESs and RECs decentralize support, effective yet debated for cost (53), and transportation incentives (e.g., China, US) require renewable electricity integration (73). Statutory frameworks like </w:t>
      </w:r>
      <w:r w:rsidRPr="00554E96">
        <w:rPr>
          <w:rFonts w:ascii="Times New Roman" w:hAnsi="Times New Roman"/>
          <w:i/>
          <w:iCs/>
          <w:lang w:val="en-HK"/>
        </w:rPr>
        <w:t>Directive 2018/2001</w:t>
      </w:r>
      <w:r w:rsidRPr="00554E96">
        <w:rPr>
          <w:rFonts w:ascii="Times New Roman" w:hAnsi="Times New Roman"/>
          <w:lang w:val="en-HK"/>
        </w:rPr>
        <w:t xml:space="preserve"> and judicial rulings (</w:t>
      </w:r>
      <w:r w:rsidRPr="00554E96">
        <w:rPr>
          <w:rFonts w:ascii="Times New Roman" w:hAnsi="Times New Roman"/>
          <w:i/>
          <w:iCs/>
          <w:lang w:val="en-HK"/>
        </w:rPr>
        <w:t>Winding Creek</w:t>
      </w:r>
      <w:r w:rsidRPr="00554E96">
        <w:rPr>
          <w:rFonts w:ascii="Times New Roman" w:hAnsi="Times New Roman"/>
          <w:lang w:val="en-HK"/>
        </w:rPr>
        <w:t xml:space="preserve">) shape these schemes, balancing market dynamics with environmental imperatives, a key </w:t>
      </w:r>
      <w:proofErr w:type="spellStart"/>
      <w:r w:rsidRPr="00554E96">
        <w:rPr>
          <w:rFonts w:ascii="Times New Roman" w:hAnsi="Times New Roman"/>
          <w:lang w:val="en-HK"/>
        </w:rPr>
        <w:t>biolaw</w:t>
      </w:r>
      <w:proofErr w:type="spellEnd"/>
      <w:r w:rsidRPr="00554E96">
        <w:rPr>
          <w:rFonts w:ascii="Times New Roman" w:hAnsi="Times New Roman"/>
          <w:lang w:val="en-HK"/>
        </w:rPr>
        <w:t xml:space="preserve"> concern.</w:t>
      </w:r>
    </w:p>
    <w:p w14:paraId="107C6ED4" w14:textId="77777777" w:rsidR="00CD39F1" w:rsidRPr="00554E96" w:rsidRDefault="00CD39F1" w:rsidP="00554E96">
      <w:pPr>
        <w:spacing w:line="360" w:lineRule="auto"/>
      </w:pPr>
    </w:p>
    <w:sectPr w:rsidR="00CD39F1" w:rsidRPr="00554E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4339D8"/>
    <w:multiLevelType w:val="multilevel"/>
    <w:tmpl w:val="C6C06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907B6"/>
    <w:multiLevelType w:val="multilevel"/>
    <w:tmpl w:val="DFA8C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91C4C"/>
    <w:multiLevelType w:val="multilevel"/>
    <w:tmpl w:val="82BAB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E2C2F"/>
    <w:multiLevelType w:val="multilevel"/>
    <w:tmpl w:val="6D9C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8D1868"/>
    <w:multiLevelType w:val="multilevel"/>
    <w:tmpl w:val="0BDA3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4310A"/>
    <w:multiLevelType w:val="multilevel"/>
    <w:tmpl w:val="10920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2214B0"/>
    <w:multiLevelType w:val="multilevel"/>
    <w:tmpl w:val="A9AA5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B75996"/>
    <w:multiLevelType w:val="multilevel"/>
    <w:tmpl w:val="254E9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EF6320"/>
    <w:multiLevelType w:val="multilevel"/>
    <w:tmpl w:val="F8E65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647E4F"/>
    <w:multiLevelType w:val="multilevel"/>
    <w:tmpl w:val="C1205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E47611"/>
    <w:multiLevelType w:val="multilevel"/>
    <w:tmpl w:val="9392D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6C658D"/>
    <w:multiLevelType w:val="multilevel"/>
    <w:tmpl w:val="2C122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714A98"/>
    <w:multiLevelType w:val="multilevel"/>
    <w:tmpl w:val="FCE69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001979">
    <w:abstractNumId w:val="5"/>
  </w:num>
  <w:num w:numId="2" w16cid:durableId="656374701">
    <w:abstractNumId w:val="8"/>
  </w:num>
  <w:num w:numId="3" w16cid:durableId="545221077">
    <w:abstractNumId w:val="10"/>
  </w:num>
  <w:num w:numId="4" w16cid:durableId="1602181503">
    <w:abstractNumId w:val="6"/>
  </w:num>
  <w:num w:numId="5" w16cid:durableId="974872960">
    <w:abstractNumId w:val="2"/>
  </w:num>
  <w:num w:numId="6" w16cid:durableId="1292517391">
    <w:abstractNumId w:val="1"/>
  </w:num>
  <w:num w:numId="7" w16cid:durableId="1523125597">
    <w:abstractNumId w:val="4"/>
  </w:num>
  <w:num w:numId="8" w16cid:durableId="1256011434">
    <w:abstractNumId w:val="7"/>
  </w:num>
  <w:num w:numId="9" w16cid:durableId="1031809140">
    <w:abstractNumId w:val="9"/>
  </w:num>
  <w:num w:numId="10" w16cid:durableId="426190929">
    <w:abstractNumId w:val="0"/>
  </w:num>
  <w:num w:numId="11" w16cid:durableId="931158931">
    <w:abstractNumId w:val="11"/>
  </w:num>
  <w:num w:numId="12" w16cid:durableId="430977301">
    <w:abstractNumId w:val="12"/>
  </w:num>
  <w:num w:numId="13" w16cid:durableId="324616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D81"/>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0F5868"/>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1DB1"/>
    <w:rsid w:val="002F20B2"/>
    <w:rsid w:val="002F53C9"/>
    <w:rsid w:val="003048A0"/>
    <w:rsid w:val="0031138E"/>
    <w:rsid w:val="0031474F"/>
    <w:rsid w:val="00315815"/>
    <w:rsid w:val="0032656E"/>
    <w:rsid w:val="003278F5"/>
    <w:rsid w:val="00330665"/>
    <w:rsid w:val="00342A18"/>
    <w:rsid w:val="00357561"/>
    <w:rsid w:val="00361344"/>
    <w:rsid w:val="0036177C"/>
    <w:rsid w:val="00361975"/>
    <w:rsid w:val="00376E23"/>
    <w:rsid w:val="0039416B"/>
    <w:rsid w:val="003A1271"/>
    <w:rsid w:val="003A5DF7"/>
    <w:rsid w:val="003B3510"/>
    <w:rsid w:val="003C116C"/>
    <w:rsid w:val="003D0CDD"/>
    <w:rsid w:val="003D710F"/>
    <w:rsid w:val="003E1CAA"/>
    <w:rsid w:val="0040210F"/>
    <w:rsid w:val="00412F9B"/>
    <w:rsid w:val="004222FD"/>
    <w:rsid w:val="004319FA"/>
    <w:rsid w:val="00442F56"/>
    <w:rsid w:val="0044616D"/>
    <w:rsid w:val="00474DD1"/>
    <w:rsid w:val="004751B5"/>
    <w:rsid w:val="0048097D"/>
    <w:rsid w:val="004816F7"/>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4E96"/>
    <w:rsid w:val="00557B52"/>
    <w:rsid w:val="005743EA"/>
    <w:rsid w:val="005770A9"/>
    <w:rsid w:val="0058416B"/>
    <w:rsid w:val="00591130"/>
    <w:rsid w:val="00595357"/>
    <w:rsid w:val="005A1930"/>
    <w:rsid w:val="005A3C9C"/>
    <w:rsid w:val="005A6EEA"/>
    <w:rsid w:val="005B34ED"/>
    <w:rsid w:val="005B61CD"/>
    <w:rsid w:val="005B74C5"/>
    <w:rsid w:val="005C4FF3"/>
    <w:rsid w:val="005C50B3"/>
    <w:rsid w:val="005C6B83"/>
    <w:rsid w:val="005C7AAA"/>
    <w:rsid w:val="005D57DA"/>
    <w:rsid w:val="005E7702"/>
    <w:rsid w:val="005F33FC"/>
    <w:rsid w:val="005F711F"/>
    <w:rsid w:val="00605F8E"/>
    <w:rsid w:val="00613954"/>
    <w:rsid w:val="006159E0"/>
    <w:rsid w:val="00622488"/>
    <w:rsid w:val="006350B8"/>
    <w:rsid w:val="006415E8"/>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2E80"/>
    <w:rsid w:val="007E4AE6"/>
    <w:rsid w:val="007F776E"/>
    <w:rsid w:val="00816563"/>
    <w:rsid w:val="00830C88"/>
    <w:rsid w:val="00845AB5"/>
    <w:rsid w:val="00850813"/>
    <w:rsid w:val="00861B11"/>
    <w:rsid w:val="008829C2"/>
    <w:rsid w:val="008A54BE"/>
    <w:rsid w:val="008B2AB5"/>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114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17D81"/>
    <w:rsid w:val="00D64DCE"/>
    <w:rsid w:val="00D65735"/>
    <w:rsid w:val="00D73E2C"/>
    <w:rsid w:val="00D76D14"/>
    <w:rsid w:val="00D9345A"/>
    <w:rsid w:val="00DA31CB"/>
    <w:rsid w:val="00DA3D31"/>
    <w:rsid w:val="00DA4488"/>
    <w:rsid w:val="00DB2E35"/>
    <w:rsid w:val="00DC0040"/>
    <w:rsid w:val="00DC0B7B"/>
    <w:rsid w:val="00DC228E"/>
    <w:rsid w:val="00DC495B"/>
    <w:rsid w:val="00DC7181"/>
    <w:rsid w:val="00DD5D40"/>
    <w:rsid w:val="00DD6F5C"/>
    <w:rsid w:val="00DD7881"/>
    <w:rsid w:val="00DE6C87"/>
    <w:rsid w:val="00E06E11"/>
    <w:rsid w:val="00E12800"/>
    <w:rsid w:val="00E14A1A"/>
    <w:rsid w:val="00E14E1F"/>
    <w:rsid w:val="00E2730E"/>
    <w:rsid w:val="00E4366A"/>
    <w:rsid w:val="00E438AC"/>
    <w:rsid w:val="00E51987"/>
    <w:rsid w:val="00E53FD2"/>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1EB6"/>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006F7"/>
  <w15:chartTrackingRefBased/>
  <w15:docId w15:val="{A6D65390-DC17-2A4C-A404-FD5880251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D17D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7D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17D8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17D8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17D8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17D8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7D8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7D8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7D8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D81"/>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D17D81"/>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D17D81"/>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D17D81"/>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D17D81"/>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D17D81"/>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D17D81"/>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D17D81"/>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D17D81"/>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D17D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D81"/>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D17D8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D81"/>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D17D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7D81"/>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D17D81"/>
    <w:pPr>
      <w:ind w:left="720"/>
      <w:contextualSpacing/>
    </w:pPr>
  </w:style>
  <w:style w:type="character" w:styleId="IntenseEmphasis">
    <w:name w:val="Intense Emphasis"/>
    <w:basedOn w:val="DefaultParagraphFont"/>
    <w:uiPriority w:val="21"/>
    <w:qFormat/>
    <w:rsid w:val="00D17D81"/>
    <w:rPr>
      <w:i/>
      <w:iCs/>
      <w:color w:val="2F5496" w:themeColor="accent1" w:themeShade="BF"/>
    </w:rPr>
  </w:style>
  <w:style w:type="paragraph" w:styleId="IntenseQuote">
    <w:name w:val="Intense Quote"/>
    <w:basedOn w:val="Normal"/>
    <w:next w:val="Normal"/>
    <w:link w:val="IntenseQuoteChar"/>
    <w:uiPriority w:val="30"/>
    <w:qFormat/>
    <w:rsid w:val="00D17D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7D81"/>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D17D81"/>
    <w:rPr>
      <w:b/>
      <w:bCs/>
      <w:smallCaps/>
      <w:color w:val="2F5496" w:themeColor="accent1" w:themeShade="BF"/>
      <w:spacing w:val="5"/>
    </w:rPr>
  </w:style>
  <w:style w:type="paragraph" w:customStyle="1" w:styleId="break-words">
    <w:name w:val="break-words"/>
    <w:basedOn w:val="Normal"/>
    <w:rsid w:val="005F711F"/>
    <w:pPr>
      <w:spacing w:before="100" w:beforeAutospacing="1" w:after="100" w:afterAutospacing="1"/>
    </w:pPr>
    <w:rPr>
      <w:rFonts w:ascii="Times New Roman" w:hAnsi="Times New Roman"/>
      <w:lang w:val="en-HK"/>
    </w:rPr>
  </w:style>
  <w:style w:type="character" w:styleId="Strong">
    <w:name w:val="Strong"/>
    <w:basedOn w:val="DefaultParagraphFont"/>
    <w:uiPriority w:val="22"/>
    <w:qFormat/>
    <w:rsid w:val="005F711F"/>
    <w:rPr>
      <w:b/>
      <w:bCs/>
    </w:rPr>
  </w:style>
  <w:style w:type="character" w:styleId="Emphasis">
    <w:name w:val="Emphasis"/>
    <w:basedOn w:val="DefaultParagraphFont"/>
    <w:uiPriority w:val="20"/>
    <w:qFormat/>
    <w:rsid w:val="005F71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318608">
      <w:bodyDiv w:val="1"/>
      <w:marLeft w:val="0"/>
      <w:marRight w:val="0"/>
      <w:marTop w:val="0"/>
      <w:marBottom w:val="0"/>
      <w:divBdr>
        <w:top w:val="none" w:sz="0" w:space="0" w:color="auto"/>
        <w:left w:val="none" w:sz="0" w:space="0" w:color="auto"/>
        <w:bottom w:val="none" w:sz="0" w:space="0" w:color="auto"/>
        <w:right w:val="none" w:sz="0" w:space="0" w:color="auto"/>
      </w:divBdr>
      <w:divsChild>
        <w:div w:id="730734277">
          <w:marLeft w:val="0"/>
          <w:marRight w:val="0"/>
          <w:marTop w:val="0"/>
          <w:marBottom w:val="0"/>
          <w:divBdr>
            <w:top w:val="none" w:sz="0" w:space="0" w:color="auto"/>
            <w:left w:val="none" w:sz="0" w:space="0" w:color="auto"/>
            <w:bottom w:val="none" w:sz="0" w:space="0" w:color="auto"/>
            <w:right w:val="none" w:sz="0" w:space="0" w:color="auto"/>
          </w:divBdr>
        </w:div>
      </w:divsChild>
    </w:div>
    <w:div w:id="1768962223">
      <w:bodyDiv w:val="1"/>
      <w:marLeft w:val="0"/>
      <w:marRight w:val="0"/>
      <w:marTop w:val="0"/>
      <w:marBottom w:val="0"/>
      <w:divBdr>
        <w:top w:val="none" w:sz="0" w:space="0" w:color="auto"/>
        <w:left w:val="none" w:sz="0" w:space="0" w:color="auto"/>
        <w:bottom w:val="none" w:sz="0" w:space="0" w:color="auto"/>
        <w:right w:val="none" w:sz="0" w:space="0" w:color="auto"/>
      </w:divBdr>
      <w:divsChild>
        <w:div w:id="992371168">
          <w:marLeft w:val="0"/>
          <w:marRight w:val="0"/>
          <w:marTop w:val="0"/>
          <w:marBottom w:val="0"/>
          <w:divBdr>
            <w:top w:val="none" w:sz="0" w:space="0" w:color="auto"/>
            <w:left w:val="none" w:sz="0" w:space="0" w:color="auto"/>
            <w:bottom w:val="none" w:sz="0" w:space="0" w:color="auto"/>
            <w:right w:val="none" w:sz="0" w:space="0" w:color="auto"/>
          </w:divBdr>
        </w:div>
      </w:divsChild>
    </w:div>
    <w:div w:id="2044357521">
      <w:bodyDiv w:val="1"/>
      <w:marLeft w:val="0"/>
      <w:marRight w:val="0"/>
      <w:marTop w:val="0"/>
      <w:marBottom w:val="0"/>
      <w:divBdr>
        <w:top w:val="none" w:sz="0" w:space="0" w:color="auto"/>
        <w:left w:val="none" w:sz="0" w:space="0" w:color="auto"/>
        <w:bottom w:val="none" w:sz="0" w:space="0" w:color="auto"/>
        <w:right w:val="none" w:sz="0" w:space="0" w:color="auto"/>
      </w:divBdr>
      <w:divsChild>
        <w:div w:id="8348775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1785</Words>
  <Characters>10176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2025-02-26T10:23:00Z</dcterms:created>
  <dcterms:modified xsi:type="dcterms:W3CDTF">2025-02-26T11:15:00Z</dcterms:modified>
</cp:coreProperties>
</file>