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03CBDF92" w14:textId="77777777" w:rsidR="0011217D" w:rsidRPr="0011217D" w:rsidRDefault="0011217D" w:rsidP="0011217D">
      <w:pPr>
        <w:spacing w:after="240" w:line="360" w:lineRule="auto"/>
        <w:outlineLvl w:val="3"/>
        <w:rPr>
          <w:rFonts w:ascii="Times New Roman" w:hAnsi="Times New Roman"/>
          <w:b/>
          <w:bCs/>
          <w:lang w:val="en-HK"/>
        </w:rPr>
      </w:pPr>
      <w:r w:rsidRPr="0011217D">
        <w:rPr>
          <w:rFonts w:ascii="Times New Roman" w:hAnsi="Times New Roman"/>
          <w:b/>
          <w:bCs/>
          <w:lang w:val="en-HK"/>
        </w:rPr>
        <w:t>A. Feed-in Tariff, Premium Schemes, and Competitive Allocation (Germany)</w:t>
      </w:r>
    </w:p>
    <w:p w14:paraId="769D08CC" w14:textId="3514380B" w:rsidR="0011217D" w:rsidRPr="0011217D" w:rsidRDefault="0011217D" w:rsidP="0011217D">
      <w:pPr>
        <w:spacing w:after="240" w:line="360" w:lineRule="auto"/>
        <w:rPr>
          <w:rFonts w:ascii="Times New Roman" w:hAnsi="Times New Roman"/>
          <w:lang w:val="en-HK"/>
        </w:rPr>
      </w:pPr>
      <w:r w:rsidRPr="0011217D">
        <w:rPr>
          <w:rFonts w:ascii="Times New Roman" w:hAnsi="Times New Roman"/>
          <w:lang w:val="en-HK"/>
        </w:rPr>
        <w:t xml:space="preserve">Germany’s experience under the </w:t>
      </w:r>
      <w:proofErr w:type="spellStart"/>
      <w:r w:rsidRPr="0011217D">
        <w:rPr>
          <w:rFonts w:ascii="Times New Roman" w:hAnsi="Times New Roman"/>
          <w:i/>
          <w:iCs/>
          <w:lang w:val="en-HK"/>
        </w:rPr>
        <w:t>Gesetz</w:t>
      </w:r>
      <w:proofErr w:type="spellEnd"/>
      <w:r w:rsidRPr="0011217D">
        <w:rPr>
          <w:rFonts w:ascii="Times New Roman" w:hAnsi="Times New Roman"/>
          <w:i/>
          <w:iCs/>
          <w:lang w:val="en-HK"/>
        </w:rPr>
        <w:t xml:space="preserve"> für den </w:t>
      </w:r>
      <w:proofErr w:type="spellStart"/>
      <w:r w:rsidRPr="0011217D">
        <w:rPr>
          <w:rFonts w:ascii="Times New Roman" w:hAnsi="Times New Roman"/>
          <w:i/>
          <w:iCs/>
          <w:lang w:val="en-HK"/>
        </w:rPr>
        <w:t>Vorrang</w:t>
      </w:r>
      <w:proofErr w:type="spellEnd"/>
      <w:r w:rsidRPr="0011217D">
        <w:rPr>
          <w:rFonts w:ascii="Times New Roman" w:hAnsi="Times New Roman"/>
          <w:i/>
          <w:iCs/>
          <w:lang w:val="en-HK"/>
        </w:rPr>
        <w:t xml:space="preserve"> </w:t>
      </w:r>
      <w:proofErr w:type="spellStart"/>
      <w:r w:rsidRPr="0011217D">
        <w:rPr>
          <w:rFonts w:ascii="Times New Roman" w:hAnsi="Times New Roman"/>
          <w:i/>
          <w:iCs/>
          <w:lang w:val="en-HK"/>
        </w:rPr>
        <w:t>Erneuerbarer</w:t>
      </w:r>
      <w:proofErr w:type="spellEnd"/>
      <w:r w:rsidRPr="0011217D">
        <w:rPr>
          <w:rFonts w:ascii="Times New Roman" w:hAnsi="Times New Roman"/>
          <w:i/>
          <w:iCs/>
          <w:lang w:val="en-HK"/>
        </w:rPr>
        <w:t xml:space="preserve"> </w:t>
      </w:r>
      <w:proofErr w:type="spellStart"/>
      <w:r w:rsidRPr="0011217D">
        <w:rPr>
          <w:rFonts w:ascii="Times New Roman" w:hAnsi="Times New Roman"/>
          <w:i/>
          <w:iCs/>
          <w:lang w:val="en-HK"/>
        </w:rPr>
        <w:t>Energien</w:t>
      </w:r>
      <w:proofErr w:type="spellEnd"/>
      <w:r w:rsidRPr="0011217D">
        <w:rPr>
          <w:rFonts w:ascii="Times New Roman" w:hAnsi="Times New Roman"/>
          <w:lang w:val="en-HK"/>
        </w:rPr>
        <w:t xml:space="preserve"> (EEG 2000), or Renewable Energy Sources Act, Federal Law Gazette 2000, part I, 305, serves as a case study for feed-in tariffs (FIT), premium schemes, and competitive allocation. The EEG 2000 initially established a classic FIT scheme from 2000 to 2014, guaranteeing fixed prices for renewable electricity over 20 years, with transmission system operators obligated to purchase and prioritize renewable energy access to networks. The operators recovered costs via market sales and a consumer surcharge.</w:t>
      </w:r>
    </w:p>
    <w:p w14:paraId="3CF8BF99" w14:textId="77777777" w:rsidR="0011217D" w:rsidRPr="0011217D" w:rsidRDefault="0011217D" w:rsidP="0011217D">
      <w:pPr>
        <w:spacing w:after="240" w:line="360" w:lineRule="auto"/>
        <w:rPr>
          <w:rFonts w:ascii="Times New Roman" w:hAnsi="Times New Roman"/>
          <w:lang w:val="en-HK"/>
        </w:rPr>
      </w:pPr>
      <w:r w:rsidRPr="0011217D">
        <w:rPr>
          <w:rFonts w:ascii="Times New Roman" w:hAnsi="Times New Roman"/>
          <w:b/>
          <w:bCs/>
          <w:lang w:val="en-HK"/>
        </w:rPr>
        <w:t>Effectiveness and Growth</w:t>
      </w:r>
      <w:r w:rsidRPr="0011217D">
        <w:rPr>
          <w:rFonts w:ascii="Times New Roman" w:hAnsi="Times New Roman"/>
          <w:lang w:val="en-HK"/>
        </w:rPr>
        <w:t xml:space="preserve">: The scheme significantly boosted renewable energy production, increasing its share from 6.2% of electricity supplies in 2000 to 25.8% in 2014 (Lang and Lang, 2015). Scholars like </w:t>
      </w:r>
      <w:proofErr w:type="spellStart"/>
      <w:r w:rsidRPr="0011217D">
        <w:rPr>
          <w:rFonts w:ascii="Times New Roman" w:hAnsi="Times New Roman"/>
          <w:lang w:val="en-HK"/>
        </w:rPr>
        <w:t>Klessmann</w:t>
      </w:r>
      <w:proofErr w:type="spellEnd"/>
      <w:r w:rsidRPr="0011217D">
        <w:rPr>
          <w:rFonts w:ascii="Times New Roman" w:hAnsi="Times New Roman"/>
          <w:lang w:val="en-HK"/>
        </w:rPr>
        <w:t xml:space="preserve"> et al. note its success in driving investment due to mandatory purchase and guaranteed returns, stating, the investor confidence produced by mandatory purchase and guaranteed returns for a guaranteed period drove significant growth in renewable electricity in Germany (</w:t>
      </w:r>
      <w:proofErr w:type="spellStart"/>
      <w:r w:rsidRPr="0011217D">
        <w:rPr>
          <w:rFonts w:ascii="Times New Roman" w:hAnsi="Times New Roman"/>
          <w:lang w:val="en-HK"/>
        </w:rPr>
        <w:t>Klessmann</w:t>
      </w:r>
      <w:proofErr w:type="spellEnd"/>
      <w:r w:rsidRPr="0011217D">
        <w:rPr>
          <w:rFonts w:ascii="Times New Roman" w:hAnsi="Times New Roman"/>
          <w:lang w:val="en-HK"/>
        </w:rPr>
        <w:t xml:space="preserve"> et al., 3650).</w:t>
      </w:r>
    </w:p>
    <w:p w14:paraId="3AD8F722" w14:textId="77777777" w:rsidR="0011217D" w:rsidRPr="0011217D" w:rsidRDefault="0011217D" w:rsidP="0011217D">
      <w:pPr>
        <w:spacing w:after="240" w:line="360" w:lineRule="auto"/>
        <w:rPr>
          <w:rFonts w:ascii="Times New Roman" w:hAnsi="Times New Roman"/>
          <w:lang w:val="en-HK"/>
        </w:rPr>
      </w:pPr>
      <w:r w:rsidRPr="0011217D">
        <w:rPr>
          <w:rFonts w:ascii="Times New Roman" w:hAnsi="Times New Roman"/>
          <w:b/>
          <w:bCs/>
          <w:lang w:val="en-HK"/>
        </w:rPr>
        <w:t>Cost Concerns and Reform Pressure</w:t>
      </w:r>
      <w:r w:rsidRPr="0011217D">
        <w:rPr>
          <w:rFonts w:ascii="Times New Roman" w:hAnsi="Times New Roman"/>
          <w:lang w:val="en-HK"/>
        </w:rPr>
        <w:t>: The scheme’s popularity escalated financing costs, prompting public and industrial backlash. Exemptions for energy-intensive industries were introduced to maintain competitiveness, reflecting domestic political pressure (</w:t>
      </w:r>
      <w:proofErr w:type="spellStart"/>
      <w:r w:rsidRPr="0011217D">
        <w:rPr>
          <w:rFonts w:ascii="Times New Roman" w:hAnsi="Times New Roman"/>
          <w:lang w:val="en-HK"/>
        </w:rPr>
        <w:t>Saurer</w:t>
      </w:r>
      <w:proofErr w:type="spellEnd"/>
      <w:r w:rsidRPr="0011217D">
        <w:rPr>
          <w:rFonts w:ascii="Times New Roman" w:hAnsi="Times New Roman"/>
          <w:lang w:val="en-HK"/>
        </w:rPr>
        <w:t xml:space="preserve"> and </w:t>
      </w:r>
      <w:proofErr w:type="spellStart"/>
      <w:r w:rsidRPr="0011217D">
        <w:rPr>
          <w:rFonts w:ascii="Times New Roman" w:hAnsi="Times New Roman"/>
          <w:lang w:val="en-HK"/>
        </w:rPr>
        <w:t>Monast</w:t>
      </w:r>
      <w:proofErr w:type="spellEnd"/>
      <w:r w:rsidRPr="0011217D">
        <w:rPr>
          <w:rFonts w:ascii="Times New Roman" w:hAnsi="Times New Roman"/>
          <w:lang w:val="en-HK"/>
        </w:rPr>
        <w:t>, 301). The European Commission opposed FITs for distorting market competition and obstructing EU-wide energy markets, advocating for market-exposed schemes (</w:t>
      </w:r>
      <w:proofErr w:type="spellStart"/>
      <w:r w:rsidRPr="0011217D">
        <w:rPr>
          <w:rFonts w:ascii="Times New Roman" w:hAnsi="Times New Roman"/>
          <w:lang w:val="en-HK"/>
        </w:rPr>
        <w:t>Leiren</w:t>
      </w:r>
      <w:proofErr w:type="spellEnd"/>
      <w:r w:rsidRPr="0011217D">
        <w:rPr>
          <w:rFonts w:ascii="Times New Roman" w:hAnsi="Times New Roman"/>
          <w:lang w:val="en-HK"/>
        </w:rPr>
        <w:t xml:space="preserve"> and Reimer, 37-38). The </w:t>
      </w:r>
      <w:r w:rsidRPr="0011217D">
        <w:rPr>
          <w:rFonts w:ascii="Times New Roman" w:hAnsi="Times New Roman"/>
          <w:i/>
          <w:iCs/>
          <w:lang w:val="en-HK"/>
        </w:rPr>
        <w:t>Commission, State Aid Guidelines (2014-2020)</w:t>
      </w:r>
      <w:r w:rsidRPr="0011217D">
        <w:rPr>
          <w:rFonts w:ascii="Times New Roman" w:hAnsi="Times New Roman"/>
          <w:lang w:val="en-HK"/>
        </w:rPr>
        <w:t xml:space="preserve"> advised replacing FITs with premium or certificate schemes for larger projects, arguing they reduce market distortion.</w:t>
      </w:r>
    </w:p>
    <w:p w14:paraId="336981C3" w14:textId="49F799ED" w:rsidR="0011217D" w:rsidRPr="0011217D" w:rsidRDefault="0011217D" w:rsidP="0011217D">
      <w:pPr>
        <w:spacing w:after="240" w:line="360" w:lineRule="auto"/>
        <w:rPr>
          <w:rFonts w:ascii="Times New Roman" w:hAnsi="Times New Roman"/>
          <w:lang w:val="en-HK"/>
        </w:rPr>
      </w:pPr>
      <w:r w:rsidRPr="0011217D">
        <w:rPr>
          <w:rFonts w:ascii="Times New Roman" w:hAnsi="Times New Roman"/>
          <w:b/>
          <w:bCs/>
          <w:lang w:val="en-HK"/>
        </w:rPr>
        <w:t>Evolution of Support</w:t>
      </w:r>
      <w:r w:rsidRPr="0011217D">
        <w:rPr>
          <w:rFonts w:ascii="Times New Roman" w:hAnsi="Times New Roman"/>
          <w:lang w:val="en-HK"/>
        </w:rPr>
        <w:t>: Germany’s support evolved in three stages:</w:t>
      </w:r>
    </w:p>
    <w:p w14:paraId="380C7072" w14:textId="3423FACC" w:rsidR="0011217D" w:rsidRPr="0011217D" w:rsidRDefault="0011217D" w:rsidP="0011217D">
      <w:pPr>
        <w:numPr>
          <w:ilvl w:val="1"/>
          <w:numId w:val="1"/>
        </w:numPr>
        <w:spacing w:after="240" w:line="360" w:lineRule="auto"/>
        <w:rPr>
          <w:rFonts w:ascii="Times New Roman" w:hAnsi="Times New Roman" w:hint="eastAsia"/>
          <w:lang w:val="en-HK"/>
        </w:rPr>
      </w:pPr>
      <w:r w:rsidRPr="0011217D">
        <w:rPr>
          <w:rFonts w:ascii="Times New Roman" w:hAnsi="Times New Roman"/>
          <w:b/>
          <w:bCs/>
          <w:lang w:val="en-HK"/>
        </w:rPr>
        <w:t>Voluntary Premium Option</w:t>
      </w:r>
      <w:r w:rsidRPr="0011217D">
        <w:rPr>
          <w:rFonts w:ascii="Times New Roman" w:hAnsi="Times New Roman"/>
          <w:lang w:val="en-HK"/>
        </w:rPr>
        <w:t>: Recipients could opt for premiums atop market sales, reducing reliance on fixed tariffs.</w:t>
      </w:r>
    </w:p>
    <w:p w14:paraId="282643CD" w14:textId="3B3325FE" w:rsidR="0011217D" w:rsidRPr="0011217D" w:rsidRDefault="0011217D" w:rsidP="0011217D">
      <w:pPr>
        <w:numPr>
          <w:ilvl w:val="1"/>
          <w:numId w:val="1"/>
        </w:numPr>
        <w:spacing w:after="240" w:line="360" w:lineRule="auto"/>
        <w:rPr>
          <w:rFonts w:ascii="Times New Roman" w:hAnsi="Times New Roman" w:hint="eastAsia"/>
          <w:lang w:val="en-HK"/>
        </w:rPr>
      </w:pPr>
      <w:r w:rsidRPr="0011217D">
        <w:rPr>
          <w:rFonts w:ascii="Times New Roman" w:hAnsi="Times New Roman"/>
          <w:b/>
          <w:bCs/>
          <w:lang w:val="en-HK"/>
        </w:rPr>
        <w:t>Mandatory Premium Scheme (2014)</w:t>
      </w:r>
      <w:r w:rsidRPr="0011217D">
        <w:rPr>
          <w:rFonts w:ascii="Times New Roman" w:hAnsi="Times New Roman"/>
          <w:lang w:val="en-HK"/>
        </w:rPr>
        <w:t>: FITs were phased out except for small projects, replaced by a direct marketing premium scheme where operators received the difference between a specified level and monthly market prices (</w:t>
      </w:r>
      <w:proofErr w:type="spellStart"/>
      <w:r w:rsidRPr="0011217D">
        <w:rPr>
          <w:rFonts w:ascii="Times New Roman" w:hAnsi="Times New Roman"/>
          <w:lang w:val="en-HK"/>
        </w:rPr>
        <w:t>Gawel</w:t>
      </w:r>
      <w:proofErr w:type="spellEnd"/>
      <w:r w:rsidRPr="0011217D">
        <w:rPr>
          <w:rFonts w:ascii="Times New Roman" w:hAnsi="Times New Roman"/>
          <w:lang w:val="en-HK"/>
        </w:rPr>
        <w:t xml:space="preserve"> and </w:t>
      </w:r>
      <w:proofErr w:type="spellStart"/>
      <w:r w:rsidRPr="0011217D">
        <w:rPr>
          <w:rFonts w:ascii="Times New Roman" w:hAnsi="Times New Roman"/>
          <w:lang w:val="en-HK"/>
        </w:rPr>
        <w:t>Purkus</w:t>
      </w:r>
      <w:proofErr w:type="spellEnd"/>
      <w:r w:rsidRPr="0011217D">
        <w:rPr>
          <w:rFonts w:ascii="Times New Roman" w:hAnsi="Times New Roman"/>
          <w:lang w:val="en-HK"/>
        </w:rPr>
        <w:t>, 600-02). Lang and Lang note this shift aimed to balance investor stability with market exposure (Lang and Lang, 137).</w:t>
      </w:r>
    </w:p>
    <w:p w14:paraId="5F03E7A9" w14:textId="77777777" w:rsidR="0011217D" w:rsidRPr="0011217D" w:rsidRDefault="0011217D" w:rsidP="0011217D">
      <w:pPr>
        <w:numPr>
          <w:ilvl w:val="1"/>
          <w:numId w:val="1"/>
        </w:numPr>
        <w:spacing w:after="240" w:line="360" w:lineRule="auto"/>
        <w:rPr>
          <w:rFonts w:ascii="Times New Roman" w:hAnsi="Times New Roman"/>
          <w:lang w:val="en-HK"/>
        </w:rPr>
      </w:pPr>
      <w:r w:rsidRPr="0011217D">
        <w:rPr>
          <w:rFonts w:ascii="Times New Roman" w:hAnsi="Times New Roman"/>
          <w:b/>
          <w:bCs/>
          <w:lang w:val="en-HK"/>
        </w:rPr>
        <w:lastRenderedPageBreak/>
        <w:t>Competitive Auctions</w:t>
      </w:r>
      <w:r w:rsidRPr="0011217D">
        <w:rPr>
          <w:rFonts w:ascii="Times New Roman" w:hAnsi="Times New Roman"/>
          <w:lang w:val="en-HK"/>
        </w:rPr>
        <w:t xml:space="preserve">: Premiums are now awarded via auctions, with bidders specifying revenue levels, capped by government limits per technology (Lang and Lang, 137-39). This shift introduced allocation risks, as noted by </w:t>
      </w:r>
      <w:proofErr w:type="spellStart"/>
      <w:r w:rsidRPr="0011217D">
        <w:rPr>
          <w:rFonts w:ascii="Times New Roman" w:hAnsi="Times New Roman"/>
          <w:lang w:val="en-HK"/>
        </w:rPr>
        <w:t>Penttinen</w:t>
      </w:r>
      <w:proofErr w:type="spellEnd"/>
      <w:r w:rsidRPr="0011217D">
        <w:rPr>
          <w:rFonts w:ascii="Times New Roman" w:hAnsi="Times New Roman"/>
          <w:lang w:val="en-HK"/>
        </w:rPr>
        <w:t>: the introduction of further investment risks associated with the auction of subsidies from deliberately limited budgets such as non-availability of support and incurring advance development costs without certainty of support will have a further impact (</w:t>
      </w:r>
      <w:proofErr w:type="spellStart"/>
      <w:r w:rsidRPr="0011217D">
        <w:rPr>
          <w:rFonts w:ascii="Times New Roman" w:hAnsi="Times New Roman"/>
          <w:lang w:val="en-HK"/>
        </w:rPr>
        <w:t>Penttinen</w:t>
      </w:r>
      <w:proofErr w:type="spellEnd"/>
      <w:r w:rsidRPr="0011217D">
        <w:rPr>
          <w:rFonts w:ascii="Times New Roman" w:hAnsi="Times New Roman"/>
          <w:lang w:val="en-HK"/>
        </w:rPr>
        <w:t>, 81).</w:t>
      </w:r>
    </w:p>
    <w:p w14:paraId="03E865B5" w14:textId="77777777" w:rsidR="0011217D" w:rsidRPr="0011217D" w:rsidRDefault="0011217D" w:rsidP="0011217D">
      <w:pPr>
        <w:spacing w:after="240" w:line="360" w:lineRule="auto"/>
        <w:rPr>
          <w:rFonts w:ascii="Times New Roman" w:hAnsi="Times New Roman"/>
          <w:lang w:val="en-HK"/>
        </w:rPr>
      </w:pPr>
      <w:r w:rsidRPr="0011217D">
        <w:rPr>
          <w:rFonts w:ascii="Times New Roman" w:hAnsi="Times New Roman"/>
          <w:b/>
          <w:bCs/>
          <w:lang w:val="en-HK"/>
        </w:rPr>
        <w:t>Arguments and Critiques</w:t>
      </w:r>
      <w:r w:rsidRPr="0011217D">
        <w:rPr>
          <w:rFonts w:ascii="Times New Roman" w:hAnsi="Times New Roman"/>
          <w:lang w:val="en-HK"/>
        </w:rPr>
        <w:t xml:space="preserve">: The transition increased risks like route-to-market and allocation uncertainties, potentially deterring smaller investors. Scholars like </w:t>
      </w:r>
      <w:proofErr w:type="spellStart"/>
      <w:r w:rsidRPr="0011217D">
        <w:rPr>
          <w:rFonts w:ascii="Times New Roman" w:hAnsi="Times New Roman"/>
          <w:lang w:val="en-HK"/>
        </w:rPr>
        <w:t>Leiren</w:t>
      </w:r>
      <w:proofErr w:type="spellEnd"/>
      <w:r w:rsidRPr="0011217D">
        <w:rPr>
          <w:rFonts w:ascii="Times New Roman" w:hAnsi="Times New Roman"/>
          <w:lang w:val="en-HK"/>
        </w:rPr>
        <w:t xml:space="preserve"> and Reimer argue this </w:t>
      </w:r>
      <w:proofErr w:type="spellStart"/>
      <w:r w:rsidRPr="0011217D">
        <w:rPr>
          <w:rFonts w:ascii="Times New Roman" w:hAnsi="Times New Roman"/>
          <w:lang w:val="en-HK"/>
        </w:rPr>
        <w:t>favors</w:t>
      </w:r>
      <w:proofErr w:type="spellEnd"/>
      <w:r w:rsidRPr="0011217D">
        <w:rPr>
          <w:rFonts w:ascii="Times New Roman" w:hAnsi="Times New Roman"/>
          <w:lang w:val="en-HK"/>
        </w:rPr>
        <w:t xml:space="preserve"> utilities over community projects, stating, more of this growth is likely to have come from investment by utilities which are better able to bear the transaction costs and risks of auction processes than from smaller businesses and community-level investment (</w:t>
      </w:r>
      <w:proofErr w:type="spellStart"/>
      <w:r w:rsidRPr="0011217D">
        <w:rPr>
          <w:rFonts w:ascii="Times New Roman" w:hAnsi="Times New Roman"/>
          <w:lang w:val="en-HK"/>
        </w:rPr>
        <w:t>Leiren</w:t>
      </w:r>
      <w:proofErr w:type="spellEnd"/>
      <w:r w:rsidRPr="0011217D">
        <w:rPr>
          <w:rFonts w:ascii="Times New Roman" w:hAnsi="Times New Roman"/>
          <w:lang w:val="en-HK"/>
        </w:rPr>
        <w:t xml:space="preserve"> and Reimer, 37-38). The </w:t>
      </w:r>
      <w:r w:rsidRPr="0011217D">
        <w:rPr>
          <w:rFonts w:ascii="Times New Roman" w:hAnsi="Times New Roman"/>
          <w:i/>
          <w:iCs/>
          <w:lang w:val="en-HK"/>
        </w:rPr>
        <w:t>2018 RES Directive</w:t>
      </w:r>
      <w:r w:rsidRPr="0011217D">
        <w:rPr>
          <w:rFonts w:ascii="Times New Roman" w:hAnsi="Times New Roman"/>
          <w:lang w:val="en-HK"/>
        </w:rPr>
        <w:t>, art 6(2), supports flexibility in support adjustments, allowing Member States to adjust the level of support in accordance with objective criteria, provided that such criteria are established in the original design of the support scheme, aiming to mitigate rigidity-induced disruptions.</w:t>
      </w:r>
    </w:p>
    <w:p w14:paraId="038D4DAA" w14:textId="12A2D07D" w:rsidR="0011217D" w:rsidRPr="0011217D" w:rsidRDefault="0011217D" w:rsidP="0011217D">
      <w:pPr>
        <w:spacing w:after="240" w:line="360" w:lineRule="auto"/>
        <w:rPr>
          <w:rFonts w:ascii="Times New Roman" w:hAnsi="Times New Roman"/>
          <w:lang w:val="en-HK"/>
        </w:rPr>
      </w:pPr>
      <w:r w:rsidRPr="0011217D">
        <w:rPr>
          <w:rFonts w:ascii="Times New Roman" w:hAnsi="Times New Roman"/>
          <w:b/>
          <w:bCs/>
          <w:lang w:val="en-HK"/>
        </w:rPr>
        <w:t>Lessons</w:t>
      </w:r>
      <w:r w:rsidRPr="0011217D">
        <w:rPr>
          <w:rFonts w:ascii="Times New Roman" w:hAnsi="Times New Roman"/>
          <w:lang w:val="en-HK"/>
        </w:rPr>
        <w:t>: Germany’s experience underscores the trade-off between effective investment attraction and systemic/public acceptability. The document suggests political failures in explaining costs and benefits exacerbate legal design challenges, questioning whether auction-driven growth can achieve rapid decarbonization.</w:t>
      </w:r>
    </w:p>
    <w:p w14:paraId="22D03161" w14:textId="77777777" w:rsidR="0011217D" w:rsidRDefault="0011217D" w:rsidP="0011217D">
      <w:pPr>
        <w:spacing w:after="240" w:line="360" w:lineRule="auto"/>
        <w:outlineLvl w:val="3"/>
        <w:rPr>
          <w:rFonts w:ascii="Times New Roman" w:hAnsi="Times New Roman"/>
          <w:b/>
          <w:bCs/>
          <w:lang w:val="en-HK"/>
        </w:rPr>
      </w:pPr>
    </w:p>
    <w:p w14:paraId="5EE924A9" w14:textId="3695905E" w:rsidR="0011217D" w:rsidRPr="0011217D" w:rsidRDefault="0011217D" w:rsidP="0011217D">
      <w:pPr>
        <w:spacing w:after="240" w:line="360" w:lineRule="auto"/>
        <w:outlineLvl w:val="3"/>
        <w:rPr>
          <w:rFonts w:ascii="Times New Roman" w:hAnsi="Times New Roman"/>
          <w:b/>
          <w:bCs/>
          <w:lang w:val="en-HK"/>
        </w:rPr>
      </w:pPr>
      <w:r w:rsidRPr="0011217D">
        <w:rPr>
          <w:rFonts w:ascii="Times New Roman" w:hAnsi="Times New Roman"/>
          <w:b/>
          <w:bCs/>
          <w:lang w:val="en-HK"/>
        </w:rPr>
        <w:t>B. Renewables Obligation Order (ROO) (Certificate/Obligation Scheme, UK)</w:t>
      </w:r>
    </w:p>
    <w:p w14:paraId="231B2E48" w14:textId="65B3AE6D" w:rsidR="0011217D" w:rsidRPr="0011217D" w:rsidRDefault="0011217D" w:rsidP="0011217D">
      <w:pPr>
        <w:spacing w:after="240" w:line="360" w:lineRule="auto"/>
        <w:rPr>
          <w:rFonts w:ascii="Times New Roman" w:hAnsi="Times New Roman"/>
          <w:lang w:val="en-HK"/>
        </w:rPr>
      </w:pPr>
      <w:r w:rsidRPr="0011217D">
        <w:rPr>
          <w:rFonts w:ascii="Times New Roman" w:hAnsi="Times New Roman"/>
          <w:lang w:val="en-HK"/>
        </w:rPr>
        <w:t xml:space="preserve">The UK’s </w:t>
      </w:r>
      <w:r w:rsidRPr="0011217D">
        <w:rPr>
          <w:rFonts w:ascii="Times New Roman" w:hAnsi="Times New Roman"/>
          <w:i/>
          <w:iCs/>
          <w:lang w:val="en-HK"/>
        </w:rPr>
        <w:t>Renewables Obligation Order 2002</w:t>
      </w:r>
      <w:r w:rsidRPr="0011217D">
        <w:rPr>
          <w:rFonts w:ascii="Times New Roman" w:hAnsi="Times New Roman"/>
          <w:lang w:val="en-HK"/>
        </w:rPr>
        <w:t xml:space="preserve"> (SI 2002/914), introduced in 2002 and withdrawn in 2017, required electricity suppliers to source a specified proportion of supply from renewables, discharged via tradable certificates (ROCs). Suppliers failing to meet quotas paid a buy-out price, redistributed to compliant suppliers.</w:t>
      </w:r>
    </w:p>
    <w:p w14:paraId="655CFEEE" w14:textId="77777777" w:rsidR="0011217D" w:rsidRPr="0011217D" w:rsidRDefault="0011217D" w:rsidP="0011217D">
      <w:pPr>
        <w:spacing w:after="240" w:line="360" w:lineRule="auto"/>
        <w:rPr>
          <w:rFonts w:ascii="Times New Roman" w:hAnsi="Times New Roman"/>
          <w:lang w:val="en-HK"/>
        </w:rPr>
      </w:pPr>
      <w:r w:rsidRPr="0011217D">
        <w:rPr>
          <w:rFonts w:ascii="Times New Roman" w:hAnsi="Times New Roman"/>
          <w:b/>
          <w:bCs/>
          <w:lang w:val="en-HK"/>
        </w:rPr>
        <w:t>Mechanism and Adjustments</w:t>
      </w:r>
      <w:r w:rsidRPr="0011217D">
        <w:rPr>
          <w:rFonts w:ascii="Times New Roman" w:hAnsi="Times New Roman"/>
          <w:lang w:val="en-HK"/>
        </w:rPr>
        <w:t>: Certificates supplemented electricity sales revenue, with Ofgem overseeing the scheme (Woodman and Mitchell, 3915). Early issues included low obligation levels causing certificate oversupply and price crashes, addressed by recalculating obligations to exceed production (</w:t>
      </w:r>
      <w:r w:rsidRPr="0011217D">
        <w:rPr>
          <w:rFonts w:ascii="Times New Roman" w:hAnsi="Times New Roman"/>
          <w:i/>
          <w:iCs/>
          <w:lang w:val="en-HK"/>
        </w:rPr>
        <w:t>headroom</w:t>
      </w:r>
      <w:r w:rsidRPr="0011217D">
        <w:rPr>
          <w:rFonts w:ascii="Times New Roman" w:hAnsi="Times New Roman"/>
          <w:lang w:val="en-HK"/>
        </w:rPr>
        <w:t xml:space="preserve">) (Woodman and Mitchell, 3916-19). Banding later awarded more ROCs to higher-cost technologies (e.g., 0.9 ROCs/MWh for onshore </w:t>
      </w:r>
      <w:r w:rsidRPr="0011217D">
        <w:rPr>
          <w:rFonts w:ascii="Times New Roman" w:hAnsi="Times New Roman"/>
          <w:lang w:val="en-HK"/>
        </w:rPr>
        <w:lastRenderedPageBreak/>
        <w:t xml:space="preserve">wind, 3 ROCs/MWh for tidal stream by 2013-17), per </w:t>
      </w:r>
      <w:r w:rsidRPr="0011217D">
        <w:rPr>
          <w:rFonts w:ascii="Times New Roman" w:hAnsi="Times New Roman"/>
          <w:i/>
          <w:iCs/>
          <w:lang w:val="en-HK"/>
        </w:rPr>
        <w:t>Department for Business, Energy and Industrial Strategy and Ofgem guidance</w:t>
      </w:r>
      <w:r w:rsidRPr="0011217D">
        <w:rPr>
          <w:rFonts w:ascii="Times New Roman" w:hAnsi="Times New Roman"/>
          <w:lang w:val="en-HK"/>
        </w:rPr>
        <w:t xml:space="preserve"> (2013-17).</w:t>
      </w:r>
    </w:p>
    <w:p w14:paraId="7420C0DC" w14:textId="77777777" w:rsidR="0011217D" w:rsidRPr="0011217D" w:rsidRDefault="0011217D" w:rsidP="0011217D">
      <w:pPr>
        <w:spacing w:after="240" w:line="360" w:lineRule="auto"/>
        <w:rPr>
          <w:rFonts w:ascii="Times New Roman" w:hAnsi="Times New Roman"/>
          <w:lang w:val="en-HK"/>
        </w:rPr>
      </w:pPr>
      <w:r w:rsidRPr="0011217D">
        <w:rPr>
          <w:rFonts w:ascii="Times New Roman" w:hAnsi="Times New Roman"/>
          <w:b/>
          <w:bCs/>
          <w:lang w:val="en-HK"/>
        </w:rPr>
        <w:t>Strengths and Weaknesses</w:t>
      </w:r>
      <w:r w:rsidRPr="0011217D">
        <w:rPr>
          <w:rFonts w:ascii="Times New Roman" w:hAnsi="Times New Roman"/>
          <w:lang w:val="en-HK"/>
        </w:rPr>
        <w:t xml:space="preserve">: The ROO </w:t>
      </w:r>
      <w:proofErr w:type="spellStart"/>
      <w:r w:rsidRPr="0011217D">
        <w:rPr>
          <w:rFonts w:ascii="Times New Roman" w:hAnsi="Times New Roman"/>
          <w:lang w:val="en-HK"/>
        </w:rPr>
        <w:t>favored</w:t>
      </w:r>
      <w:proofErr w:type="spellEnd"/>
      <w:r w:rsidRPr="0011217D">
        <w:rPr>
          <w:rFonts w:ascii="Times New Roman" w:hAnsi="Times New Roman"/>
          <w:lang w:val="en-HK"/>
        </w:rPr>
        <w:t xml:space="preserve"> low-cost technologies like onshore wind, benefiting large developers but neglecting nascent technologies (Wood and Dow, 2228). Banding mitigated this, yet risks persisted: no guaranteed market route and volatile certificate/market prices. Woodman and Mitchell critique its inadequacy for rapid growth, noting, it had not reduced risks for investors sufficiently to secure growth rates in renewable energy enabling the Government to meet its commitments on renewable energy consumption (Woodman and Mitchell, 3914).</w:t>
      </w:r>
    </w:p>
    <w:p w14:paraId="662B967A" w14:textId="77777777" w:rsidR="0011217D" w:rsidRPr="0011217D" w:rsidRDefault="0011217D" w:rsidP="0011217D">
      <w:pPr>
        <w:spacing w:after="240" w:line="360" w:lineRule="auto"/>
        <w:rPr>
          <w:rFonts w:ascii="Times New Roman" w:hAnsi="Times New Roman"/>
          <w:lang w:val="en-HK"/>
        </w:rPr>
      </w:pPr>
      <w:r w:rsidRPr="0011217D">
        <w:rPr>
          <w:rFonts w:ascii="Times New Roman" w:hAnsi="Times New Roman"/>
          <w:b/>
          <w:bCs/>
          <w:lang w:val="en-HK"/>
        </w:rPr>
        <w:t>Closure and Transition</w:t>
      </w:r>
      <w:r w:rsidRPr="0011217D">
        <w:rPr>
          <w:rFonts w:ascii="Times New Roman" w:hAnsi="Times New Roman"/>
          <w:lang w:val="en-HK"/>
        </w:rPr>
        <w:t>: Replaced by CFDs in 2017, RO-accredited projects retained support until 2037, with government buying certificates post-2027 at fixed prices (</w:t>
      </w:r>
      <w:r w:rsidRPr="0011217D">
        <w:rPr>
          <w:rFonts w:ascii="Times New Roman" w:hAnsi="Times New Roman"/>
          <w:i/>
          <w:iCs/>
          <w:lang w:val="en-HK"/>
        </w:rPr>
        <w:t>Ofgem Guidance, 2019</w:t>
      </w:r>
      <w:r w:rsidRPr="0011217D">
        <w:rPr>
          <w:rFonts w:ascii="Times New Roman" w:hAnsi="Times New Roman"/>
          <w:lang w:val="en-HK"/>
        </w:rPr>
        <w:t>). This grandfathering aimed to maintain investor confidence.</w:t>
      </w:r>
    </w:p>
    <w:p w14:paraId="683F0A35" w14:textId="77777777" w:rsidR="0011217D" w:rsidRPr="0011217D" w:rsidRDefault="0011217D" w:rsidP="0011217D">
      <w:pPr>
        <w:spacing w:after="240" w:line="360" w:lineRule="auto"/>
        <w:rPr>
          <w:rFonts w:ascii="Times New Roman" w:hAnsi="Times New Roman"/>
          <w:lang w:val="en-HK"/>
        </w:rPr>
      </w:pPr>
      <w:r w:rsidRPr="0011217D">
        <w:rPr>
          <w:rFonts w:ascii="Times New Roman" w:hAnsi="Times New Roman"/>
          <w:b/>
          <w:bCs/>
          <w:lang w:val="en-HK"/>
        </w:rPr>
        <w:t>Arguments</w:t>
      </w:r>
      <w:r w:rsidRPr="0011217D">
        <w:rPr>
          <w:rFonts w:ascii="Times New Roman" w:hAnsi="Times New Roman"/>
          <w:lang w:val="en-HK"/>
        </w:rPr>
        <w:t>: The ROO exemplifies challenges in balancing market exposure with investment incentives. Its legal reforms (</w:t>
      </w:r>
      <w:r w:rsidRPr="0011217D">
        <w:rPr>
          <w:rFonts w:ascii="Times New Roman" w:hAnsi="Times New Roman"/>
          <w:i/>
          <w:iCs/>
          <w:lang w:val="en-HK"/>
        </w:rPr>
        <w:t>headroom</w:t>
      </w:r>
      <w:r w:rsidRPr="0011217D">
        <w:rPr>
          <w:rFonts w:ascii="Times New Roman" w:hAnsi="Times New Roman"/>
          <w:lang w:val="en-HK"/>
        </w:rPr>
        <w:t xml:space="preserve"> and </w:t>
      </w:r>
      <w:r w:rsidRPr="0011217D">
        <w:rPr>
          <w:rFonts w:ascii="Times New Roman" w:hAnsi="Times New Roman"/>
          <w:i/>
          <w:iCs/>
          <w:lang w:val="en-HK"/>
        </w:rPr>
        <w:t>banding</w:t>
      </w:r>
      <w:r w:rsidRPr="0011217D">
        <w:rPr>
          <w:rFonts w:ascii="Times New Roman" w:hAnsi="Times New Roman"/>
          <w:lang w:val="en-HK"/>
        </w:rPr>
        <w:t xml:space="preserve">) improved efficacy, but residual risks </w:t>
      </w:r>
      <w:proofErr w:type="spellStart"/>
      <w:r w:rsidRPr="0011217D">
        <w:rPr>
          <w:rFonts w:ascii="Times New Roman" w:hAnsi="Times New Roman"/>
          <w:lang w:val="en-HK"/>
        </w:rPr>
        <w:t>favored</w:t>
      </w:r>
      <w:proofErr w:type="spellEnd"/>
      <w:r w:rsidRPr="0011217D">
        <w:rPr>
          <w:rFonts w:ascii="Times New Roman" w:hAnsi="Times New Roman"/>
          <w:lang w:val="en-HK"/>
        </w:rPr>
        <w:t xml:space="preserve"> incumbents, highlighting the need for careful legal design to support diverse entrants and technologies.</w:t>
      </w:r>
    </w:p>
    <w:p w14:paraId="55777290" w14:textId="77777777" w:rsidR="0011217D" w:rsidRPr="0011217D" w:rsidRDefault="0011217D" w:rsidP="0011217D">
      <w:pPr>
        <w:spacing w:after="240" w:line="360" w:lineRule="auto"/>
        <w:rPr>
          <w:rFonts w:ascii="Times New Roman" w:hAnsi="Times New Roman"/>
          <w:lang w:val="en-HK"/>
        </w:rPr>
      </w:pPr>
    </w:p>
    <w:p w14:paraId="6272D9F3" w14:textId="77777777" w:rsidR="0011217D" w:rsidRPr="0011217D" w:rsidRDefault="0011217D" w:rsidP="0011217D">
      <w:pPr>
        <w:spacing w:after="240" w:line="360" w:lineRule="auto"/>
        <w:outlineLvl w:val="3"/>
        <w:rPr>
          <w:rFonts w:ascii="Times New Roman" w:hAnsi="Times New Roman"/>
          <w:b/>
          <w:bCs/>
          <w:lang w:val="en-HK"/>
        </w:rPr>
      </w:pPr>
      <w:r w:rsidRPr="0011217D">
        <w:rPr>
          <w:rFonts w:ascii="Times New Roman" w:hAnsi="Times New Roman"/>
          <w:b/>
          <w:bCs/>
          <w:lang w:val="en-HK"/>
        </w:rPr>
        <w:t>C. Contracts for Difference (CFD) Scheme (Premium Scheme by Auction, UK)</w:t>
      </w:r>
    </w:p>
    <w:p w14:paraId="4A47FBDF" w14:textId="2794E225" w:rsidR="0011217D" w:rsidRPr="0011217D" w:rsidRDefault="0011217D" w:rsidP="0011217D">
      <w:pPr>
        <w:spacing w:after="240" w:line="360" w:lineRule="auto"/>
        <w:rPr>
          <w:rFonts w:ascii="Times New Roman" w:hAnsi="Times New Roman"/>
          <w:lang w:val="en-HK"/>
        </w:rPr>
      </w:pPr>
      <w:r w:rsidRPr="0011217D">
        <w:rPr>
          <w:rFonts w:ascii="Times New Roman" w:hAnsi="Times New Roman"/>
          <w:lang w:val="en-HK"/>
        </w:rPr>
        <w:t xml:space="preserve">Introduced under the </w:t>
      </w:r>
      <w:r w:rsidRPr="0011217D">
        <w:rPr>
          <w:rFonts w:ascii="Times New Roman" w:hAnsi="Times New Roman"/>
          <w:i/>
          <w:iCs/>
          <w:lang w:val="en-HK"/>
        </w:rPr>
        <w:t>Energy Act 2013</w:t>
      </w:r>
      <w:r w:rsidRPr="0011217D">
        <w:rPr>
          <w:rFonts w:ascii="Times New Roman" w:hAnsi="Times New Roman"/>
          <w:lang w:val="en-HK"/>
        </w:rPr>
        <w:t>, the CFD scheme became the UK’s sole support mechanism for new renewable projects above 5MW post-2017, operating via auctions allocating premiums atop market sales.</w:t>
      </w:r>
    </w:p>
    <w:p w14:paraId="14858844" w14:textId="77777777" w:rsidR="0011217D" w:rsidRPr="0011217D" w:rsidRDefault="0011217D" w:rsidP="0011217D">
      <w:pPr>
        <w:spacing w:after="240" w:line="360" w:lineRule="auto"/>
        <w:rPr>
          <w:rFonts w:ascii="Times New Roman" w:hAnsi="Times New Roman"/>
          <w:lang w:val="en-HK"/>
        </w:rPr>
      </w:pPr>
      <w:r w:rsidRPr="0011217D">
        <w:rPr>
          <w:rFonts w:ascii="Times New Roman" w:hAnsi="Times New Roman"/>
          <w:b/>
          <w:bCs/>
          <w:lang w:val="en-HK"/>
        </w:rPr>
        <w:t>Structure</w:t>
      </w:r>
      <w:r w:rsidRPr="0011217D">
        <w:rPr>
          <w:rFonts w:ascii="Times New Roman" w:hAnsi="Times New Roman"/>
          <w:lang w:val="en-HK"/>
        </w:rPr>
        <w:t>: Developers bid for strike prices, receiving premiums as the difference between a reference wholesale price and the strike price, repayable if market prices exceed the strike (</w:t>
      </w:r>
      <w:proofErr w:type="spellStart"/>
      <w:r w:rsidRPr="0011217D">
        <w:rPr>
          <w:rFonts w:ascii="Times New Roman" w:hAnsi="Times New Roman"/>
          <w:lang w:val="en-HK"/>
        </w:rPr>
        <w:t>Kozlow</w:t>
      </w:r>
      <w:proofErr w:type="spellEnd"/>
      <w:r w:rsidRPr="0011217D">
        <w:rPr>
          <w:rFonts w:ascii="Times New Roman" w:hAnsi="Times New Roman"/>
          <w:lang w:val="en-HK"/>
        </w:rPr>
        <w:t>, 39). Three funding pots initially targeted established (e.g., onshore wind), less-established (e.g., offshore wind), and biomass conversions, later adjusted (e.g., offshore wind separated in round four, 2022).</w:t>
      </w:r>
    </w:p>
    <w:p w14:paraId="062B27F8" w14:textId="77777777" w:rsidR="0011217D" w:rsidRPr="0011217D" w:rsidRDefault="0011217D" w:rsidP="0011217D">
      <w:pPr>
        <w:spacing w:after="240" w:line="360" w:lineRule="auto"/>
        <w:rPr>
          <w:rFonts w:ascii="Times New Roman" w:hAnsi="Times New Roman"/>
          <w:lang w:val="en-HK"/>
        </w:rPr>
      </w:pPr>
      <w:r w:rsidRPr="0011217D">
        <w:rPr>
          <w:rFonts w:ascii="Times New Roman" w:hAnsi="Times New Roman"/>
          <w:b/>
          <w:bCs/>
          <w:lang w:val="en-HK"/>
        </w:rPr>
        <w:t>Auction Outcomes</w:t>
      </w:r>
      <w:r w:rsidRPr="0011217D">
        <w:rPr>
          <w:rFonts w:ascii="Times New Roman" w:hAnsi="Times New Roman"/>
          <w:lang w:val="en-HK"/>
        </w:rPr>
        <w:t>: Four rounds (2015, 2017, 2019, 2022) showed evolving priorities:</w:t>
      </w:r>
    </w:p>
    <w:p w14:paraId="40A8FF21" w14:textId="77777777" w:rsidR="0011217D" w:rsidRPr="0011217D" w:rsidRDefault="0011217D" w:rsidP="0011217D">
      <w:pPr>
        <w:spacing w:after="240" w:line="360" w:lineRule="auto"/>
        <w:rPr>
          <w:rFonts w:ascii="Times New Roman" w:hAnsi="Times New Roman"/>
          <w:lang w:val="en-HK"/>
        </w:rPr>
      </w:pPr>
      <w:r w:rsidRPr="0011217D">
        <w:rPr>
          <w:rFonts w:ascii="Times New Roman" w:hAnsi="Times New Roman"/>
          <w:b/>
          <w:bCs/>
          <w:lang w:val="en-HK"/>
        </w:rPr>
        <w:lastRenderedPageBreak/>
        <w:t>2015</w:t>
      </w:r>
      <w:r w:rsidRPr="0011217D">
        <w:rPr>
          <w:rFonts w:ascii="Times New Roman" w:hAnsi="Times New Roman"/>
          <w:lang w:val="en-HK"/>
        </w:rPr>
        <w:t>: Supported 2GW, including offshore wind (1.1GW), with low budgets driving competitive strike prices (Fairley, 2015).</w:t>
      </w:r>
    </w:p>
    <w:p w14:paraId="5E25F348" w14:textId="77777777" w:rsidR="0011217D" w:rsidRPr="0011217D" w:rsidRDefault="0011217D" w:rsidP="0011217D">
      <w:pPr>
        <w:spacing w:after="240" w:line="360" w:lineRule="auto"/>
        <w:rPr>
          <w:rFonts w:ascii="Times New Roman" w:hAnsi="Times New Roman"/>
          <w:lang w:val="en-HK"/>
        </w:rPr>
      </w:pPr>
      <w:r w:rsidRPr="0011217D">
        <w:rPr>
          <w:rFonts w:ascii="Times New Roman" w:hAnsi="Times New Roman"/>
          <w:b/>
          <w:bCs/>
          <w:lang w:val="en-HK"/>
        </w:rPr>
        <w:t>2017</w:t>
      </w:r>
      <w:r w:rsidRPr="0011217D">
        <w:rPr>
          <w:rFonts w:ascii="Times New Roman" w:hAnsi="Times New Roman"/>
          <w:lang w:val="en-HK"/>
        </w:rPr>
        <w:t>: Focused on less-established technologies, awarding offshore wind £57.50/MWh for 2022-23, half the 2017-18 rate, reflecting cost declines (</w:t>
      </w:r>
      <w:proofErr w:type="spellStart"/>
      <w:r w:rsidRPr="0011217D">
        <w:rPr>
          <w:rFonts w:ascii="Times New Roman" w:hAnsi="Times New Roman"/>
          <w:lang w:val="en-HK"/>
        </w:rPr>
        <w:t>Welisch</w:t>
      </w:r>
      <w:proofErr w:type="spellEnd"/>
      <w:r w:rsidRPr="0011217D">
        <w:rPr>
          <w:rFonts w:ascii="Times New Roman" w:hAnsi="Times New Roman"/>
          <w:lang w:val="en-HK"/>
        </w:rPr>
        <w:t xml:space="preserve"> and </w:t>
      </w:r>
      <w:proofErr w:type="spellStart"/>
      <w:r w:rsidRPr="0011217D">
        <w:rPr>
          <w:rFonts w:ascii="Times New Roman" w:hAnsi="Times New Roman"/>
          <w:lang w:val="en-HK"/>
        </w:rPr>
        <w:t>Poudineh</w:t>
      </w:r>
      <w:proofErr w:type="spellEnd"/>
      <w:r w:rsidRPr="0011217D">
        <w:rPr>
          <w:rFonts w:ascii="Times New Roman" w:hAnsi="Times New Roman"/>
          <w:lang w:val="en-HK"/>
        </w:rPr>
        <w:t>, 1266).</w:t>
      </w:r>
    </w:p>
    <w:p w14:paraId="34DD0B67" w14:textId="77777777" w:rsidR="0011217D" w:rsidRPr="0011217D" w:rsidRDefault="0011217D" w:rsidP="0011217D">
      <w:pPr>
        <w:spacing w:after="240" w:line="360" w:lineRule="auto"/>
        <w:rPr>
          <w:rFonts w:ascii="Times New Roman" w:hAnsi="Times New Roman"/>
          <w:lang w:val="en-HK"/>
        </w:rPr>
      </w:pPr>
      <w:r w:rsidRPr="0011217D">
        <w:rPr>
          <w:rFonts w:ascii="Times New Roman" w:hAnsi="Times New Roman"/>
          <w:b/>
          <w:bCs/>
          <w:lang w:val="en-HK"/>
        </w:rPr>
        <w:t>2019</w:t>
      </w:r>
      <w:r w:rsidRPr="0011217D">
        <w:rPr>
          <w:rFonts w:ascii="Times New Roman" w:hAnsi="Times New Roman"/>
          <w:lang w:val="en-HK"/>
        </w:rPr>
        <w:t>: £65 million prioritized offshore wind.</w:t>
      </w:r>
    </w:p>
    <w:p w14:paraId="0AF1CAEB" w14:textId="77777777" w:rsidR="0011217D" w:rsidRPr="0011217D" w:rsidRDefault="0011217D" w:rsidP="0011217D">
      <w:pPr>
        <w:spacing w:after="240" w:line="360" w:lineRule="auto"/>
        <w:rPr>
          <w:rFonts w:ascii="Times New Roman" w:hAnsi="Times New Roman"/>
          <w:lang w:val="en-HK"/>
        </w:rPr>
      </w:pPr>
      <w:r w:rsidRPr="0011217D">
        <w:rPr>
          <w:rFonts w:ascii="Times New Roman" w:hAnsi="Times New Roman"/>
          <w:b/>
          <w:bCs/>
          <w:lang w:val="en-HK"/>
        </w:rPr>
        <w:t>2022</w:t>
      </w:r>
      <w:r w:rsidRPr="0011217D">
        <w:rPr>
          <w:rFonts w:ascii="Times New Roman" w:hAnsi="Times New Roman"/>
          <w:lang w:val="en-HK"/>
        </w:rPr>
        <w:t>: £280 million supported diverse projects, including 7GW offshore wind and floating wind (</w:t>
      </w:r>
      <w:r w:rsidRPr="0011217D">
        <w:rPr>
          <w:rFonts w:ascii="Times New Roman" w:hAnsi="Times New Roman"/>
          <w:i/>
          <w:iCs/>
          <w:lang w:val="en-HK"/>
        </w:rPr>
        <w:t>UK Government, CFD Allocation Round 4</w:t>
      </w:r>
      <w:r w:rsidRPr="0011217D">
        <w:rPr>
          <w:rFonts w:ascii="Times New Roman" w:hAnsi="Times New Roman"/>
          <w:lang w:val="en-HK"/>
        </w:rPr>
        <w:t>).</w:t>
      </w:r>
    </w:p>
    <w:p w14:paraId="4BF6676F" w14:textId="77777777" w:rsidR="0011217D" w:rsidRPr="0011217D" w:rsidRDefault="0011217D" w:rsidP="0011217D">
      <w:pPr>
        <w:spacing w:after="240" w:line="360" w:lineRule="auto"/>
        <w:rPr>
          <w:rFonts w:ascii="Times New Roman" w:hAnsi="Times New Roman"/>
          <w:lang w:val="en-HK"/>
        </w:rPr>
      </w:pPr>
      <w:r w:rsidRPr="0011217D">
        <w:rPr>
          <w:rFonts w:ascii="Times New Roman" w:hAnsi="Times New Roman"/>
          <w:b/>
          <w:bCs/>
          <w:lang w:val="en-HK"/>
        </w:rPr>
        <w:t>Risks</w:t>
      </w:r>
      <w:r w:rsidRPr="0011217D">
        <w:rPr>
          <w:rFonts w:ascii="Times New Roman" w:hAnsi="Times New Roman"/>
          <w:lang w:val="en-HK"/>
        </w:rPr>
        <w:t>:</w:t>
      </w:r>
    </w:p>
    <w:p w14:paraId="46EAD8DA" w14:textId="77777777" w:rsidR="0011217D" w:rsidRPr="0011217D" w:rsidRDefault="0011217D" w:rsidP="0011217D">
      <w:pPr>
        <w:spacing w:after="240" w:line="360" w:lineRule="auto"/>
        <w:rPr>
          <w:rFonts w:ascii="Times New Roman" w:hAnsi="Times New Roman"/>
          <w:lang w:val="en-HK"/>
        </w:rPr>
      </w:pPr>
      <w:r w:rsidRPr="0011217D">
        <w:rPr>
          <w:rFonts w:ascii="Times New Roman" w:hAnsi="Times New Roman"/>
          <w:b/>
          <w:bCs/>
          <w:lang w:val="en-HK"/>
        </w:rPr>
        <w:t>Price Risk</w:t>
      </w:r>
      <w:r w:rsidRPr="0011217D">
        <w:rPr>
          <w:rFonts w:ascii="Times New Roman" w:hAnsi="Times New Roman"/>
          <w:lang w:val="en-HK"/>
        </w:rPr>
        <w:t>: Reduced versus ROO, but residual risk persists if market sales plus premiums fall short (Brodies, 2013).</w:t>
      </w:r>
    </w:p>
    <w:p w14:paraId="74BB0DBB" w14:textId="77777777" w:rsidR="0011217D" w:rsidRPr="0011217D" w:rsidRDefault="0011217D" w:rsidP="0011217D">
      <w:pPr>
        <w:spacing w:after="240" w:line="360" w:lineRule="auto"/>
        <w:rPr>
          <w:rFonts w:ascii="Times New Roman" w:hAnsi="Times New Roman"/>
          <w:lang w:val="en-HK"/>
        </w:rPr>
      </w:pPr>
      <w:r w:rsidRPr="0011217D">
        <w:rPr>
          <w:rFonts w:ascii="Times New Roman" w:hAnsi="Times New Roman"/>
          <w:b/>
          <w:bCs/>
          <w:lang w:val="en-HK"/>
        </w:rPr>
        <w:t>Route-to-Market Risk</w:t>
      </w:r>
      <w:r w:rsidRPr="0011217D">
        <w:rPr>
          <w:rFonts w:ascii="Times New Roman" w:hAnsi="Times New Roman"/>
          <w:lang w:val="en-HK"/>
        </w:rPr>
        <w:t xml:space="preserve">: No supplier obligation exists; </w:t>
      </w:r>
      <w:proofErr w:type="spellStart"/>
      <w:r w:rsidRPr="0011217D">
        <w:rPr>
          <w:rFonts w:ascii="Times New Roman" w:hAnsi="Times New Roman"/>
          <w:i/>
          <w:iCs/>
          <w:lang w:val="en-HK"/>
        </w:rPr>
        <w:t>offtakers</w:t>
      </w:r>
      <w:proofErr w:type="spellEnd"/>
      <w:r w:rsidRPr="0011217D">
        <w:rPr>
          <w:rFonts w:ascii="Times New Roman" w:hAnsi="Times New Roman"/>
          <w:i/>
          <w:iCs/>
          <w:lang w:val="en-HK"/>
        </w:rPr>
        <w:t xml:space="preserve"> of last resort</w:t>
      </w:r>
      <w:r w:rsidRPr="0011217D">
        <w:rPr>
          <w:rFonts w:ascii="Times New Roman" w:hAnsi="Times New Roman"/>
          <w:lang w:val="en-HK"/>
        </w:rPr>
        <w:t xml:space="preserve"> (</w:t>
      </w:r>
      <w:r w:rsidRPr="0011217D">
        <w:rPr>
          <w:rFonts w:ascii="Times New Roman" w:hAnsi="Times New Roman"/>
          <w:i/>
          <w:iCs/>
          <w:lang w:val="en-HK"/>
        </w:rPr>
        <w:t>Ofgem, OLR</w:t>
      </w:r>
      <w:r w:rsidRPr="0011217D">
        <w:rPr>
          <w:rFonts w:ascii="Times New Roman" w:hAnsi="Times New Roman"/>
          <w:lang w:val="en-HK"/>
        </w:rPr>
        <w:t>) mitigate this at discounted rates (</w:t>
      </w:r>
      <w:proofErr w:type="spellStart"/>
      <w:r w:rsidRPr="0011217D">
        <w:rPr>
          <w:rFonts w:ascii="Times New Roman" w:hAnsi="Times New Roman"/>
          <w:lang w:val="en-HK"/>
        </w:rPr>
        <w:t>Penttinen</w:t>
      </w:r>
      <w:proofErr w:type="spellEnd"/>
      <w:r w:rsidRPr="0011217D">
        <w:rPr>
          <w:rFonts w:ascii="Times New Roman" w:hAnsi="Times New Roman"/>
          <w:lang w:val="en-HK"/>
        </w:rPr>
        <w:t>, 12).</w:t>
      </w:r>
    </w:p>
    <w:p w14:paraId="015C3E96" w14:textId="77777777" w:rsidR="0011217D" w:rsidRPr="0011217D" w:rsidRDefault="0011217D" w:rsidP="0011217D">
      <w:pPr>
        <w:spacing w:after="240" w:line="360" w:lineRule="auto"/>
        <w:rPr>
          <w:rFonts w:ascii="Times New Roman" w:hAnsi="Times New Roman"/>
          <w:lang w:val="en-HK"/>
        </w:rPr>
      </w:pPr>
      <w:r w:rsidRPr="0011217D">
        <w:rPr>
          <w:rFonts w:ascii="Times New Roman" w:hAnsi="Times New Roman"/>
          <w:b/>
          <w:bCs/>
          <w:lang w:val="en-HK"/>
        </w:rPr>
        <w:t>Allocation Risk</w:t>
      </w:r>
      <w:r w:rsidRPr="0011217D">
        <w:rPr>
          <w:rFonts w:ascii="Times New Roman" w:hAnsi="Times New Roman"/>
          <w:lang w:val="en-HK"/>
        </w:rPr>
        <w:t>: Auction unpredictability and pre-auction costs deter smaller developers (</w:t>
      </w:r>
      <w:proofErr w:type="spellStart"/>
      <w:r w:rsidRPr="0011217D">
        <w:rPr>
          <w:rFonts w:ascii="Times New Roman" w:hAnsi="Times New Roman"/>
          <w:lang w:val="en-HK"/>
        </w:rPr>
        <w:t>Welisch</w:t>
      </w:r>
      <w:proofErr w:type="spellEnd"/>
      <w:r w:rsidRPr="0011217D">
        <w:rPr>
          <w:rFonts w:ascii="Times New Roman" w:hAnsi="Times New Roman"/>
          <w:lang w:val="en-HK"/>
        </w:rPr>
        <w:t xml:space="preserve"> and </w:t>
      </w:r>
      <w:proofErr w:type="spellStart"/>
      <w:r w:rsidRPr="0011217D">
        <w:rPr>
          <w:rFonts w:ascii="Times New Roman" w:hAnsi="Times New Roman"/>
          <w:lang w:val="en-HK"/>
        </w:rPr>
        <w:t>Poudineh</w:t>
      </w:r>
      <w:proofErr w:type="spellEnd"/>
      <w:r w:rsidRPr="0011217D">
        <w:rPr>
          <w:rFonts w:ascii="Times New Roman" w:hAnsi="Times New Roman"/>
          <w:lang w:val="en-HK"/>
        </w:rPr>
        <w:t>, 1267-68). Fairley notes, the scheme favours bigger developers who are generally more able to carry the cost of developing a project up to the point of planning and grid [connection] (Fairley, 2015).</w:t>
      </w:r>
    </w:p>
    <w:p w14:paraId="1F32C7BD" w14:textId="77777777" w:rsidR="0011217D" w:rsidRPr="0011217D" w:rsidRDefault="0011217D" w:rsidP="0011217D">
      <w:pPr>
        <w:spacing w:after="240" w:line="360" w:lineRule="auto"/>
        <w:rPr>
          <w:rFonts w:ascii="Times New Roman" w:hAnsi="Times New Roman"/>
          <w:lang w:val="en-HK"/>
        </w:rPr>
      </w:pPr>
      <w:r w:rsidRPr="0011217D">
        <w:rPr>
          <w:rFonts w:ascii="Times New Roman" w:hAnsi="Times New Roman"/>
          <w:b/>
          <w:bCs/>
          <w:lang w:val="en-HK"/>
        </w:rPr>
        <w:t>Complexity and Repayment Risks</w:t>
      </w:r>
      <w:r w:rsidRPr="0011217D">
        <w:rPr>
          <w:rFonts w:ascii="Times New Roman" w:hAnsi="Times New Roman"/>
          <w:lang w:val="en-HK"/>
        </w:rPr>
        <w:t>: High transaction costs and repayment obligations challenge small producers (</w:t>
      </w:r>
      <w:proofErr w:type="spellStart"/>
      <w:r w:rsidRPr="0011217D">
        <w:rPr>
          <w:rFonts w:ascii="Times New Roman" w:hAnsi="Times New Roman"/>
          <w:lang w:val="en-HK"/>
        </w:rPr>
        <w:t>Welisch</w:t>
      </w:r>
      <w:proofErr w:type="spellEnd"/>
      <w:r w:rsidRPr="0011217D">
        <w:rPr>
          <w:rFonts w:ascii="Times New Roman" w:hAnsi="Times New Roman"/>
          <w:lang w:val="en-HK"/>
        </w:rPr>
        <w:t xml:space="preserve"> and </w:t>
      </w:r>
      <w:proofErr w:type="spellStart"/>
      <w:r w:rsidRPr="0011217D">
        <w:rPr>
          <w:rFonts w:ascii="Times New Roman" w:hAnsi="Times New Roman"/>
          <w:lang w:val="en-HK"/>
        </w:rPr>
        <w:t>Poudineh</w:t>
      </w:r>
      <w:proofErr w:type="spellEnd"/>
      <w:r w:rsidRPr="0011217D">
        <w:rPr>
          <w:rFonts w:ascii="Times New Roman" w:hAnsi="Times New Roman"/>
          <w:lang w:val="en-HK"/>
        </w:rPr>
        <w:t>, 1268).</w:t>
      </w:r>
    </w:p>
    <w:p w14:paraId="0974C60A" w14:textId="77777777" w:rsidR="0011217D" w:rsidRPr="0011217D" w:rsidRDefault="0011217D" w:rsidP="0011217D">
      <w:pPr>
        <w:spacing w:after="240" w:line="360" w:lineRule="auto"/>
        <w:rPr>
          <w:rFonts w:ascii="Times New Roman" w:hAnsi="Times New Roman"/>
          <w:lang w:val="en-HK"/>
        </w:rPr>
      </w:pPr>
      <w:r w:rsidRPr="0011217D">
        <w:rPr>
          <w:rFonts w:ascii="Times New Roman" w:hAnsi="Times New Roman"/>
          <w:b/>
          <w:bCs/>
          <w:lang w:val="en-HK"/>
        </w:rPr>
        <w:t>Cost Recovery and Funding Risks</w:t>
      </w:r>
      <w:r w:rsidRPr="0011217D">
        <w:rPr>
          <w:rFonts w:ascii="Times New Roman" w:hAnsi="Times New Roman"/>
          <w:lang w:val="en-HK"/>
        </w:rPr>
        <w:t>: 15-year terms (versus RO’s 20) and budget caps (</w:t>
      </w:r>
      <w:r w:rsidRPr="0011217D">
        <w:rPr>
          <w:rFonts w:ascii="Times New Roman" w:hAnsi="Times New Roman"/>
          <w:i/>
          <w:iCs/>
          <w:lang w:val="en-HK"/>
        </w:rPr>
        <w:t>Levy Control Framework</w:t>
      </w:r>
      <w:r w:rsidRPr="0011217D">
        <w:rPr>
          <w:rFonts w:ascii="Times New Roman" w:hAnsi="Times New Roman"/>
          <w:lang w:val="en-HK"/>
        </w:rPr>
        <w:t>) limit support availability.</w:t>
      </w:r>
    </w:p>
    <w:p w14:paraId="6F38B333" w14:textId="77777777" w:rsidR="0011217D" w:rsidRPr="0011217D" w:rsidRDefault="0011217D" w:rsidP="0011217D">
      <w:pPr>
        <w:spacing w:after="240" w:line="360" w:lineRule="auto"/>
        <w:rPr>
          <w:rFonts w:ascii="Times New Roman" w:hAnsi="Times New Roman"/>
          <w:lang w:val="en-HK"/>
        </w:rPr>
      </w:pPr>
      <w:r w:rsidRPr="0011217D">
        <w:rPr>
          <w:rFonts w:ascii="Times New Roman" w:hAnsi="Times New Roman"/>
          <w:b/>
          <w:bCs/>
          <w:lang w:val="en-HK"/>
        </w:rPr>
        <w:t>Arguments</w:t>
      </w:r>
      <w:r w:rsidRPr="0011217D">
        <w:rPr>
          <w:rFonts w:ascii="Times New Roman" w:hAnsi="Times New Roman"/>
          <w:lang w:val="en-HK"/>
        </w:rPr>
        <w:t xml:space="preserve">: CFDs lower price risk compared to ROO but retain route-to-market and allocation risks, </w:t>
      </w:r>
      <w:proofErr w:type="spellStart"/>
      <w:r w:rsidRPr="0011217D">
        <w:rPr>
          <w:rFonts w:ascii="Times New Roman" w:hAnsi="Times New Roman"/>
          <w:lang w:val="en-HK"/>
        </w:rPr>
        <w:t>favoring</w:t>
      </w:r>
      <w:proofErr w:type="spellEnd"/>
      <w:r w:rsidRPr="0011217D">
        <w:rPr>
          <w:rFonts w:ascii="Times New Roman" w:hAnsi="Times New Roman"/>
          <w:lang w:val="en-HK"/>
        </w:rPr>
        <w:t xml:space="preserve"> established players. Legal provisions like </w:t>
      </w:r>
      <w:proofErr w:type="spellStart"/>
      <w:r w:rsidRPr="0011217D">
        <w:rPr>
          <w:rFonts w:ascii="Times New Roman" w:hAnsi="Times New Roman"/>
          <w:lang w:val="en-HK"/>
        </w:rPr>
        <w:t>offtakers</w:t>
      </w:r>
      <w:proofErr w:type="spellEnd"/>
      <w:r w:rsidRPr="0011217D">
        <w:rPr>
          <w:rFonts w:ascii="Times New Roman" w:hAnsi="Times New Roman"/>
          <w:lang w:val="en-HK"/>
        </w:rPr>
        <w:t xml:space="preserve"> of last resort address design flaws, yet the document questions their adequacy for nascent technologies or decarbonization goals, noting, it is legitimate to question whether an approach of boosting renewable energy in the short term by concentrating only on certain technologies will be effective for realising the wholesale decarbonisation (</w:t>
      </w:r>
      <w:proofErr w:type="spellStart"/>
      <w:r w:rsidRPr="0011217D">
        <w:rPr>
          <w:rFonts w:ascii="Times New Roman" w:hAnsi="Times New Roman"/>
          <w:lang w:val="en-HK"/>
        </w:rPr>
        <w:t>Woodey</w:t>
      </w:r>
      <w:proofErr w:type="spellEnd"/>
      <w:r w:rsidRPr="0011217D">
        <w:rPr>
          <w:rFonts w:ascii="Times New Roman" w:hAnsi="Times New Roman"/>
          <w:lang w:val="en-HK"/>
        </w:rPr>
        <w:t>, 122).</w:t>
      </w:r>
    </w:p>
    <w:p w14:paraId="6D3FA25C" w14:textId="77777777" w:rsidR="0011217D" w:rsidRPr="0011217D" w:rsidRDefault="0011217D" w:rsidP="0011217D">
      <w:pPr>
        <w:spacing w:after="240" w:line="360" w:lineRule="auto"/>
        <w:ind w:left="720"/>
        <w:rPr>
          <w:rFonts w:ascii="Times New Roman" w:hAnsi="Times New Roman"/>
          <w:lang w:val="en-HK"/>
        </w:rPr>
      </w:pPr>
    </w:p>
    <w:p w14:paraId="3D44A6C6" w14:textId="77777777" w:rsidR="0011217D" w:rsidRPr="0011217D" w:rsidRDefault="0011217D" w:rsidP="0011217D">
      <w:pPr>
        <w:spacing w:after="240" w:line="360" w:lineRule="auto"/>
        <w:outlineLvl w:val="3"/>
        <w:rPr>
          <w:rFonts w:ascii="Times New Roman" w:hAnsi="Times New Roman"/>
          <w:b/>
          <w:bCs/>
          <w:lang w:val="en-HK"/>
        </w:rPr>
      </w:pPr>
      <w:r w:rsidRPr="0011217D">
        <w:rPr>
          <w:rFonts w:ascii="Times New Roman" w:hAnsi="Times New Roman"/>
          <w:b/>
          <w:bCs/>
          <w:lang w:val="en-HK"/>
        </w:rPr>
        <w:lastRenderedPageBreak/>
        <w:t>Comparative Analysis and Scholarly Insights</w:t>
      </w:r>
    </w:p>
    <w:p w14:paraId="697664C6" w14:textId="77777777" w:rsidR="0011217D" w:rsidRPr="0011217D" w:rsidRDefault="0011217D" w:rsidP="0011217D">
      <w:pPr>
        <w:spacing w:after="240" w:line="360" w:lineRule="auto"/>
        <w:rPr>
          <w:rFonts w:ascii="Times New Roman" w:hAnsi="Times New Roman"/>
          <w:lang w:val="en-HK"/>
        </w:rPr>
      </w:pPr>
      <w:r w:rsidRPr="0011217D">
        <w:rPr>
          <w:rFonts w:ascii="Times New Roman" w:hAnsi="Times New Roman"/>
          <w:b/>
          <w:bCs/>
          <w:lang w:val="en-HK"/>
        </w:rPr>
        <w:t>FIT (Germany)</w:t>
      </w:r>
      <w:r w:rsidRPr="0011217D">
        <w:rPr>
          <w:rFonts w:ascii="Times New Roman" w:hAnsi="Times New Roman"/>
          <w:lang w:val="en-HK"/>
        </w:rPr>
        <w:t>: Offers low risk and high investor confidence but struggles with cost and market distortion, prompting EU-driven reforms (</w:t>
      </w:r>
      <w:r w:rsidRPr="0011217D">
        <w:rPr>
          <w:rFonts w:ascii="Times New Roman" w:hAnsi="Times New Roman"/>
          <w:i/>
          <w:iCs/>
          <w:lang w:val="en-HK"/>
        </w:rPr>
        <w:t>2018 RES Directive</w:t>
      </w:r>
      <w:r w:rsidRPr="0011217D">
        <w:rPr>
          <w:rFonts w:ascii="Times New Roman" w:hAnsi="Times New Roman"/>
          <w:lang w:val="en-HK"/>
        </w:rPr>
        <w:t>).</w:t>
      </w:r>
    </w:p>
    <w:p w14:paraId="20E2EA07" w14:textId="77777777" w:rsidR="0011217D" w:rsidRPr="0011217D" w:rsidRDefault="0011217D" w:rsidP="0011217D">
      <w:pPr>
        <w:spacing w:after="240" w:line="360" w:lineRule="auto"/>
        <w:rPr>
          <w:rFonts w:ascii="Times New Roman" w:hAnsi="Times New Roman"/>
          <w:lang w:val="en-HK"/>
        </w:rPr>
      </w:pPr>
      <w:r w:rsidRPr="0011217D">
        <w:rPr>
          <w:rFonts w:ascii="Times New Roman" w:hAnsi="Times New Roman"/>
          <w:b/>
          <w:bCs/>
          <w:lang w:val="en-HK"/>
        </w:rPr>
        <w:t>ROO (UK)</w:t>
      </w:r>
      <w:r w:rsidRPr="0011217D">
        <w:rPr>
          <w:rFonts w:ascii="Times New Roman" w:hAnsi="Times New Roman"/>
          <w:lang w:val="en-HK"/>
        </w:rPr>
        <w:t>: Balances market exposure with support but fails to reduce risks sufficiently for new entrants or technologies (Woodman and Mitchell).</w:t>
      </w:r>
    </w:p>
    <w:p w14:paraId="6866CC43" w14:textId="77777777" w:rsidR="0011217D" w:rsidRPr="0011217D" w:rsidRDefault="0011217D" w:rsidP="0011217D">
      <w:pPr>
        <w:spacing w:after="240" w:line="360" w:lineRule="auto"/>
        <w:rPr>
          <w:rFonts w:ascii="Times New Roman" w:hAnsi="Times New Roman"/>
          <w:lang w:val="en-HK"/>
        </w:rPr>
      </w:pPr>
      <w:r w:rsidRPr="0011217D">
        <w:rPr>
          <w:rFonts w:ascii="Times New Roman" w:hAnsi="Times New Roman"/>
          <w:b/>
          <w:bCs/>
          <w:lang w:val="en-HK"/>
        </w:rPr>
        <w:t>CFD (UK)</w:t>
      </w:r>
      <w:r w:rsidRPr="0011217D">
        <w:rPr>
          <w:rFonts w:ascii="Times New Roman" w:hAnsi="Times New Roman"/>
          <w:lang w:val="en-HK"/>
        </w:rPr>
        <w:t>: Reduces price risk yet introduces allocation and complexity risks, potentially misaligned with long-term decarbonization (</w:t>
      </w:r>
      <w:proofErr w:type="spellStart"/>
      <w:r w:rsidRPr="0011217D">
        <w:rPr>
          <w:rFonts w:ascii="Times New Roman" w:hAnsi="Times New Roman"/>
          <w:lang w:val="en-HK"/>
        </w:rPr>
        <w:t>Welisch</w:t>
      </w:r>
      <w:proofErr w:type="spellEnd"/>
      <w:r w:rsidRPr="0011217D">
        <w:rPr>
          <w:rFonts w:ascii="Times New Roman" w:hAnsi="Times New Roman"/>
          <w:lang w:val="en-HK"/>
        </w:rPr>
        <w:t xml:space="preserve"> and </w:t>
      </w:r>
      <w:proofErr w:type="spellStart"/>
      <w:r w:rsidRPr="0011217D">
        <w:rPr>
          <w:rFonts w:ascii="Times New Roman" w:hAnsi="Times New Roman"/>
          <w:lang w:val="en-HK"/>
        </w:rPr>
        <w:t>Poudineh</w:t>
      </w:r>
      <w:proofErr w:type="spellEnd"/>
      <w:r w:rsidRPr="0011217D">
        <w:rPr>
          <w:rFonts w:ascii="Times New Roman" w:hAnsi="Times New Roman"/>
          <w:lang w:val="en-HK"/>
        </w:rPr>
        <w:t>).</w:t>
      </w:r>
    </w:p>
    <w:p w14:paraId="5A8A394A" w14:textId="77777777" w:rsidR="00CD39F1" w:rsidRPr="0011217D" w:rsidRDefault="00CD39F1" w:rsidP="0011217D">
      <w:pPr>
        <w:spacing w:after="240" w:line="360" w:lineRule="auto"/>
        <w:rPr>
          <w:rFonts w:hint="eastAsia"/>
        </w:rPr>
      </w:pPr>
    </w:p>
    <w:sectPr w:rsidR="00CD39F1" w:rsidRPr="0011217D">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decorative"/>
    <w:pitch w:val="variable"/>
    <w:sig w:usb0="00000003" w:usb1="10000000" w:usb2="00000000" w:usb3="00000000" w:csb0="80000001"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0002AFF" w:usb1="C0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0002AFF" w:usb1="C000247B" w:usb2="00000009" w:usb3="00000000" w:csb0="000001FF" w:csb1="00000000"/>
  </w:font>
  <w:font w:name="DengXian Light">
    <w:altName w:val="等线 Light"/>
    <w:panose1 w:val="02010600030101010101"/>
    <w:charset w:val="86"/>
    <w:family w:val="auto"/>
    <w:pitch w:val="variable"/>
    <w:sig w:usb0="A00002BF" w:usb1="38CF7CFA" w:usb2="00000016" w:usb3="00000000" w:csb0="0004000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20DD7CD0"/>
    <w:multiLevelType w:val="multilevel"/>
    <w:tmpl w:val="364C7F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4A893C42"/>
    <w:multiLevelType w:val="multilevel"/>
    <w:tmpl w:val="C93CACCE"/>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360"/>
        </w:tabs>
        <w:ind w:left="36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729C2042"/>
    <w:multiLevelType w:val="multilevel"/>
    <w:tmpl w:val="63F29E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7BBD4558"/>
    <w:multiLevelType w:val="multilevel"/>
    <w:tmpl w:val="4C14F810"/>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360" w:hanging="360"/>
      </w:pPr>
      <w:rPr>
        <w:rFonts w:ascii="Symbol" w:hAnsi="Symbol" w:hint="default"/>
        <w:color w:val="auto"/>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40174058">
    <w:abstractNumId w:val="1"/>
  </w:num>
  <w:num w:numId="2" w16cid:durableId="500201366">
    <w:abstractNumId w:val="0"/>
  </w:num>
  <w:num w:numId="3" w16cid:durableId="1220165231">
    <w:abstractNumId w:val="3"/>
  </w:num>
  <w:num w:numId="4" w16cid:durableId="76833730">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53"/>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30917"/>
    <w:rsid w:val="000046A5"/>
    <w:rsid w:val="00012117"/>
    <w:rsid w:val="000147A9"/>
    <w:rsid w:val="00042755"/>
    <w:rsid w:val="0006107D"/>
    <w:rsid w:val="000623A3"/>
    <w:rsid w:val="00066D1D"/>
    <w:rsid w:val="000719DA"/>
    <w:rsid w:val="00094D65"/>
    <w:rsid w:val="000A2074"/>
    <w:rsid w:val="000A3F4D"/>
    <w:rsid w:val="000A64DA"/>
    <w:rsid w:val="000C4ABC"/>
    <w:rsid w:val="000C58D7"/>
    <w:rsid w:val="000E15ED"/>
    <w:rsid w:val="000F3F73"/>
    <w:rsid w:val="000F5868"/>
    <w:rsid w:val="00101CCF"/>
    <w:rsid w:val="0011217D"/>
    <w:rsid w:val="00121A80"/>
    <w:rsid w:val="001372F7"/>
    <w:rsid w:val="00175AB8"/>
    <w:rsid w:val="0019260C"/>
    <w:rsid w:val="001A41D2"/>
    <w:rsid w:val="001B0E31"/>
    <w:rsid w:val="001D360C"/>
    <w:rsid w:val="001E2584"/>
    <w:rsid w:val="002033A2"/>
    <w:rsid w:val="00204B6E"/>
    <w:rsid w:val="00223837"/>
    <w:rsid w:val="00243CED"/>
    <w:rsid w:val="00247BCC"/>
    <w:rsid w:val="00257540"/>
    <w:rsid w:val="0026510F"/>
    <w:rsid w:val="0028028D"/>
    <w:rsid w:val="00291F37"/>
    <w:rsid w:val="0029568E"/>
    <w:rsid w:val="00297C6E"/>
    <w:rsid w:val="002B3377"/>
    <w:rsid w:val="002C38C0"/>
    <w:rsid w:val="002C6D8B"/>
    <w:rsid w:val="002D2BF1"/>
    <w:rsid w:val="002D715D"/>
    <w:rsid w:val="002E3864"/>
    <w:rsid w:val="002E46F2"/>
    <w:rsid w:val="002F1DB1"/>
    <w:rsid w:val="002F20B2"/>
    <w:rsid w:val="002F53C9"/>
    <w:rsid w:val="003048A0"/>
    <w:rsid w:val="0031138E"/>
    <w:rsid w:val="0031474F"/>
    <w:rsid w:val="00315815"/>
    <w:rsid w:val="0032656E"/>
    <w:rsid w:val="003278F5"/>
    <w:rsid w:val="00330665"/>
    <w:rsid w:val="00342A18"/>
    <w:rsid w:val="00357561"/>
    <w:rsid w:val="00361344"/>
    <w:rsid w:val="0036177C"/>
    <w:rsid w:val="00361975"/>
    <w:rsid w:val="00376E23"/>
    <w:rsid w:val="0039416B"/>
    <w:rsid w:val="003A1271"/>
    <w:rsid w:val="003A5DF7"/>
    <w:rsid w:val="003B3510"/>
    <w:rsid w:val="003C116C"/>
    <w:rsid w:val="003D0CDD"/>
    <w:rsid w:val="003D710F"/>
    <w:rsid w:val="003E1CAA"/>
    <w:rsid w:val="0040210F"/>
    <w:rsid w:val="00412F9B"/>
    <w:rsid w:val="004222FD"/>
    <w:rsid w:val="004319FA"/>
    <w:rsid w:val="00442F56"/>
    <w:rsid w:val="0044616D"/>
    <w:rsid w:val="00474DD1"/>
    <w:rsid w:val="004751B5"/>
    <w:rsid w:val="0048097D"/>
    <w:rsid w:val="004816F7"/>
    <w:rsid w:val="0048175B"/>
    <w:rsid w:val="004829F2"/>
    <w:rsid w:val="004845CE"/>
    <w:rsid w:val="004A553E"/>
    <w:rsid w:val="004B0B8B"/>
    <w:rsid w:val="004B1048"/>
    <w:rsid w:val="004D01FE"/>
    <w:rsid w:val="004D582C"/>
    <w:rsid w:val="004D5B1A"/>
    <w:rsid w:val="004E1930"/>
    <w:rsid w:val="004E458E"/>
    <w:rsid w:val="004F0E12"/>
    <w:rsid w:val="004F43CC"/>
    <w:rsid w:val="004F5A36"/>
    <w:rsid w:val="00505437"/>
    <w:rsid w:val="005120A1"/>
    <w:rsid w:val="00530917"/>
    <w:rsid w:val="00542B57"/>
    <w:rsid w:val="005525C9"/>
    <w:rsid w:val="00557B52"/>
    <w:rsid w:val="005743EA"/>
    <w:rsid w:val="005770A9"/>
    <w:rsid w:val="0058416B"/>
    <w:rsid w:val="00591130"/>
    <w:rsid w:val="00595357"/>
    <w:rsid w:val="005A1930"/>
    <w:rsid w:val="005A3C9C"/>
    <w:rsid w:val="005A6EEA"/>
    <w:rsid w:val="005B34ED"/>
    <w:rsid w:val="005B61CD"/>
    <w:rsid w:val="005B74C5"/>
    <w:rsid w:val="005C4FF3"/>
    <w:rsid w:val="005C50B3"/>
    <w:rsid w:val="005C6B83"/>
    <w:rsid w:val="005C7AAA"/>
    <w:rsid w:val="005D57DA"/>
    <w:rsid w:val="005E7702"/>
    <w:rsid w:val="005F33FC"/>
    <w:rsid w:val="00605F8E"/>
    <w:rsid w:val="00613954"/>
    <w:rsid w:val="006159E0"/>
    <w:rsid w:val="00622488"/>
    <w:rsid w:val="006350B8"/>
    <w:rsid w:val="006415E8"/>
    <w:rsid w:val="00650543"/>
    <w:rsid w:val="00654D8B"/>
    <w:rsid w:val="00661136"/>
    <w:rsid w:val="00672197"/>
    <w:rsid w:val="0068027B"/>
    <w:rsid w:val="006B7BA3"/>
    <w:rsid w:val="006C42B8"/>
    <w:rsid w:val="006C50C7"/>
    <w:rsid w:val="006D1612"/>
    <w:rsid w:val="00713CA9"/>
    <w:rsid w:val="007455C6"/>
    <w:rsid w:val="007475C7"/>
    <w:rsid w:val="0075265A"/>
    <w:rsid w:val="0075498E"/>
    <w:rsid w:val="00757BE5"/>
    <w:rsid w:val="00760E46"/>
    <w:rsid w:val="007643D2"/>
    <w:rsid w:val="00766D82"/>
    <w:rsid w:val="007678B2"/>
    <w:rsid w:val="00782575"/>
    <w:rsid w:val="0078776B"/>
    <w:rsid w:val="00796A93"/>
    <w:rsid w:val="007975B6"/>
    <w:rsid w:val="007B48C2"/>
    <w:rsid w:val="007C231D"/>
    <w:rsid w:val="007D68F0"/>
    <w:rsid w:val="007E1559"/>
    <w:rsid w:val="007E2E80"/>
    <w:rsid w:val="007E4AE6"/>
    <w:rsid w:val="007F776E"/>
    <w:rsid w:val="00816563"/>
    <w:rsid w:val="00830C88"/>
    <w:rsid w:val="00845AB5"/>
    <w:rsid w:val="00850813"/>
    <w:rsid w:val="00861B11"/>
    <w:rsid w:val="008829C2"/>
    <w:rsid w:val="008A54BE"/>
    <w:rsid w:val="008B2AB5"/>
    <w:rsid w:val="008C7B0A"/>
    <w:rsid w:val="008D0642"/>
    <w:rsid w:val="008E43C2"/>
    <w:rsid w:val="008E745B"/>
    <w:rsid w:val="008F4EA7"/>
    <w:rsid w:val="008F5A10"/>
    <w:rsid w:val="00905ED0"/>
    <w:rsid w:val="0093405B"/>
    <w:rsid w:val="0094782D"/>
    <w:rsid w:val="00966189"/>
    <w:rsid w:val="00973661"/>
    <w:rsid w:val="00974434"/>
    <w:rsid w:val="00975B2D"/>
    <w:rsid w:val="00977514"/>
    <w:rsid w:val="009A48B0"/>
    <w:rsid w:val="009B24D6"/>
    <w:rsid w:val="009B2F21"/>
    <w:rsid w:val="009B3EF4"/>
    <w:rsid w:val="009C6498"/>
    <w:rsid w:val="009E62AF"/>
    <w:rsid w:val="009F726A"/>
    <w:rsid w:val="00A03BBD"/>
    <w:rsid w:val="00A21254"/>
    <w:rsid w:val="00A220B7"/>
    <w:rsid w:val="00A2728B"/>
    <w:rsid w:val="00A37AB0"/>
    <w:rsid w:val="00A4085F"/>
    <w:rsid w:val="00A4114F"/>
    <w:rsid w:val="00A45953"/>
    <w:rsid w:val="00A93FBA"/>
    <w:rsid w:val="00A95C7E"/>
    <w:rsid w:val="00AB609D"/>
    <w:rsid w:val="00AC3AB8"/>
    <w:rsid w:val="00AE4348"/>
    <w:rsid w:val="00AE4BAF"/>
    <w:rsid w:val="00B03D5A"/>
    <w:rsid w:val="00B200EB"/>
    <w:rsid w:val="00B23297"/>
    <w:rsid w:val="00B360EE"/>
    <w:rsid w:val="00B53B6F"/>
    <w:rsid w:val="00B651D9"/>
    <w:rsid w:val="00B67231"/>
    <w:rsid w:val="00B73742"/>
    <w:rsid w:val="00B8622A"/>
    <w:rsid w:val="00B914E6"/>
    <w:rsid w:val="00B95747"/>
    <w:rsid w:val="00BC4186"/>
    <w:rsid w:val="00BC5F25"/>
    <w:rsid w:val="00BD1450"/>
    <w:rsid w:val="00BD7714"/>
    <w:rsid w:val="00BD7C9B"/>
    <w:rsid w:val="00BE07C8"/>
    <w:rsid w:val="00C072F8"/>
    <w:rsid w:val="00C163D7"/>
    <w:rsid w:val="00C17D79"/>
    <w:rsid w:val="00C24A8A"/>
    <w:rsid w:val="00C27321"/>
    <w:rsid w:val="00C44474"/>
    <w:rsid w:val="00C44EB3"/>
    <w:rsid w:val="00C54722"/>
    <w:rsid w:val="00C616D7"/>
    <w:rsid w:val="00C65F70"/>
    <w:rsid w:val="00C76196"/>
    <w:rsid w:val="00C941C4"/>
    <w:rsid w:val="00C96A36"/>
    <w:rsid w:val="00CA350B"/>
    <w:rsid w:val="00CA3F60"/>
    <w:rsid w:val="00CC2EFF"/>
    <w:rsid w:val="00CC4FEF"/>
    <w:rsid w:val="00CD39F1"/>
    <w:rsid w:val="00CE1439"/>
    <w:rsid w:val="00CE7B86"/>
    <w:rsid w:val="00CF74EF"/>
    <w:rsid w:val="00D01E71"/>
    <w:rsid w:val="00D02AC8"/>
    <w:rsid w:val="00D0623C"/>
    <w:rsid w:val="00D07271"/>
    <w:rsid w:val="00D16917"/>
    <w:rsid w:val="00D64DCE"/>
    <w:rsid w:val="00D65735"/>
    <w:rsid w:val="00D73E2C"/>
    <w:rsid w:val="00D76D14"/>
    <w:rsid w:val="00D9345A"/>
    <w:rsid w:val="00DA31CB"/>
    <w:rsid w:val="00DA3D31"/>
    <w:rsid w:val="00DA4488"/>
    <w:rsid w:val="00DB2E35"/>
    <w:rsid w:val="00DC0040"/>
    <w:rsid w:val="00DC0B7B"/>
    <w:rsid w:val="00DC228E"/>
    <w:rsid w:val="00DC495B"/>
    <w:rsid w:val="00DC7181"/>
    <w:rsid w:val="00DD5D40"/>
    <w:rsid w:val="00DD6F5C"/>
    <w:rsid w:val="00DD7881"/>
    <w:rsid w:val="00DE6C87"/>
    <w:rsid w:val="00E06E11"/>
    <w:rsid w:val="00E14A1A"/>
    <w:rsid w:val="00E14E1F"/>
    <w:rsid w:val="00E2730E"/>
    <w:rsid w:val="00E4366A"/>
    <w:rsid w:val="00E438AC"/>
    <w:rsid w:val="00E51987"/>
    <w:rsid w:val="00E53FD2"/>
    <w:rsid w:val="00E5689E"/>
    <w:rsid w:val="00E60DF5"/>
    <w:rsid w:val="00E64DD3"/>
    <w:rsid w:val="00E80D33"/>
    <w:rsid w:val="00E9484C"/>
    <w:rsid w:val="00E95D8D"/>
    <w:rsid w:val="00EA6ED5"/>
    <w:rsid w:val="00EB7051"/>
    <w:rsid w:val="00EC67FC"/>
    <w:rsid w:val="00EC68EB"/>
    <w:rsid w:val="00EC7C43"/>
    <w:rsid w:val="00EE0191"/>
    <w:rsid w:val="00EE4F6A"/>
    <w:rsid w:val="00EF3EF4"/>
    <w:rsid w:val="00F012E4"/>
    <w:rsid w:val="00F0631B"/>
    <w:rsid w:val="00F248D2"/>
    <w:rsid w:val="00F27F00"/>
    <w:rsid w:val="00F33570"/>
    <w:rsid w:val="00F655F4"/>
    <w:rsid w:val="00F71153"/>
    <w:rsid w:val="00F81EB6"/>
    <w:rsid w:val="00F858D4"/>
    <w:rsid w:val="00FA0450"/>
    <w:rsid w:val="00FA4E8A"/>
    <w:rsid w:val="00FB2653"/>
    <w:rsid w:val="00FB5C49"/>
    <w:rsid w:val="00FC7B56"/>
    <w:rsid w:val="00FE5294"/>
  </w:rsids>
  <m:mathPr>
    <m:mathFont m:val="Cambria Math"/>
    <m:brkBin m:val="before"/>
    <m:brkBinSub m:val="--"/>
    <m:smallFrac m:val="0"/>
    <m:dispDef/>
    <m:lMargin m:val="0"/>
    <m:rMargin m:val="0"/>
    <m:defJc m:val="centerGroup"/>
    <m:wrapIndent m:val="1440"/>
    <m:intLim m:val="subSup"/>
    <m:naryLim m:val="undOvr"/>
  </m:mathPr>
  <w:themeFontLang w:val="en-HK" w:eastAsia="zh-CN"/>
  <w:clrSchemeMapping w:bg1="light1" w:t1="dark1" w:bg2="light2" w:t2="dark2" w:accent1="accent1" w:accent2="accent2" w:accent3="accent3" w:accent4="accent4" w:accent5="accent5" w:accent6="accent6" w:hyperlink="hyperlink" w:followedHyperlink="followedHyperlink"/>
  <w:decimalSymbol w:val="."/>
  <w:listSeparator w:val=","/>
  <w14:docId w14:val="36F3AC41"/>
  <w15:chartTrackingRefBased/>
  <w15:docId w15:val="{B532A74D-5C0A-2944-84E7-3253505FDF7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kern w:val="2"/>
        <w:sz w:val="24"/>
        <w:szCs w:val="24"/>
        <w:lang w:val="en-HK" w:eastAsia="zh-CN"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60DF5"/>
    <w:rPr>
      <w:rFonts w:ascii="Arial" w:eastAsia="Times New Roman" w:hAnsi="Arial" w:cs="Times New Roman"/>
      <w:kern w:val="0"/>
      <w:lang w:val="en-GB"/>
      <w14:ligatures w14:val="none"/>
    </w:rPr>
  </w:style>
  <w:style w:type="paragraph" w:styleId="Heading1">
    <w:name w:val="heading 1"/>
    <w:basedOn w:val="Normal"/>
    <w:next w:val="Normal"/>
    <w:link w:val="Heading1Char"/>
    <w:uiPriority w:val="9"/>
    <w:qFormat/>
    <w:rsid w:val="00530917"/>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530917"/>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530917"/>
    <w:pPr>
      <w:keepNext/>
      <w:keepLines/>
      <w:spacing w:before="160" w:after="80"/>
      <w:outlineLvl w:val="2"/>
    </w:pPr>
    <w:rPr>
      <w:rFonts w:asciiTheme="minorHAnsi" w:eastAsiaTheme="majorEastAsia" w:hAnsiTheme="minorHAnsi" w:cstheme="majorBidi"/>
      <w:color w:val="2F5496" w:themeColor="accent1" w:themeShade="BF"/>
      <w:sz w:val="28"/>
      <w:szCs w:val="28"/>
    </w:rPr>
  </w:style>
  <w:style w:type="paragraph" w:styleId="Heading4">
    <w:name w:val="heading 4"/>
    <w:basedOn w:val="Normal"/>
    <w:next w:val="Normal"/>
    <w:link w:val="Heading4Char"/>
    <w:uiPriority w:val="9"/>
    <w:unhideWhenUsed/>
    <w:qFormat/>
    <w:rsid w:val="00530917"/>
    <w:pPr>
      <w:keepNext/>
      <w:keepLines/>
      <w:spacing w:before="80" w:after="40"/>
      <w:outlineLvl w:val="3"/>
    </w:pPr>
    <w:rPr>
      <w:rFonts w:asciiTheme="minorHAnsi" w:eastAsiaTheme="majorEastAsia" w:hAnsiTheme="minorHAnsi" w:cstheme="majorBidi"/>
      <w:i/>
      <w:iCs/>
      <w:color w:val="2F5496" w:themeColor="accent1" w:themeShade="BF"/>
    </w:rPr>
  </w:style>
  <w:style w:type="paragraph" w:styleId="Heading5">
    <w:name w:val="heading 5"/>
    <w:basedOn w:val="Normal"/>
    <w:next w:val="Normal"/>
    <w:link w:val="Heading5Char"/>
    <w:uiPriority w:val="9"/>
    <w:semiHidden/>
    <w:unhideWhenUsed/>
    <w:qFormat/>
    <w:rsid w:val="00530917"/>
    <w:pPr>
      <w:keepNext/>
      <w:keepLines/>
      <w:spacing w:before="80" w:after="40"/>
      <w:outlineLvl w:val="4"/>
    </w:pPr>
    <w:rPr>
      <w:rFonts w:asciiTheme="minorHAnsi" w:eastAsiaTheme="majorEastAsia" w:hAnsiTheme="minorHAnsi" w:cstheme="majorBidi"/>
      <w:color w:val="2F5496" w:themeColor="accent1" w:themeShade="BF"/>
    </w:rPr>
  </w:style>
  <w:style w:type="paragraph" w:styleId="Heading6">
    <w:name w:val="heading 6"/>
    <w:basedOn w:val="Normal"/>
    <w:next w:val="Normal"/>
    <w:link w:val="Heading6Char"/>
    <w:uiPriority w:val="9"/>
    <w:semiHidden/>
    <w:unhideWhenUsed/>
    <w:qFormat/>
    <w:rsid w:val="00530917"/>
    <w:pPr>
      <w:keepNext/>
      <w:keepLines/>
      <w:spacing w:before="4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530917"/>
    <w:pPr>
      <w:keepNext/>
      <w:keepLines/>
      <w:spacing w:before="4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530917"/>
    <w:pPr>
      <w:keepNext/>
      <w:keepLines/>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530917"/>
    <w:pPr>
      <w:keepNext/>
      <w:keepLines/>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30917"/>
    <w:rPr>
      <w:rFonts w:asciiTheme="majorHAnsi" w:eastAsiaTheme="majorEastAsia" w:hAnsiTheme="majorHAnsi" w:cstheme="majorBidi"/>
      <w:color w:val="2F5496" w:themeColor="accent1" w:themeShade="BF"/>
      <w:kern w:val="0"/>
      <w:sz w:val="40"/>
      <w:szCs w:val="40"/>
      <w:lang w:val="en-GB"/>
      <w14:ligatures w14:val="none"/>
    </w:rPr>
  </w:style>
  <w:style w:type="character" w:customStyle="1" w:styleId="Heading2Char">
    <w:name w:val="Heading 2 Char"/>
    <w:basedOn w:val="DefaultParagraphFont"/>
    <w:link w:val="Heading2"/>
    <w:uiPriority w:val="9"/>
    <w:semiHidden/>
    <w:rsid w:val="00530917"/>
    <w:rPr>
      <w:rFonts w:asciiTheme="majorHAnsi" w:eastAsiaTheme="majorEastAsia" w:hAnsiTheme="majorHAnsi" w:cstheme="majorBidi"/>
      <w:color w:val="2F5496" w:themeColor="accent1" w:themeShade="BF"/>
      <w:kern w:val="0"/>
      <w:sz w:val="32"/>
      <w:szCs w:val="32"/>
      <w:lang w:val="en-GB"/>
      <w14:ligatures w14:val="none"/>
    </w:rPr>
  </w:style>
  <w:style w:type="character" w:customStyle="1" w:styleId="Heading3Char">
    <w:name w:val="Heading 3 Char"/>
    <w:basedOn w:val="DefaultParagraphFont"/>
    <w:link w:val="Heading3"/>
    <w:uiPriority w:val="9"/>
    <w:semiHidden/>
    <w:rsid w:val="00530917"/>
    <w:rPr>
      <w:rFonts w:eastAsiaTheme="majorEastAsia" w:cstheme="majorBidi"/>
      <w:color w:val="2F5496" w:themeColor="accent1" w:themeShade="BF"/>
      <w:kern w:val="0"/>
      <w:sz w:val="28"/>
      <w:szCs w:val="28"/>
      <w:lang w:val="en-GB"/>
      <w14:ligatures w14:val="none"/>
    </w:rPr>
  </w:style>
  <w:style w:type="character" w:customStyle="1" w:styleId="Heading4Char">
    <w:name w:val="Heading 4 Char"/>
    <w:basedOn w:val="DefaultParagraphFont"/>
    <w:link w:val="Heading4"/>
    <w:uiPriority w:val="9"/>
    <w:rsid w:val="00530917"/>
    <w:rPr>
      <w:rFonts w:eastAsiaTheme="majorEastAsia" w:cstheme="majorBidi"/>
      <w:i/>
      <w:iCs/>
      <w:color w:val="2F5496" w:themeColor="accent1" w:themeShade="BF"/>
      <w:kern w:val="0"/>
      <w:lang w:val="en-GB"/>
      <w14:ligatures w14:val="none"/>
    </w:rPr>
  </w:style>
  <w:style w:type="character" w:customStyle="1" w:styleId="Heading5Char">
    <w:name w:val="Heading 5 Char"/>
    <w:basedOn w:val="DefaultParagraphFont"/>
    <w:link w:val="Heading5"/>
    <w:uiPriority w:val="9"/>
    <w:semiHidden/>
    <w:rsid w:val="00530917"/>
    <w:rPr>
      <w:rFonts w:eastAsiaTheme="majorEastAsia" w:cstheme="majorBidi"/>
      <w:color w:val="2F5496" w:themeColor="accent1" w:themeShade="BF"/>
      <w:kern w:val="0"/>
      <w:lang w:val="en-GB"/>
      <w14:ligatures w14:val="none"/>
    </w:rPr>
  </w:style>
  <w:style w:type="character" w:customStyle="1" w:styleId="Heading6Char">
    <w:name w:val="Heading 6 Char"/>
    <w:basedOn w:val="DefaultParagraphFont"/>
    <w:link w:val="Heading6"/>
    <w:uiPriority w:val="9"/>
    <w:semiHidden/>
    <w:rsid w:val="00530917"/>
    <w:rPr>
      <w:rFonts w:eastAsiaTheme="majorEastAsia" w:cstheme="majorBidi"/>
      <w:i/>
      <w:iCs/>
      <w:color w:val="595959" w:themeColor="text1" w:themeTint="A6"/>
      <w:kern w:val="0"/>
      <w:lang w:val="en-GB"/>
      <w14:ligatures w14:val="none"/>
    </w:rPr>
  </w:style>
  <w:style w:type="character" w:customStyle="1" w:styleId="Heading7Char">
    <w:name w:val="Heading 7 Char"/>
    <w:basedOn w:val="DefaultParagraphFont"/>
    <w:link w:val="Heading7"/>
    <w:uiPriority w:val="9"/>
    <w:semiHidden/>
    <w:rsid w:val="00530917"/>
    <w:rPr>
      <w:rFonts w:eastAsiaTheme="majorEastAsia" w:cstheme="majorBidi"/>
      <w:color w:val="595959" w:themeColor="text1" w:themeTint="A6"/>
      <w:kern w:val="0"/>
      <w:lang w:val="en-GB"/>
      <w14:ligatures w14:val="none"/>
    </w:rPr>
  </w:style>
  <w:style w:type="character" w:customStyle="1" w:styleId="Heading8Char">
    <w:name w:val="Heading 8 Char"/>
    <w:basedOn w:val="DefaultParagraphFont"/>
    <w:link w:val="Heading8"/>
    <w:uiPriority w:val="9"/>
    <w:semiHidden/>
    <w:rsid w:val="00530917"/>
    <w:rPr>
      <w:rFonts w:eastAsiaTheme="majorEastAsia" w:cstheme="majorBidi"/>
      <w:i/>
      <w:iCs/>
      <w:color w:val="272727" w:themeColor="text1" w:themeTint="D8"/>
      <w:kern w:val="0"/>
      <w:lang w:val="en-GB"/>
      <w14:ligatures w14:val="none"/>
    </w:rPr>
  </w:style>
  <w:style w:type="character" w:customStyle="1" w:styleId="Heading9Char">
    <w:name w:val="Heading 9 Char"/>
    <w:basedOn w:val="DefaultParagraphFont"/>
    <w:link w:val="Heading9"/>
    <w:uiPriority w:val="9"/>
    <w:semiHidden/>
    <w:rsid w:val="00530917"/>
    <w:rPr>
      <w:rFonts w:eastAsiaTheme="majorEastAsia" w:cstheme="majorBidi"/>
      <w:color w:val="272727" w:themeColor="text1" w:themeTint="D8"/>
      <w:kern w:val="0"/>
      <w:lang w:val="en-GB"/>
      <w14:ligatures w14:val="none"/>
    </w:rPr>
  </w:style>
  <w:style w:type="paragraph" w:styleId="Title">
    <w:name w:val="Title"/>
    <w:basedOn w:val="Normal"/>
    <w:next w:val="Normal"/>
    <w:link w:val="TitleChar"/>
    <w:uiPriority w:val="10"/>
    <w:qFormat/>
    <w:rsid w:val="00530917"/>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30917"/>
    <w:rPr>
      <w:rFonts w:asciiTheme="majorHAnsi" w:eastAsiaTheme="majorEastAsia" w:hAnsiTheme="majorHAnsi" w:cstheme="majorBidi"/>
      <w:spacing w:val="-10"/>
      <w:kern w:val="28"/>
      <w:sz w:val="56"/>
      <w:szCs w:val="56"/>
      <w:lang w:val="en-GB"/>
      <w14:ligatures w14:val="none"/>
    </w:rPr>
  </w:style>
  <w:style w:type="paragraph" w:styleId="Subtitle">
    <w:name w:val="Subtitle"/>
    <w:basedOn w:val="Normal"/>
    <w:next w:val="Normal"/>
    <w:link w:val="SubtitleChar"/>
    <w:uiPriority w:val="11"/>
    <w:qFormat/>
    <w:rsid w:val="00530917"/>
    <w:pPr>
      <w:numPr>
        <w:ilvl w:val="1"/>
      </w:numPr>
      <w:spacing w:after="160"/>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30917"/>
    <w:rPr>
      <w:rFonts w:eastAsiaTheme="majorEastAsia" w:cstheme="majorBidi"/>
      <w:color w:val="595959" w:themeColor="text1" w:themeTint="A6"/>
      <w:spacing w:val="15"/>
      <w:kern w:val="0"/>
      <w:sz w:val="28"/>
      <w:szCs w:val="28"/>
      <w:lang w:val="en-GB"/>
      <w14:ligatures w14:val="none"/>
    </w:rPr>
  </w:style>
  <w:style w:type="paragraph" w:styleId="Quote">
    <w:name w:val="Quote"/>
    <w:basedOn w:val="Normal"/>
    <w:next w:val="Normal"/>
    <w:link w:val="QuoteChar"/>
    <w:uiPriority w:val="29"/>
    <w:qFormat/>
    <w:rsid w:val="00530917"/>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530917"/>
    <w:rPr>
      <w:rFonts w:ascii="Arial" w:eastAsia="Times New Roman" w:hAnsi="Arial" w:cs="Times New Roman"/>
      <w:i/>
      <w:iCs/>
      <w:color w:val="404040" w:themeColor="text1" w:themeTint="BF"/>
      <w:kern w:val="0"/>
      <w:lang w:val="en-GB"/>
      <w14:ligatures w14:val="none"/>
    </w:rPr>
  </w:style>
  <w:style w:type="paragraph" w:styleId="ListParagraph">
    <w:name w:val="List Paragraph"/>
    <w:basedOn w:val="Normal"/>
    <w:uiPriority w:val="34"/>
    <w:qFormat/>
    <w:rsid w:val="00530917"/>
    <w:pPr>
      <w:ind w:left="720"/>
      <w:contextualSpacing/>
    </w:pPr>
  </w:style>
  <w:style w:type="character" w:styleId="IntenseEmphasis">
    <w:name w:val="Intense Emphasis"/>
    <w:basedOn w:val="DefaultParagraphFont"/>
    <w:uiPriority w:val="21"/>
    <w:qFormat/>
    <w:rsid w:val="00530917"/>
    <w:rPr>
      <w:i/>
      <w:iCs/>
      <w:color w:val="2F5496" w:themeColor="accent1" w:themeShade="BF"/>
    </w:rPr>
  </w:style>
  <w:style w:type="paragraph" w:styleId="IntenseQuote">
    <w:name w:val="Intense Quote"/>
    <w:basedOn w:val="Normal"/>
    <w:next w:val="Normal"/>
    <w:link w:val="IntenseQuoteChar"/>
    <w:uiPriority w:val="30"/>
    <w:qFormat/>
    <w:rsid w:val="00530917"/>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530917"/>
    <w:rPr>
      <w:rFonts w:ascii="Arial" w:eastAsia="Times New Roman" w:hAnsi="Arial" w:cs="Times New Roman"/>
      <w:i/>
      <w:iCs/>
      <w:color w:val="2F5496" w:themeColor="accent1" w:themeShade="BF"/>
      <w:kern w:val="0"/>
      <w:lang w:val="en-GB"/>
      <w14:ligatures w14:val="none"/>
    </w:rPr>
  </w:style>
  <w:style w:type="character" w:styleId="IntenseReference">
    <w:name w:val="Intense Reference"/>
    <w:basedOn w:val="DefaultParagraphFont"/>
    <w:uiPriority w:val="32"/>
    <w:qFormat/>
    <w:rsid w:val="00530917"/>
    <w:rPr>
      <w:b/>
      <w:bCs/>
      <w:smallCaps/>
      <w:color w:val="2F5496" w:themeColor="accent1" w:themeShade="BF"/>
      <w:spacing w:val="5"/>
    </w:rPr>
  </w:style>
  <w:style w:type="paragraph" w:customStyle="1" w:styleId="break-words">
    <w:name w:val="break-words"/>
    <w:basedOn w:val="Normal"/>
    <w:rsid w:val="0011217D"/>
    <w:pPr>
      <w:spacing w:before="100" w:beforeAutospacing="1" w:after="100" w:afterAutospacing="1"/>
    </w:pPr>
    <w:rPr>
      <w:rFonts w:ascii="Times New Roman" w:hAnsi="Times New Roman"/>
      <w:lang w:val="en-HK"/>
    </w:rPr>
  </w:style>
  <w:style w:type="character" w:styleId="Emphasis">
    <w:name w:val="Emphasis"/>
    <w:basedOn w:val="DefaultParagraphFont"/>
    <w:uiPriority w:val="20"/>
    <w:qFormat/>
    <w:rsid w:val="0011217D"/>
    <w:rPr>
      <w:i/>
      <w:iCs/>
    </w:rPr>
  </w:style>
  <w:style w:type="character" w:styleId="Strong">
    <w:name w:val="Strong"/>
    <w:basedOn w:val="DefaultParagraphFont"/>
    <w:uiPriority w:val="22"/>
    <w:qFormat/>
    <w:rsid w:val="0011217D"/>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209955415">
      <w:bodyDiv w:val="1"/>
      <w:marLeft w:val="0"/>
      <w:marRight w:val="0"/>
      <w:marTop w:val="0"/>
      <w:marBottom w:val="0"/>
      <w:divBdr>
        <w:top w:val="none" w:sz="0" w:space="0" w:color="auto"/>
        <w:left w:val="none" w:sz="0" w:space="0" w:color="auto"/>
        <w:bottom w:val="none" w:sz="0" w:space="0" w:color="auto"/>
        <w:right w:val="none" w:sz="0" w:space="0" w:color="auto"/>
      </w:divBdr>
      <w:divsChild>
        <w:div w:id="1417288814">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TotalTime>
  <Pages>5</Pages>
  <Words>1359</Words>
  <Characters>7749</Characters>
  <Application>Microsoft Office Word</Application>
  <DocSecurity>0</DocSecurity>
  <Lines>64</Lines>
  <Paragraphs>18</Paragraphs>
  <ScaleCrop>false</ScaleCrop>
  <Company/>
  <LinksUpToDate>false</LinksUpToDate>
  <CharactersWithSpaces>9090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TSANG, AGNES H.L. (Student)</dc:creator>
  <cp:keywords/>
  <dc:description/>
  <cp:lastModifiedBy>TSANG, AGNES H.L. (Student)</cp:lastModifiedBy>
  <cp:revision>2</cp:revision>
  <dcterms:created xsi:type="dcterms:W3CDTF">2025-02-26T10:02:00Z</dcterms:created>
  <dcterms:modified xsi:type="dcterms:W3CDTF">2025-02-26T10:07:00Z</dcterms:modified>
</cp:coreProperties>
</file>