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A88523" w14:textId="77777777" w:rsidR="00A3588B" w:rsidRPr="00A3588B" w:rsidRDefault="00A3588B" w:rsidP="00A3588B">
      <w:pPr>
        <w:spacing w:after="240" w:line="360" w:lineRule="auto"/>
        <w:outlineLvl w:val="3"/>
        <w:rPr>
          <w:rFonts w:ascii="Times New Roman" w:hAnsi="Times New Roman"/>
          <w:b/>
          <w:bCs/>
          <w:lang w:val="en-HK"/>
        </w:rPr>
      </w:pPr>
      <w:r w:rsidRPr="00A3588B">
        <w:rPr>
          <w:rFonts w:ascii="Times New Roman" w:hAnsi="Times New Roman"/>
          <w:b/>
          <w:bCs/>
          <w:lang w:val="en-HK"/>
        </w:rPr>
        <w:t>I. Introduction (Page 120)</w:t>
      </w:r>
    </w:p>
    <w:p w14:paraId="2C6F2897" w14:textId="40BE093A" w:rsidR="00A3588B" w:rsidRPr="00A3588B" w:rsidRDefault="00A3588B" w:rsidP="00A3588B">
      <w:pPr>
        <w:spacing w:after="240" w:line="360" w:lineRule="auto"/>
        <w:rPr>
          <w:rFonts w:ascii="Times New Roman" w:hAnsi="Times New Roman"/>
          <w:lang w:val="en-HK"/>
        </w:rPr>
      </w:pPr>
      <w:r w:rsidRPr="00A3588B">
        <w:rPr>
          <w:rFonts w:ascii="Times New Roman" w:hAnsi="Times New Roman"/>
          <w:lang w:val="en-HK"/>
        </w:rPr>
        <w:t xml:space="preserve">The introductory section outlines the article’s objective to </w:t>
      </w:r>
      <w:proofErr w:type="spellStart"/>
      <w:r w:rsidRPr="00A3588B">
        <w:rPr>
          <w:rFonts w:ascii="Times New Roman" w:hAnsi="Times New Roman"/>
          <w:lang w:val="en-HK"/>
        </w:rPr>
        <w:t>analyze</w:t>
      </w:r>
      <w:proofErr w:type="spellEnd"/>
      <w:r w:rsidRPr="00A3588B">
        <w:rPr>
          <w:rFonts w:ascii="Times New Roman" w:hAnsi="Times New Roman"/>
          <w:lang w:val="en-HK"/>
        </w:rPr>
        <w:t xml:space="preserve"> the evolution of renewable electricity support schemes in the European Union (EU) since the late 1990s, focusing on the competition between </w:t>
      </w:r>
      <w:r w:rsidRPr="00A3588B">
        <w:rPr>
          <w:rFonts w:ascii="Times New Roman" w:hAnsi="Times New Roman"/>
          <w:b/>
          <w:bCs/>
          <w:lang w:val="en-HK"/>
        </w:rPr>
        <w:t>feed-in tariffs (FITs) and tradable green certificates (TGCs</w:t>
      </w:r>
      <w:r w:rsidRPr="00A3588B">
        <w:rPr>
          <w:rFonts w:ascii="Times New Roman" w:hAnsi="Times New Roman"/>
          <w:lang w:val="en-HK"/>
        </w:rPr>
        <w:t xml:space="preserve">). It situates this analysis within the context of EU electricity liberalization, initiated by </w:t>
      </w:r>
      <w:r w:rsidRPr="00A3588B">
        <w:rPr>
          <w:rFonts w:ascii="Times New Roman" w:hAnsi="Times New Roman"/>
          <w:i/>
          <w:iCs/>
          <w:lang w:val="en-HK"/>
        </w:rPr>
        <w:t>Directive 96/92/EC</w:t>
      </w:r>
      <w:r w:rsidRPr="00A3588B">
        <w:rPr>
          <w:rFonts w:ascii="Times New Roman" w:hAnsi="Times New Roman"/>
          <w:lang w:val="en-HK"/>
        </w:rPr>
        <w:t xml:space="preserve"> (1996), which aimed to establish a competitive internal electricity market. Lauber highlights two key phases of EU policy: the </w:t>
      </w:r>
      <w:r w:rsidRPr="00A3588B">
        <w:rPr>
          <w:rFonts w:ascii="Times New Roman" w:hAnsi="Times New Roman"/>
          <w:i/>
          <w:iCs/>
          <w:lang w:val="en-HK"/>
        </w:rPr>
        <w:t>Directive 2001/77/EC</w:t>
      </w:r>
      <w:r w:rsidRPr="00A3588B">
        <w:rPr>
          <w:rFonts w:ascii="Times New Roman" w:hAnsi="Times New Roman"/>
          <w:lang w:val="en-HK"/>
        </w:rPr>
        <w:t xml:space="preserve"> (2001), which adopted a neutral stance on support schemes, and </w:t>
      </w:r>
      <w:r w:rsidRPr="00A3588B">
        <w:rPr>
          <w:rFonts w:ascii="Times New Roman" w:hAnsi="Times New Roman"/>
          <w:i/>
          <w:iCs/>
          <w:lang w:val="en-HK"/>
        </w:rPr>
        <w:t>Directive 2009/28/EC</w:t>
      </w:r>
      <w:r w:rsidRPr="00A3588B">
        <w:rPr>
          <w:rFonts w:ascii="Times New Roman" w:hAnsi="Times New Roman"/>
          <w:lang w:val="en-HK"/>
        </w:rPr>
        <w:t xml:space="preserve"> (2009), which resisted harmonization toward TGCs despite Commission advocacy. The section argues that empirical evidence </w:t>
      </w:r>
      <w:proofErr w:type="spellStart"/>
      <w:r w:rsidRPr="00A3588B">
        <w:rPr>
          <w:rFonts w:ascii="Times New Roman" w:hAnsi="Times New Roman"/>
          <w:lang w:val="en-HK"/>
        </w:rPr>
        <w:t>favoring</w:t>
      </w:r>
      <w:proofErr w:type="spellEnd"/>
      <w:r w:rsidRPr="00A3588B">
        <w:rPr>
          <w:rFonts w:ascii="Times New Roman" w:hAnsi="Times New Roman"/>
          <w:lang w:val="en-HK"/>
        </w:rPr>
        <w:t xml:space="preserve"> FITs over TGCs influenced these outcomes, offering lessons for other jurisdictions.</w:t>
      </w:r>
    </w:p>
    <w:p w14:paraId="038E3F87" w14:textId="77777777" w:rsidR="00A3588B" w:rsidRPr="00A3588B" w:rsidRDefault="00A3588B" w:rsidP="00A3588B">
      <w:pPr>
        <w:spacing w:after="240" w:line="360" w:lineRule="auto"/>
        <w:rPr>
          <w:rFonts w:ascii="Times New Roman" w:hAnsi="Times New Roman"/>
          <w:lang w:val="en-HK"/>
        </w:rPr>
      </w:pPr>
      <w:r w:rsidRPr="00A3588B">
        <w:rPr>
          <w:rFonts w:ascii="Times New Roman" w:hAnsi="Times New Roman"/>
          <w:b/>
          <w:bCs/>
          <w:lang w:val="en-HK"/>
        </w:rPr>
        <w:t>Arguments and Context</w:t>
      </w:r>
      <w:r w:rsidRPr="00A3588B">
        <w:rPr>
          <w:rFonts w:ascii="Times New Roman" w:hAnsi="Times New Roman"/>
          <w:lang w:val="en-HK"/>
        </w:rPr>
        <w:t>: Lauber posits that the controversy arose from ideological and interest-driven struggles, exacerbated by electricity liberalization. The Commission initially challenged FITs as incompatible with market principles but faced resistance, leading to compromises. The section promises an examination of scheme performance across metrics like static efficiency, deployment, and innovation, suggesting broader applicability beyond Europe.</w:t>
      </w:r>
    </w:p>
    <w:p w14:paraId="26F46BA4" w14:textId="77777777" w:rsidR="00A3588B" w:rsidRPr="00A3588B" w:rsidRDefault="00A3588B" w:rsidP="00A3588B">
      <w:pPr>
        <w:spacing w:after="240" w:line="360" w:lineRule="auto"/>
        <w:rPr>
          <w:rFonts w:ascii="Times New Roman" w:hAnsi="Times New Roman"/>
          <w:lang w:val="en-HK"/>
        </w:rPr>
      </w:pPr>
      <w:r w:rsidRPr="00A3588B">
        <w:rPr>
          <w:rFonts w:ascii="Times New Roman" w:hAnsi="Times New Roman"/>
          <w:b/>
          <w:bCs/>
          <w:lang w:val="en-HK"/>
        </w:rPr>
        <w:t>Supporting Evidence</w:t>
      </w:r>
      <w:r w:rsidRPr="00A3588B">
        <w:rPr>
          <w:rFonts w:ascii="Times New Roman" w:hAnsi="Times New Roman"/>
          <w:lang w:val="en-HK"/>
        </w:rPr>
        <w:t>: No specific statutes or case law are cited here, but the introduction references the Commission’s White Paper (COM(1997)599) and Working Paper (SEC(1999)470), which shaped early TGC advocacy.</w:t>
      </w:r>
    </w:p>
    <w:p w14:paraId="09D23738" w14:textId="77777777" w:rsidR="00A3588B" w:rsidRPr="00A3588B" w:rsidRDefault="00A3588B" w:rsidP="00A3588B">
      <w:pPr>
        <w:spacing w:after="240" w:line="360" w:lineRule="auto"/>
        <w:ind w:left="720"/>
        <w:rPr>
          <w:rFonts w:ascii="Times New Roman" w:hAnsi="Times New Roman"/>
          <w:lang w:val="en-HK"/>
        </w:rPr>
      </w:pPr>
    </w:p>
    <w:p w14:paraId="609D1225" w14:textId="77777777" w:rsidR="00A3588B" w:rsidRPr="00A3588B" w:rsidRDefault="00A3588B" w:rsidP="00A3588B">
      <w:pPr>
        <w:spacing w:after="240" w:line="360" w:lineRule="auto"/>
        <w:outlineLvl w:val="3"/>
        <w:rPr>
          <w:rFonts w:ascii="Times New Roman" w:hAnsi="Times New Roman"/>
          <w:b/>
          <w:bCs/>
          <w:lang w:val="en-HK"/>
        </w:rPr>
      </w:pPr>
      <w:r w:rsidRPr="00A3588B">
        <w:rPr>
          <w:rFonts w:ascii="Times New Roman" w:hAnsi="Times New Roman"/>
          <w:b/>
          <w:bCs/>
          <w:lang w:val="en-HK"/>
        </w:rPr>
        <w:t>II. The Broader Background (Pages 121-122)</w:t>
      </w:r>
    </w:p>
    <w:p w14:paraId="6C41A4BD" w14:textId="7CFCF374" w:rsidR="00A3588B" w:rsidRPr="00A3588B" w:rsidRDefault="00A3588B" w:rsidP="00A3588B">
      <w:pPr>
        <w:spacing w:after="240" w:line="360" w:lineRule="auto"/>
        <w:rPr>
          <w:rFonts w:ascii="Times New Roman" w:hAnsi="Times New Roman"/>
          <w:b/>
          <w:bCs/>
          <w:lang w:val="en-HK"/>
        </w:rPr>
      </w:pPr>
      <w:r w:rsidRPr="00A3588B">
        <w:rPr>
          <w:rFonts w:ascii="Times New Roman" w:hAnsi="Times New Roman"/>
          <w:lang w:val="en-HK"/>
        </w:rPr>
        <w:t xml:space="preserve">This section provides historical and policy context, noting that fossil and nuclear energy historically received substantial subsidies (e.g., carbon emissions grandfathering until 2013 and nuclear liability exemptions), justifying renewable energy (RE) support for energy security and climate goals. It contrasts early FIT adoption in Denmark, Germany, and Spain with the </w:t>
      </w:r>
      <w:r w:rsidRPr="00A3588B">
        <w:rPr>
          <w:rFonts w:ascii="Times New Roman" w:hAnsi="Times New Roman"/>
          <w:b/>
          <w:bCs/>
          <w:lang w:val="en-HK"/>
        </w:rPr>
        <w:t>UK’s Non-Fossil Fuel Obligation (NFFO).</w:t>
      </w:r>
    </w:p>
    <w:p w14:paraId="6ABB97E5" w14:textId="77777777" w:rsidR="00A3588B" w:rsidRPr="00A3588B" w:rsidRDefault="00A3588B" w:rsidP="00A3588B">
      <w:pPr>
        <w:spacing w:after="240" w:line="360" w:lineRule="auto"/>
        <w:rPr>
          <w:rFonts w:ascii="Times New Roman" w:hAnsi="Times New Roman"/>
          <w:lang w:val="en-HK"/>
        </w:rPr>
      </w:pPr>
      <w:r w:rsidRPr="00A3588B">
        <w:rPr>
          <w:rFonts w:ascii="Times New Roman" w:hAnsi="Times New Roman"/>
          <w:b/>
          <w:bCs/>
          <w:lang w:val="en-HK"/>
        </w:rPr>
        <w:t>FIT Characteristics</w:t>
      </w:r>
      <w:r w:rsidRPr="00A3588B">
        <w:rPr>
          <w:rFonts w:ascii="Times New Roman" w:hAnsi="Times New Roman"/>
          <w:lang w:val="en-HK"/>
        </w:rPr>
        <w:t xml:space="preserve">: FITs obligated utilities to purchase all RE at fixed rates, ensuring stability for developers, with costs passed to consumers. Lauber notes, utilities had to pay </w:t>
      </w:r>
      <w:r w:rsidRPr="00A3588B">
        <w:rPr>
          <w:rFonts w:ascii="Times New Roman" w:hAnsi="Times New Roman"/>
          <w:lang w:val="en-HK"/>
        </w:rPr>
        <w:lastRenderedPageBreak/>
        <w:t>generators a rate defined for a certain period of time by the legislator or the executive, based in particular on the principle of a fair return for a given technology (122). This fostered RE growth in FIT countries, making them equipment production leaders.</w:t>
      </w:r>
    </w:p>
    <w:p w14:paraId="741A2740" w14:textId="77777777" w:rsidR="00A3588B" w:rsidRPr="00A3588B" w:rsidRDefault="00A3588B" w:rsidP="00A3588B">
      <w:pPr>
        <w:spacing w:after="240" w:line="360" w:lineRule="auto"/>
        <w:rPr>
          <w:rFonts w:ascii="Times New Roman" w:hAnsi="Times New Roman"/>
          <w:lang w:val="en-HK"/>
        </w:rPr>
      </w:pPr>
      <w:r w:rsidRPr="00A3588B">
        <w:rPr>
          <w:rFonts w:ascii="Times New Roman" w:hAnsi="Times New Roman"/>
          <w:b/>
          <w:bCs/>
          <w:lang w:val="en-HK"/>
        </w:rPr>
        <w:t>UK’s NFFO</w:t>
      </w:r>
      <w:r w:rsidRPr="00A3588B">
        <w:rPr>
          <w:rFonts w:ascii="Times New Roman" w:hAnsi="Times New Roman"/>
          <w:lang w:val="en-HK"/>
        </w:rPr>
        <w:t xml:space="preserve">: Introduced post-privatization of the Central Electricity Generating Board, the NFFO used competitive auctions to set prices, aiming for market-driven cost reductions. However, Lauber argues, most of the projects of later NFFO rounds were never built (122), citing Mitchell and Connor (2004), due to unrealistically low bids. This created a myth of competitive success, influencing DG Energy’s </w:t>
      </w:r>
      <w:r w:rsidRPr="00A3588B">
        <w:rPr>
          <w:rFonts w:ascii="Times New Roman" w:hAnsi="Times New Roman"/>
          <w:i/>
          <w:iCs/>
          <w:lang w:val="en-HK"/>
        </w:rPr>
        <w:t>White Paper</w:t>
      </w:r>
      <w:r w:rsidRPr="00A3588B">
        <w:rPr>
          <w:rFonts w:ascii="Times New Roman" w:hAnsi="Times New Roman"/>
          <w:lang w:val="en-HK"/>
        </w:rPr>
        <w:t xml:space="preserve"> (1997) and </w:t>
      </w:r>
      <w:r w:rsidRPr="00A3588B">
        <w:rPr>
          <w:rFonts w:ascii="Times New Roman" w:hAnsi="Times New Roman"/>
          <w:i/>
          <w:iCs/>
          <w:lang w:val="en-HK"/>
        </w:rPr>
        <w:t>Working Paper</w:t>
      </w:r>
      <w:r w:rsidRPr="00A3588B">
        <w:rPr>
          <w:rFonts w:ascii="Times New Roman" w:hAnsi="Times New Roman"/>
          <w:lang w:val="en-HK"/>
        </w:rPr>
        <w:t xml:space="preserve"> (1999).</w:t>
      </w:r>
    </w:p>
    <w:p w14:paraId="5D138DAF" w14:textId="77777777" w:rsidR="00A3588B" w:rsidRPr="00A3588B" w:rsidRDefault="00A3588B" w:rsidP="00A3588B">
      <w:pPr>
        <w:spacing w:after="240" w:line="360" w:lineRule="auto"/>
        <w:rPr>
          <w:rFonts w:ascii="Times New Roman" w:hAnsi="Times New Roman"/>
          <w:lang w:val="en-HK"/>
        </w:rPr>
      </w:pPr>
      <w:r w:rsidRPr="00A3588B">
        <w:rPr>
          <w:rFonts w:ascii="Times New Roman" w:hAnsi="Times New Roman"/>
          <w:b/>
          <w:bCs/>
          <w:lang w:val="en-HK"/>
        </w:rPr>
        <w:t>Arguments</w:t>
      </w:r>
      <w:r w:rsidRPr="00A3588B">
        <w:rPr>
          <w:rFonts w:ascii="Times New Roman" w:hAnsi="Times New Roman"/>
          <w:lang w:val="en-HK"/>
        </w:rPr>
        <w:t xml:space="preserve">: FITs succeeded due to regulatory stability, not natural endowments, while NFFO’s focus on competition neglected externalities, undermining deployment. </w:t>
      </w:r>
      <w:proofErr w:type="spellStart"/>
      <w:r w:rsidRPr="00A3588B">
        <w:rPr>
          <w:rFonts w:ascii="Times New Roman" w:hAnsi="Times New Roman"/>
          <w:lang w:val="en-HK"/>
        </w:rPr>
        <w:t>Hirschl</w:t>
      </w:r>
      <w:proofErr w:type="spellEnd"/>
      <w:r w:rsidRPr="00A3588B">
        <w:rPr>
          <w:rFonts w:ascii="Times New Roman" w:hAnsi="Times New Roman"/>
          <w:lang w:val="en-HK"/>
        </w:rPr>
        <w:t xml:space="preserve"> (2008) supports this, emphasizing </w:t>
      </w:r>
      <w:proofErr w:type="spellStart"/>
      <w:r w:rsidRPr="00A3588B">
        <w:rPr>
          <w:rFonts w:ascii="Times New Roman" w:hAnsi="Times New Roman"/>
          <w:lang w:val="en-HK"/>
        </w:rPr>
        <w:t>FITs’</w:t>
      </w:r>
      <w:proofErr w:type="spellEnd"/>
      <w:r w:rsidRPr="00A3588B">
        <w:rPr>
          <w:rFonts w:ascii="Times New Roman" w:hAnsi="Times New Roman"/>
          <w:lang w:val="en-HK"/>
        </w:rPr>
        <w:t xml:space="preserve"> role in multi-level energy policy.</w:t>
      </w:r>
    </w:p>
    <w:p w14:paraId="522F47D8" w14:textId="77777777" w:rsidR="00A3588B" w:rsidRPr="00A3588B" w:rsidRDefault="00A3588B" w:rsidP="00A3588B">
      <w:pPr>
        <w:spacing w:after="240" w:line="360" w:lineRule="auto"/>
        <w:ind w:left="720"/>
        <w:rPr>
          <w:rFonts w:ascii="Times New Roman" w:hAnsi="Times New Roman"/>
          <w:lang w:val="en-HK"/>
        </w:rPr>
      </w:pPr>
    </w:p>
    <w:p w14:paraId="7AE3F811" w14:textId="77777777" w:rsidR="00A3588B" w:rsidRPr="00A3588B" w:rsidRDefault="00A3588B" w:rsidP="00A3588B">
      <w:pPr>
        <w:spacing w:after="240" w:line="360" w:lineRule="auto"/>
        <w:outlineLvl w:val="3"/>
        <w:rPr>
          <w:rFonts w:ascii="Times New Roman" w:hAnsi="Times New Roman"/>
          <w:b/>
          <w:bCs/>
          <w:lang w:val="en-HK"/>
        </w:rPr>
      </w:pPr>
      <w:r w:rsidRPr="00A3588B">
        <w:rPr>
          <w:rFonts w:ascii="Times New Roman" w:hAnsi="Times New Roman"/>
          <w:b/>
          <w:bCs/>
          <w:lang w:val="en-HK"/>
        </w:rPr>
        <w:t>III. Early Development of Main Support Schemes for Renewable Electricity (Pages 122-123)</w:t>
      </w:r>
    </w:p>
    <w:p w14:paraId="0EFB6D4E" w14:textId="23644CBD" w:rsidR="00A3588B" w:rsidRPr="00A3588B" w:rsidRDefault="00A3588B" w:rsidP="00A3588B">
      <w:pPr>
        <w:spacing w:after="240" w:line="360" w:lineRule="auto"/>
        <w:rPr>
          <w:rFonts w:ascii="Times New Roman" w:hAnsi="Times New Roman"/>
          <w:lang w:val="en-HK"/>
        </w:rPr>
      </w:pPr>
      <w:r w:rsidRPr="00A3588B">
        <w:rPr>
          <w:rFonts w:ascii="Times New Roman" w:hAnsi="Times New Roman"/>
          <w:lang w:val="en-HK"/>
        </w:rPr>
        <w:t>This section details the initial deployment of FITs and NFFO, highlighting their regulatory underpinnings and outcomes.</w:t>
      </w:r>
    </w:p>
    <w:p w14:paraId="3DE9F143" w14:textId="77777777" w:rsidR="00A3588B" w:rsidRPr="00A3588B" w:rsidRDefault="00A3588B" w:rsidP="00A3588B">
      <w:pPr>
        <w:spacing w:after="240" w:line="360" w:lineRule="auto"/>
        <w:rPr>
          <w:rFonts w:ascii="Times New Roman" w:hAnsi="Times New Roman"/>
          <w:lang w:val="en-HK"/>
        </w:rPr>
      </w:pPr>
      <w:r w:rsidRPr="00A3588B">
        <w:rPr>
          <w:rFonts w:ascii="Times New Roman" w:hAnsi="Times New Roman"/>
          <w:b/>
          <w:bCs/>
          <w:lang w:val="en-HK"/>
        </w:rPr>
        <w:t>FIT Implementation</w:t>
      </w:r>
      <w:r w:rsidRPr="00A3588B">
        <w:rPr>
          <w:rFonts w:ascii="Times New Roman" w:hAnsi="Times New Roman"/>
          <w:lang w:val="en-HK"/>
        </w:rPr>
        <w:t>: In Denmark, Germany, and Spain, FITs mandated utilities to buy all RE at legislated rates, with costs consumer-funded, sometimes subsidized (e.g., Denmark, Spain). Lauber states, all in all, they created substantial stability and predictability for project developers (122), contrasting this with NFFO’s instability.</w:t>
      </w:r>
    </w:p>
    <w:p w14:paraId="7CA9F3CA" w14:textId="1E0B9899" w:rsidR="00A3588B" w:rsidRPr="00A3588B" w:rsidRDefault="00A3588B" w:rsidP="00A3588B">
      <w:pPr>
        <w:spacing w:after="240" w:line="360" w:lineRule="auto"/>
        <w:rPr>
          <w:rFonts w:ascii="Times New Roman" w:hAnsi="Times New Roman"/>
          <w:lang w:val="en-HK"/>
        </w:rPr>
      </w:pPr>
      <w:r w:rsidRPr="00A3588B">
        <w:rPr>
          <w:rFonts w:ascii="Times New Roman" w:hAnsi="Times New Roman"/>
          <w:b/>
          <w:bCs/>
          <w:lang w:val="en-HK"/>
        </w:rPr>
        <w:t>NFFO and Auction Failures</w:t>
      </w:r>
      <w:r w:rsidRPr="00A3588B">
        <w:rPr>
          <w:rFonts w:ascii="Times New Roman" w:hAnsi="Times New Roman"/>
          <w:lang w:val="en-HK"/>
        </w:rPr>
        <w:t xml:space="preserve">: The UK’s NFFO required suppliers to meet non-fossil quotas via auctioned contracts. Elliott (2005) and Mitchell and Connor (2004) note its competitive ethos led to low bids, but, when prices for wind energy bids declined dramatically over the 1990s, this was interpreted by enthusiasts of the scheme as the triumph of competition (122). Many projects failed, fostering anti-wind sentiment due to poor site selection (Moore, cited in </w:t>
      </w:r>
      <w:proofErr w:type="spellStart"/>
      <w:r w:rsidRPr="00A3588B">
        <w:rPr>
          <w:rFonts w:ascii="Times New Roman" w:hAnsi="Times New Roman"/>
          <w:lang w:val="en-HK"/>
        </w:rPr>
        <w:t>Uhlir</w:t>
      </w:r>
      <w:proofErr w:type="spellEnd"/>
      <w:r w:rsidRPr="00A3588B">
        <w:rPr>
          <w:rFonts w:ascii="Times New Roman" w:hAnsi="Times New Roman"/>
          <w:lang w:val="en-HK"/>
        </w:rPr>
        <w:t>, 2010).</w:t>
      </w:r>
    </w:p>
    <w:p w14:paraId="0B46BB62" w14:textId="77777777" w:rsidR="00A3588B" w:rsidRPr="00A3588B" w:rsidRDefault="00A3588B" w:rsidP="00A3588B">
      <w:pPr>
        <w:spacing w:after="240" w:line="360" w:lineRule="auto"/>
        <w:rPr>
          <w:rFonts w:ascii="Times New Roman" w:hAnsi="Times New Roman"/>
          <w:lang w:val="en-HK"/>
        </w:rPr>
      </w:pPr>
      <w:r w:rsidRPr="00A3588B">
        <w:rPr>
          <w:rFonts w:ascii="Times New Roman" w:hAnsi="Times New Roman"/>
          <w:b/>
          <w:bCs/>
          <w:lang w:val="en-HK"/>
        </w:rPr>
        <w:lastRenderedPageBreak/>
        <w:t>Arguments</w:t>
      </w:r>
      <w:r w:rsidRPr="00A3588B">
        <w:rPr>
          <w:rFonts w:ascii="Times New Roman" w:hAnsi="Times New Roman"/>
          <w:lang w:val="en-HK"/>
        </w:rPr>
        <w:t xml:space="preserve">: </w:t>
      </w:r>
      <w:proofErr w:type="spellStart"/>
      <w:r w:rsidRPr="00A3588B">
        <w:rPr>
          <w:rFonts w:ascii="Times New Roman" w:hAnsi="Times New Roman"/>
          <w:lang w:val="en-HK"/>
        </w:rPr>
        <w:t>FITs’</w:t>
      </w:r>
      <w:proofErr w:type="spellEnd"/>
      <w:r w:rsidRPr="00A3588B">
        <w:rPr>
          <w:rFonts w:ascii="Times New Roman" w:hAnsi="Times New Roman"/>
          <w:lang w:val="en-HK"/>
        </w:rPr>
        <w:t xml:space="preserve"> guaranteed off-take and pricing outperformed NFFO’s market-driven approach, which prioritized short-term cost over deployment. The section critiques DG Energy’s adoption of NFFO as a model, per </w:t>
      </w:r>
      <w:r w:rsidRPr="00A3588B">
        <w:rPr>
          <w:rFonts w:ascii="Times New Roman" w:hAnsi="Times New Roman"/>
          <w:i/>
          <w:iCs/>
          <w:lang w:val="en-HK"/>
        </w:rPr>
        <w:t>SEC(1999)470</w:t>
      </w:r>
      <w:r w:rsidRPr="00A3588B">
        <w:rPr>
          <w:rFonts w:ascii="Times New Roman" w:hAnsi="Times New Roman"/>
          <w:lang w:val="en-HK"/>
        </w:rPr>
        <w:t>.</w:t>
      </w:r>
    </w:p>
    <w:p w14:paraId="338F54B3" w14:textId="77777777" w:rsidR="00A3588B" w:rsidRPr="00A3588B" w:rsidRDefault="00A3588B" w:rsidP="00A3588B">
      <w:pPr>
        <w:spacing w:after="240" w:line="360" w:lineRule="auto"/>
        <w:ind w:left="720"/>
        <w:rPr>
          <w:rFonts w:ascii="Times New Roman" w:hAnsi="Times New Roman"/>
          <w:lang w:val="en-HK"/>
        </w:rPr>
      </w:pPr>
    </w:p>
    <w:p w14:paraId="1CB1366A" w14:textId="77777777" w:rsidR="00A3588B" w:rsidRPr="00A3588B" w:rsidRDefault="00A3588B" w:rsidP="00A3588B">
      <w:pPr>
        <w:spacing w:after="240" w:line="360" w:lineRule="auto"/>
        <w:outlineLvl w:val="3"/>
        <w:rPr>
          <w:rFonts w:ascii="Times New Roman" w:hAnsi="Times New Roman"/>
          <w:b/>
          <w:bCs/>
          <w:lang w:val="en-HK"/>
        </w:rPr>
      </w:pPr>
      <w:r w:rsidRPr="00A3588B">
        <w:rPr>
          <w:rFonts w:ascii="Times New Roman" w:hAnsi="Times New Roman"/>
          <w:b/>
          <w:bCs/>
          <w:lang w:val="en-HK"/>
        </w:rPr>
        <w:t>IV. The European Commission Favours TGC Early On (Pages 123-125)</w:t>
      </w:r>
    </w:p>
    <w:p w14:paraId="5A046D16" w14:textId="77B8A755" w:rsidR="00A3588B" w:rsidRPr="00A3588B" w:rsidRDefault="00A3588B" w:rsidP="00A3588B">
      <w:pPr>
        <w:spacing w:after="240" w:line="360" w:lineRule="auto"/>
        <w:rPr>
          <w:rFonts w:ascii="Times New Roman" w:hAnsi="Times New Roman"/>
          <w:lang w:val="en-HK"/>
        </w:rPr>
      </w:pPr>
      <w:r w:rsidRPr="00A3588B">
        <w:rPr>
          <w:rFonts w:ascii="Times New Roman" w:hAnsi="Times New Roman"/>
          <w:lang w:val="en-HK"/>
        </w:rPr>
        <w:t>This section explores the Commission’s early preference for TGCs post-</w:t>
      </w:r>
      <w:r w:rsidRPr="00A3588B">
        <w:rPr>
          <w:rFonts w:ascii="Times New Roman" w:hAnsi="Times New Roman"/>
          <w:i/>
          <w:iCs/>
          <w:lang w:val="en-HK"/>
        </w:rPr>
        <w:t>Directive 96/92/EC</w:t>
      </w:r>
      <w:r w:rsidRPr="00A3588B">
        <w:rPr>
          <w:rFonts w:ascii="Times New Roman" w:hAnsi="Times New Roman"/>
          <w:lang w:val="en-HK"/>
        </w:rPr>
        <w:t>, challenging FITs as market-incompatible, and the resulting legal and policy conflicts.</w:t>
      </w:r>
    </w:p>
    <w:p w14:paraId="1A7C368C" w14:textId="77777777" w:rsidR="00A3588B" w:rsidRPr="00A3588B" w:rsidRDefault="00A3588B" w:rsidP="00A3588B">
      <w:pPr>
        <w:spacing w:after="240" w:line="360" w:lineRule="auto"/>
        <w:rPr>
          <w:rFonts w:ascii="Times New Roman" w:hAnsi="Times New Roman"/>
          <w:lang w:val="en-HK"/>
        </w:rPr>
      </w:pPr>
      <w:r w:rsidRPr="00A3588B">
        <w:rPr>
          <w:rFonts w:ascii="Times New Roman" w:hAnsi="Times New Roman"/>
          <w:b/>
          <w:bCs/>
          <w:lang w:val="en-HK"/>
        </w:rPr>
        <w:t>TGC Mechanism</w:t>
      </w:r>
      <w:r w:rsidRPr="00A3588B">
        <w:rPr>
          <w:rFonts w:ascii="Times New Roman" w:hAnsi="Times New Roman"/>
          <w:lang w:val="en-HK"/>
        </w:rPr>
        <w:t xml:space="preserve">: TGCs involved quotas, certificate trading, and penalties, offering dual revenue streams (electricity sales and certificates). Lauber outlines, generators of renewable electricity, thus, had two revenue streams: from the sales of electricity at going market prices and from the sale of certificates (124). DG Energy, via </w:t>
      </w:r>
      <w:r w:rsidRPr="00A3588B">
        <w:rPr>
          <w:rFonts w:ascii="Times New Roman" w:hAnsi="Times New Roman"/>
          <w:i/>
          <w:iCs/>
          <w:lang w:val="en-HK"/>
        </w:rPr>
        <w:t>SEC(1999)470</w:t>
      </w:r>
      <w:r w:rsidRPr="00A3588B">
        <w:rPr>
          <w:rFonts w:ascii="Times New Roman" w:hAnsi="Times New Roman"/>
          <w:lang w:val="en-HK"/>
        </w:rPr>
        <w:t>, argued TGCs enhanced static and dynamic efficiency.</w:t>
      </w:r>
    </w:p>
    <w:p w14:paraId="502D993A" w14:textId="30E34935" w:rsidR="00A3588B" w:rsidRPr="00A3588B" w:rsidRDefault="00A3588B" w:rsidP="00A3588B">
      <w:pPr>
        <w:spacing w:after="240" w:line="360" w:lineRule="auto"/>
        <w:rPr>
          <w:rFonts w:ascii="Times New Roman" w:hAnsi="Times New Roman"/>
          <w:lang w:val="en-HK"/>
        </w:rPr>
      </w:pPr>
      <w:r w:rsidRPr="00A3588B">
        <w:rPr>
          <w:rFonts w:ascii="Times New Roman" w:hAnsi="Times New Roman"/>
          <w:b/>
          <w:bCs/>
          <w:lang w:val="en-HK"/>
        </w:rPr>
        <w:t>FIT Challenge</w:t>
      </w:r>
      <w:r w:rsidRPr="00A3588B">
        <w:rPr>
          <w:rFonts w:ascii="Times New Roman" w:hAnsi="Times New Roman"/>
          <w:lang w:val="en-HK"/>
        </w:rPr>
        <w:t xml:space="preserve">: German utilities contested the </w:t>
      </w:r>
      <w:r w:rsidRPr="00A3588B">
        <w:rPr>
          <w:rFonts w:ascii="Times New Roman" w:hAnsi="Times New Roman"/>
          <w:i/>
          <w:iCs/>
          <w:lang w:val="en-HK"/>
        </w:rPr>
        <w:t>Feed-in Law of 1990</w:t>
      </w:r>
      <w:r w:rsidRPr="00A3588B">
        <w:rPr>
          <w:rFonts w:ascii="Times New Roman" w:hAnsi="Times New Roman"/>
          <w:lang w:val="en-HK"/>
        </w:rPr>
        <w:t xml:space="preserve"> as state aid, prompting DG Competition’s review. In </w:t>
      </w:r>
      <w:r w:rsidRPr="00A3588B">
        <w:rPr>
          <w:rFonts w:ascii="Times New Roman" w:hAnsi="Times New Roman"/>
          <w:i/>
          <w:iCs/>
          <w:lang w:val="en-HK"/>
        </w:rPr>
        <w:t xml:space="preserve">Case C-379/98, </w:t>
      </w:r>
      <w:proofErr w:type="spellStart"/>
      <w:r w:rsidRPr="00A3588B">
        <w:rPr>
          <w:rFonts w:ascii="Times New Roman" w:hAnsi="Times New Roman"/>
          <w:i/>
          <w:iCs/>
          <w:lang w:val="en-HK"/>
        </w:rPr>
        <w:t>PreussenElektra</w:t>
      </w:r>
      <w:proofErr w:type="spellEnd"/>
      <w:r w:rsidRPr="00A3588B">
        <w:rPr>
          <w:rFonts w:ascii="Times New Roman" w:hAnsi="Times New Roman"/>
          <w:i/>
          <w:iCs/>
          <w:lang w:val="en-HK"/>
        </w:rPr>
        <w:t xml:space="preserve"> AG v. </w:t>
      </w:r>
      <w:proofErr w:type="spellStart"/>
      <w:r w:rsidRPr="00A3588B">
        <w:rPr>
          <w:rFonts w:ascii="Times New Roman" w:hAnsi="Times New Roman"/>
          <w:i/>
          <w:iCs/>
          <w:lang w:val="en-HK"/>
        </w:rPr>
        <w:t>Schleswag</w:t>
      </w:r>
      <w:proofErr w:type="spellEnd"/>
      <w:r w:rsidRPr="00A3588B">
        <w:rPr>
          <w:rFonts w:ascii="Times New Roman" w:hAnsi="Times New Roman"/>
          <w:i/>
          <w:iCs/>
          <w:lang w:val="en-HK"/>
        </w:rPr>
        <w:t xml:space="preserve"> AG</w:t>
      </w:r>
      <w:r w:rsidRPr="00A3588B">
        <w:rPr>
          <w:rFonts w:ascii="Times New Roman" w:hAnsi="Times New Roman"/>
          <w:lang w:val="en-HK"/>
        </w:rPr>
        <w:t xml:space="preserve"> (2001, ECR I-02099), the European Court ruled FITs were not state aid, as costs were consumer-funded, not state-subsidized. Advocate General Jacobs’ opinion supported this (123), solidifying FIT legality.</w:t>
      </w:r>
    </w:p>
    <w:p w14:paraId="76BFB35B" w14:textId="77777777" w:rsidR="00A3588B" w:rsidRPr="00A3588B" w:rsidRDefault="00A3588B" w:rsidP="00A3588B">
      <w:pPr>
        <w:spacing w:after="240" w:line="360" w:lineRule="auto"/>
        <w:rPr>
          <w:rFonts w:ascii="Times New Roman" w:hAnsi="Times New Roman"/>
          <w:lang w:val="en-HK"/>
        </w:rPr>
      </w:pPr>
      <w:r w:rsidRPr="00A3588B">
        <w:rPr>
          <w:rFonts w:ascii="Times New Roman" w:hAnsi="Times New Roman"/>
          <w:b/>
          <w:bCs/>
          <w:lang w:val="en-HK"/>
        </w:rPr>
        <w:t>Policy Shift</w:t>
      </w:r>
      <w:r w:rsidRPr="00A3588B">
        <w:rPr>
          <w:rFonts w:ascii="Times New Roman" w:hAnsi="Times New Roman"/>
          <w:lang w:val="en-HK"/>
        </w:rPr>
        <w:t xml:space="preserve">: DG Energy’s harmonization push faltered. </w:t>
      </w:r>
      <w:r w:rsidRPr="00A3588B">
        <w:rPr>
          <w:rFonts w:ascii="Times New Roman" w:hAnsi="Times New Roman"/>
          <w:i/>
          <w:iCs/>
          <w:lang w:val="en-HK"/>
        </w:rPr>
        <w:t>Directive 2001/77/EC</w:t>
      </w:r>
      <w:r w:rsidRPr="00A3588B">
        <w:rPr>
          <w:rFonts w:ascii="Times New Roman" w:hAnsi="Times New Roman"/>
          <w:lang w:val="en-HK"/>
        </w:rPr>
        <w:t xml:space="preserve"> (OJ 2001 L 263/33), Art. 4, left support schemes to Member States, stating in its preamble, the experience necessary for such a decision was still lacking (124). A 2005 report (</w:t>
      </w:r>
      <w:r w:rsidRPr="00A3588B">
        <w:rPr>
          <w:rFonts w:ascii="Times New Roman" w:hAnsi="Times New Roman"/>
          <w:i/>
          <w:iCs/>
          <w:lang w:val="en-HK"/>
        </w:rPr>
        <w:t>COM(2005)627</w:t>
      </w:r>
      <w:r w:rsidRPr="00A3588B">
        <w:rPr>
          <w:rFonts w:ascii="Times New Roman" w:hAnsi="Times New Roman"/>
          <w:lang w:val="en-HK"/>
        </w:rPr>
        <w:t>) delayed harmonization, noting TGC underperformance.</w:t>
      </w:r>
    </w:p>
    <w:p w14:paraId="25C11BA4" w14:textId="4220934C" w:rsidR="00A3588B" w:rsidRPr="00A3588B" w:rsidRDefault="00A3588B" w:rsidP="00A3588B">
      <w:pPr>
        <w:spacing w:after="240" w:line="360" w:lineRule="auto"/>
        <w:rPr>
          <w:rFonts w:ascii="Times New Roman" w:hAnsi="Times New Roman"/>
          <w:lang w:val="en-HK"/>
        </w:rPr>
      </w:pPr>
      <w:r w:rsidRPr="00A3588B">
        <w:rPr>
          <w:rFonts w:ascii="Times New Roman" w:hAnsi="Times New Roman"/>
          <w:b/>
          <w:bCs/>
          <w:lang w:val="en-HK"/>
        </w:rPr>
        <w:t>Arguments</w:t>
      </w:r>
      <w:r w:rsidRPr="00A3588B">
        <w:rPr>
          <w:rFonts w:ascii="Times New Roman" w:hAnsi="Times New Roman"/>
          <w:lang w:val="en-HK"/>
        </w:rPr>
        <w:t xml:space="preserve">: Lauber and </w:t>
      </w:r>
      <w:proofErr w:type="spellStart"/>
      <w:r w:rsidRPr="00A3588B">
        <w:rPr>
          <w:rFonts w:ascii="Times New Roman" w:hAnsi="Times New Roman"/>
          <w:lang w:val="en-HK"/>
        </w:rPr>
        <w:t>Schenner</w:t>
      </w:r>
      <w:proofErr w:type="spellEnd"/>
      <w:r w:rsidRPr="00A3588B">
        <w:rPr>
          <w:rFonts w:ascii="Times New Roman" w:hAnsi="Times New Roman"/>
          <w:lang w:val="en-HK"/>
        </w:rPr>
        <w:t xml:space="preserve"> (2009) argue the Commission overstepped sovereignty, while FIT advocates leveraged deployment evidence. TGC adoption (e.g., UK’s Renewables Obligation) showed mixed results, per </w:t>
      </w:r>
      <w:r w:rsidRPr="00A3588B">
        <w:rPr>
          <w:rFonts w:ascii="Times New Roman" w:hAnsi="Times New Roman"/>
          <w:i/>
          <w:iCs/>
          <w:lang w:val="en-HK"/>
        </w:rPr>
        <w:t>COM(2005)627</w:t>
      </w:r>
      <w:r w:rsidRPr="00A3588B">
        <w:rPr>
          <w:rFonts w:ascii="Times New Roman" w:hAnsi="Times New Roman"/>
          <w:lang w:val="en-HK"/>
        </w:rPr>
        <w:t>.</w:t>
      </w:r>
    </w:p>
    <w:p w14:paraId="7C4E263C" w14:textId="77777777" w:rsidR="00A3588B" w:rsidRPr="00A3588B" w:rsidRDefault="00A3588B" w:rsidP="00A3588B">
      <w:pPr>
        <w:spacing w:after="240" w:line="360" w:lineRule="auto"/>
        <w:ind w:left="720"/>
        <w:rPr>
          <w:rFonts w:ascii="Times New Roman" w:hAnsi="Times New Roman"/>
          <w:lang w:val="en-HK"/>
        </w:rPr>
      </w:pPr>
    </w:p>
    <w:p w14:paraId="5D1DCCD2" w14:textId="77777777" w:rsidR="00A3588B" w:rsidRPr="00A3588B" w:rsidRDefault="00A3588B" w:rsidP="00A3588B">
      <w:pPr>
        <w:spacing w:after="240" w:line="360" w:lineRule="auto"/>
        <w:outlineLvl w:val="3"/>
        <w:rPr>
          <w:rFonts w:ascii="Times New Roman" w:hAnsi="Times New Roman"/>
          <w:b/>
          <w:bCs/>
          <w:lang w:val="en-HK"/>
        </w:rPr>
      </w:pPr>
      <w:r w:rsidRPr="00A3588B">
        <w:rPr>
          <w:rFonts w:ascii="Times New Roman" w:hAnsi="Times New Roman"/>
          <w:b/>
          <w:bCs/>
          <w:lang w:val="en-HK"/>
        </w:rPr>
        <w:t>V. The EU’s Energy and Climate Package (Pages 125-126)</w:t>
      </w:r>
    </w:p>
    <w:p w14:paraId="62DC45AB" w14:textId="383EE27C" w:rsidR="00A3588B" w:rsidRPr="00A3588B" w:rsidRDefault="00A3588B" w:rsidP="00A3588B">
      <w:pPr>
        <w:spacing w:after="240" w:line="360" w:lineRule="auto"/>
        <w:rPr>
          <w:rFonts w:ascii="Times New Roman" w:hAnsi="Times New Roman"/>
          <w:lang w:val="en-HK"/>
        </w:rPr>
      </w:pPr>
      <w:r w:rsidRPr="00A3588B">
        <w:rPr>
          <w:rFonts w:ascii="Times New Roman" w:hAnsi="Times New Roman"/>
          <w:lang w:val="en-HK"/>
        </w:rPr>
        <w:lastRenderedPageBreak/>
        <w:t xml:space="preserve">This section examines the 2007-2008 debate over </w:t>
      </w:r>
      <w:r w:rsidRPr="00A3588B">
        <w:rPr>
          <w:rFonts w:ascii="Times New Roman" w:hAnsi="Times New Roman"/>
          <w:i/>
          <w:iCs/>
          <w:lang w:val="en-HK"/>
        </w:rPr>
        <w:t>Directive 2009/28/EC</w:t>
      </w:r>
      <w:r w:rsidRPr="00A3588B">
        <w:rPr>
          <w:rFonts w:ascii="Times New Roman" w:hAnsi="Times New Roman"/>
          <w:lang w:val="en-HK"/>
        </w:rPr>
        <w:t xml:space="preserve"> and the Commission’s Guarantees of Origin (GOs) proposal within the “20-20-20 by 2020” framework.</w:t>
      </w:r>
    </w:p>
    <w:p w14:paraId="6BA51BC1" w14:textId="77777777" w:rsidR="00A3588B" w:rsidRPr="00A3588B" w:rsidRDefault="00A3588B" w:rsidP="00A3588B">
      <w:pPr>
        <w:spacing w:after="240" w:line="360" w:lineRule="auto"/>
        <w:rPr>
          <w:rFonts w:ascii="Times New Roman" w:hAnsi="Times New Roman"/>
          <w:lang w:val="en-HK"/>
        </w:rPr>
      </w:pPr>
      <w:r w:rsidRPr="00A3588B">
        <w:rPr>
          <w:rFonts w:ascii="Times New Roman" w:hAnsi="Times New Roman"/>
          <w:b/>
          <w:bCs/>
          <w:lang w:val="en-HK"/>
        </w:rPr>
        <w:t>GO Proposal</w:t>
      </w:r>
      <w:r w:rsidRPr="00A3588B">
        <w:rPr>
          <w:rFonts w:ascii="Times New Roman" w:hAnsi="Times New Roman"/>
          <w:lang w:val="en-HK"/>
        </w:rPr>
        <w:t xml:space="preserve">: </w:t>
      </w:r>
      <w:r w:rsidRPr="00A3588B">
        <w:rPr>
          <w:rFonts w:ascii="Times New Roman" w:hAnsi="Times New Roman"/>
          <w:b/>
          <w:bCs/>
          <w:color w:val="FF0000"/>
          <w:lang w:val="en-HK"/>
        </w:rPr>
        <w:t>GOs aimed to enable RE trading among Member States, reducing costs.</w:t>
      </w:r>
      <w:r w:rsidRPr="00A3588B">
        <w:rPr>
          <w:rFonts w:ascii="Times New Roman" w:hAnsi="Times New Roman"/>
          <w:color w:val="FF0000"/>
          <w:lang w:val="en-HK"/>
        </w:rPr>
        <w:t xml:space="preserve"> </w:t>
      </w:r>
      <w:r w:rsidRPr="00A3588B">
        <w:rPr>
          <w:rFonts w:ascii="Times New Roman" w:hAnsi="Times New Roman"/>
          <w:lang w:val="en-HK"/>
        </w:rPr>
        <w:t>Lauber notes, the Commission pointed out that the new certificates… would only serve the purpose of allowing Member States with limited access to RE resources to reach the RE targets (125). The UK supported this, despite abundant RE potential.</w:t>
      </w:r>
    </w:p>
    <w:p w14:paraId="3F603605" w14:textId="77777777" w:rsidR="00A3588B" w:rsidRPr="00A3588B" w:rsidRDefault="00A3588B" w:rsidP="00A3588B">
      <w:pPr>
        <w:spacing w:after="240" w:line="360" w:lineRule="auto"/>
        <w:rPr>
          <w:rFonts w:ascii="Times New Roman" w:hAnsi="Times New Roman"/>
          <w:lang w:val="en-HK"/>
        </w:rPr>
      </w:pPr>
      <w:r w:rsidRPr="00A3588B">
        <w:rPr>
          <w:rFonts w:ascii="Times New Roman" w:hAnsi="Times New Roman"/>
          <w:b/>
          <w:bCs/>
          <w:lang w:val="en-HK"/>
        </w:rPr>
        <w:t>Opposition</w:t>
      </w:r>
      <w:r w:rsidRPr="00A3588B">
        <w:rPr>
          <w:rFonts w:ascii="Times New Roman" w:hAnsi="Times New Roman"/>
          <w:b/>
          <w:bCs/>
          <w:color w:val="FF0000"/>
          <w:lang w:val="en-HK"/>
        </w:rPr>
        <w:t xml:space="preserve">: FIT countries (e.g., Germany) feared GO exports would undermine domestic targets, per Lauber and </w:t>
      </w:r>
      <w:proofErr w:type="spellStart"/>
      <w:r w:rsidRPr="00A3588B">
        <w:rPr>
          <w:rFonts w:ascii="Times New Roman" w:hAnsi="Times New Roman"/>
          <w:b/>
          <w:bCs/>
          <w:color w:val="FF0000"/>
          <w:lang w:val="en-HK"/>
        </w:rPr>
        <w:t>Schenner</w:t>
      </w:r>
      <w:proofErr w:type="spellEnd"/>
      <w:r w:rsidRPr="00A3588B">
        <w:rPr>
          <w:rFonts w:ascii="Times New Roman" w:hAnsi="Times New Roman"/>
          <w:b/>
          <w:bCs/>
          <w:color w:val="FF0000"/>
          <w:lang w:val="en-HK"/>
        </w:rPr>
        <w:t xml:space="preserve"> (2009). </w:t>
      </w:r>
      <w:r w:rsidRPr="00A3588B">
        <w:rPr>
          <w:rFonts w:ascii="Times New Roman" w:hAnsi="Times New Roman"/>
          <w:lang w:val="en-HK"/>
        </w:rPr>
        <w:t xml:space="preserve">Parliament’s rapporteur Claude </w:t>
      </w:r>
      <w:proofErr w:type="spellStart"/>
      <w:r w:rsidRPr="00A3588B">
        <w:rPr>
          <w:rFonts w:ascii="Times New Roman" w:hAnsi="Times New Roman"/>
          <w:lang w:val="en-HK"/>
        </w:rPr>
        <w:t>Turmes</w:t>
      </w:r>
      <w:proofErr w:type="spellEnd"/>
      <w:r w:rsidRPr="00A3588B">
        <w:rPr>
          <w:rFonts w:ascii="Times New Roman" w:hAnsi="Times New Roman"/>
          <w:lang w:val="en-HK"/>
        </w:rPr>
        <w:t xml:space="preserve"> proposed “non-trading flexibility” (statistical transfers, joint investments), adopted in </w:t>
      </w:r>
      <w:r w:rsidRPr="00A3588B">
        <w:rPr>
          <w:rFonts w:ascii="Times New Roman" w:hAnsi="Times New Roman"/>
          <w:i/>
          <w:iCs/>
          <w:lang w:val="en-HK"/>
        </w:rPr>
        <w:t>Directive 2009/28/EC</w:t>
      </w:r>
      <w:r w:rsidRPr="00A3588B">
        <w:rPr>
          <w:rFonts w:ascii="Times New Roman" w:hAnsi="Times New Roman"/>
          <w:lang w:val="en-HK"/>
        </w:rPr>
        <w:t xml:space="preserve"> (OJ 2009 L 143/16), allowing states to restrict GO trade.</w:t>
      </w:r>
    </w:p>
    <w:p w14:paraId="082C5A18" w14:textId="77777777" w:rsidR="00A3588B" w:rsidRPr="00A3588B" w:rsidRDefault="00A3588B" w:rsidP="00A3588B">
      <w:pPr>
        <w:spacing w:after="240" w:line="360" w:lineRule="auto"/>
        <w:rPr>
          <w:rFonts w:ascii="Times New Roman" w:hAnsi="Times New Roman"/>
          <w:lang w:val="en-HK"/>
        </w:rPr>
      </w:pPr>
      <w:r w:rsidRPr="00A3588B">
        <w:rPr>
          <w:rFonts w:ascii="Times New Roman" w:hAnsi="Times New Roman"/>
          <w:b/>
          <w:bCs/>
          <w:lang w:val="en-HK"/>
        </w:rPr>
        <w:t>Arguments</w:t>
      </w:r>
      <w:r w:rsidRPr="00A3588B">
        <w:rPr>
          <w:rFonts w:ascii="Times New Roman" w:hAnsi="Times New Roman"/>
          <w:lang w:val="en-HK"/>
        </w:rPr>
        <w:t>: Evidence of TGC flaws (</w:t>
      </w:r>
      <w:r w:rsidRPr="00A3588B">
        <w:rPr>
          <w:rFonts w:ascii="Times New Roman" w:hAnsi="Times New Roman"/>
          <w:i/>
          <w:iCs/>
          <w:lang w:val="en-HK"/>
        </w:rPr>
        <w:t>SEC(2008)57</w:t>
      </w:r>
      <w:r w:rsidRPr="00A3588B">
        <w:rPr>
          <w:rFonts w:ascii="Times New Roman" w:hAnsi="Times New Roman"/>
          <w:lang w:val="en-HK"/>
        </w:rPr>
        <w:t>) and incumbent lobbying (</w:t>
      </w:r>
      <w:proofErr w:type="spellStart"/>
      <w:r w:rsidRPr="00A3588B">
        <w:rPr>
          <w:rFonts w:ascii="Times New Roman" w:hAnsi="Times New Roman"/>
          <w:lang w:val="en-HK"/>
        </w:rPr>
        <w:t>Eurelectric</w:t>
      </w:r>
      <w:proofErr w:type="spellEnd"/>
      <w:r w:rsidRPr="00A3588B">
        <w:rPr>
          <w:rFonts w:ascii="Times New Roman" w:hAnsi="Times New Roman"/>
          <w:lang w:val="en-HK"/>
        </w:rPr>
        <w:t>) for GOs, risking €30 billion in windfall profits (</w:t>
      </w:r>
      <w:proofErr w:type="spellStart"/>
      <w:r w:rsidRPr="00A3588B">
        <w:rPr>
          <w:rFonts w:ascii="Times New Roman" w:hAnsi="Times New Roman"/>
          <w:lang w:val="en-HK"/>
        </w:rPr>
        <w:t>Ragwitz</w:t>
      </w:r>
      <w:proofErr w:type="spellEnd"/>
      <w:r w:rsidRPr="00A3588B">
        <w:rPr>
          <w:rFonts w:ascii="Times New Roman" w:hAnsi="Times New Roman"/>
          <w:lang w:val="en-HK"/>
        </w:rPr>
        <w:t>, 2008), swayed Parliament and Council against harmonization.</w:t>
      </w:r>
    </w:p>
    <w:p w14:paraId="28890A1C" w14:textId="77777777" w:rsidR="00A3588B" w:rsidRPr="00A3588B" w:rsidRDefault="00A3588B" w:rsidP="00A3588B">
      <w:pPr>
        <w:spacing w:after="240" w:line="360" w:lineRule="auto"/>
        <w:ind w:left="720"/>
        <w:rPr>
          <w:rFonts w:ascii="Times New Roman" w:hAnsi="Times New Roman"/>
          <w:lang w:val="en-HK"/>
        </w:rPr>
      </w:pPr>
    </w:p>
    <w:p w14:paraId="2C55A146" w14:textId="77777777" w:rsidR="00A3588B" w:rsidRPr="00A3588B" w:rsidRDefault="00A3588B" w:rsidP="00A3588B">
      <w:pPr>
        <w:spacing w:after="240" w:line="360" w:lineRule="auto"/>
        <w:outlineLvl w:val="3"/>
        <w:rPr>
          <w:rFonts w:ascii="Times New Roman" w:hAnsi="Times New Roman"/>
          <w:b/>
          <w:bCs/>
          <w:lang w:val="en-HK"/>
        </w:rPr>
      </w:pPr>
      <w:r w:rsidRPr="00A3588B">
        <w:rPr>
          <w:rFonts w:ascii="Times New Roman" w:hAnsi="Times New Roman"/>
          <w:b/>
          <w:bCs/>
          <w:lang w:val="en-HK"/>
        </w:rPr>
        <w:t>VI. Empirical Results of FIT v. TGC (Pages 126-131)</w:t>
      </w:r>
    </w:p>
    <w:p w14:paraId="0397B744" w14:textId="29D27F34" w:rsidR="00A3588B" w:rsidRPr="00A3588B" w:rsidRDefault="00A3588B" w:rsidP="00A3588B">
      <w:pPr>
        <w:spacing w:after="240" w:line="360" w:lineRule="auto"/>
        <w:rPr>
          <w:rFonts w:ascii="Times New Roman" w:hAnsi="Times New Roman"/>
          <w:lang w:val="en-HK"/>
        </w:rPr>
      </w:pPr>
      <w:r w:rsidRPr="00A3588B">
        <w:rPr>
          <w:rFonts w:ascii="Times New Roman" w:hAnsi="Times New Roman"/>
          <w:lang w:val="en-HK"/>
        </w:rPr>
        <w:t xml:space="preserve">This section compares FITs and TGCs across five criteria, using empirical data from </w:t>
      </w:r>
      <w:r w:rsidRPr="00A3588B">
        <w:rPr>
          <w:rFonts w:ascii="Times New Roman" w:hAnsi="Times New Roman"/>
          <w:i/>
          <w:iCs/>
          <w:lang w:val="en-HK"/>
        </w:rPr>
        <w:t>COM(2005)627</w:t>
      </w:r>
      <w:r w:rsidRPr="00A3588B">
        <w:rPr>
          <w:rFonts w:ascii="Times New Roman" w:hAnsi="Times New Roman"/>
          <w:lang w:val="en-HK"/>
        </w:rPr>
        <w:t xml:space="preserve"> and </w:t>
      </w:r>
      <w:r w:rsidRPr="00A3588B">
        <w:rPr>
          <w:rFonts w:ascii="Times New Roman" w:hAnsi="Times New Roman"/>
          <w:i/>
          <w:iCs/>
          <w:lang w:val="en-HK"/>
        </w:rPr>
        <w:t>SEC(2008)57</w:t>
      </w:r>
      <w:r w:rsidRPr="00A3588B">
        <w:rPr>
          <w:rFonts w:ascii="Times New Roman" w:hAnsi="Times New Roman"/>
          <w:lang w:val="en-HK"/>
        </w:rPr>
        <w:t>.</w:t>
      </w:r>
    </w:p>
    <w:p w14:paraId="6E5E6F49" w14:textId="77777777" w:rsidR="00A3588B" w:rsidRPr="00A3588B" w:rsidRDefault="00A3588B" w:rsidP="00A3588B">
      <w:pPr>
        <w:spacing w:after="240" w:line="360" w:lineRule="auto"/>
        <w:rPr>
          <w:rFonts w:ascii="Times New Roman" w:hAnsi="Times New Roman"/>
          <w:lang w:val="en-HK"/>
        </w:rPr>
      </w:pPr>
      <w:r w:rsidRPr="00A3588B">
        <w:rPr>
          <w:rFonts w:ascii="Times New Roman" w:hAnsi="Times New Roman"/>
          <w:b/>
          <w:bCs/>
          <w:lang w:val="en-HK"/>
        </w:rPr>
        <w:t>1. Prices and Competition ("Static Efficiency")</w:t>
      </w:r>
      <w:r w:rsidRPr="00A3588B">
        <w:rPr>
          <w:rFonts w:ascii="Times New Roman" w:hAnsi="Times New Roman"/>
          <w:lang w:val="en-HK"/>
        </w:rPr>
        <w:t>:</w:t>
      </w:r>
    </w:p>
    <w:p w14:paraId="37E03D94" w14:textId="77777777" w:rsidR="00A3588B" w:rsidRPr="00A3588B" w:rsidRDefault="00A3588B" w:rsidP="00A3588B">
      <w:pPr>
        <w:spacing w:after="240" w:line="360" w:lineRule="auto"/>
        <w:rPr>
          <w:rFonts w:ascii="Times New Roman" w:hAnsi="Times New Roman"/>
          <w:lang w:val="en-HK"/>
        </w:rPr>
      </w:pPr>
      <w:r w:rsidRPr="00A3588B">
        <w:rPr>
          <w:rFonts w:ascii="Times New Roman" w:hAnsi="Times New Roman"/>
          <w:b/>
          <w:bCs/>
          <w:lang w:val="en-HK"/>
        </w:rPr>
        <w:t>TGC Claim</w:t>
      </w:r>
      <w:r w:rsidRPr="00A3588B">
        <w:rPr>
          <w:rFonts w:ascii="Times New Roman" w:hAnsi="Times New Roman"/>
          <w:lang w:val="en-HK"/>
        </w:rPr>
        <w:t>: DG Energy (1999) predicted lower prices via competition (</w:t>
      </w:r>
      <w:r w:rsidRPr="00A3588B">
        <w:rPr>
          <w:rFonts w:ascii="Times New Roman" w:hAnsi="Times New Roman"/>
          <w:i/>
          <w:iCs/>
          <w:lang w:val="en-HK"/>
        </w:rPr>
        <w:t>SEC(1999)470</w:t>
      </w:r>
      <w:r w:rsidRPr="00A3588B">
        <w:rPr>
          <w:rFonts w:ascii="Times New Roman" w:hAnsi="Times New Roman"/>
          <w:lang w:val="en-HK"/>
        </w:rPr>
        <w:t>).</w:t>
      </w:r>
    </w:p>
    <w:p w14:paraId="186542F7" w14:textId="77777777" w:rsidR="00A3588B" w:rsidRPr="00A3588B" w:rsidRDefault="00A3588B" w:rsidP="00A3588B">
      <w:pPr>
        <w:spacing w:after="240" w:line="360" w:lineRule="auto"/>
        <w:rPr>
          <w:rFonts w:ascii="Times New Roman" w:hAnsi="Times New Roman"/>
          <w:lang w:val="en-HK"/>
        </w:rPr>
      </w:pPr>
      <w:r w:rsidRPr="00A3588B">
        <w:rPr>
          <w:rFonts w:ascii="Times New Roman" w:hAnsi="Times New Roman"/>
          <w:b/>
          <w:bCs/>
          <w:lang w:val="en-HK"/>
        </w:rPr>
        <w:t>Evidence</w:t>
      </w:r>
      <w:r w:rsidRPr="00A3588B">
        <w:rPr>
          <w:rFonts w:ascii="Times New Roman" w:hAnsi="Times New Roman"/>
          <w:lang w:val="en-HK"/>
        </w:rPr>
        <w:t xml:space="preserve">: </w:t>
      </w:r>
      <w:r w:rsidRPr="00A3588B">
        <w:rPr>
          <w:rFonts w:ascii="Times New Roman" w:hAnsi="Times New Roman"/>
          <w:i/>
          <w:iCs/>
          <w:lang w:val="en-HK"/>
        </w:rPr>
        <w:t>SEC(2008)57</w:t>
      </w:r>
      <w:r w:rsidRPr="00A3588B">
        <w:rPr>
          <w:rFonts w:ascii="Times New Roman" w:hAnsi="Times New Roman"/>
          <w:lang w:val="en-HK"/>
        </w:rPr>
        <w:t xml:space="preserve"> states, well-adapted feed in tariff regimes are generally the most efficient and effective support schemes (128), showing higher TGC prices due to investor insecurity (Mitchell et al., 2006). Figures 1 and 2 illustrate this for onshore wind.</w:t>
      </w:r>
    </w:p>
    <w:p w14:paraId="09125BAF" w14:textId="77777777" w:rsidR="00A3588B" w:rsidRPr="00A3588B" w:rsidRDefault="00A3588B" w:rsidP="00A3588B">
      <w:pPr>
        <w:spacing w:after="240" w:line="360" w:lineRule="auto"/>
        <w:rPr>
          <w:rFonts w:ascii="Times New Roman" w:hAnsi="Times New Roman"/>
          <w:lang w:val="en-HK"/>
        </w:rPr>
      </w:pPr>
      <w:r w:rsidRPr="00A3588B">
        <w:rPr>
          <w:rFonts w:ascii="Times New Roman" w:hAnsi="Times New Roman"/>
          <w:b/>
          <w:bCs/>
          <w:lang w:val="en-HK"/>
        </w:rPr>
        <w:t>Argument</w:t>
      </w:r>
      <w:r w:rsidRPr="00A3588B">
        <w:rPr>
          <w:rFonts w:ascii="Times New Roman" w:hAnsi="Times New Roman"/>
          <w:lang w:val="en-HK"/>
        </w:rPr>
        <w:t xml:space="preserve">: </w:t>
      </w:r>
      <w:proofErr w:type="spellStart"/>
      <w:r w:rsidRPr="00A3588B">
        <w:rPr>
          <w:rFonts w:ascii="Times New Roman" w:hAnsi="Times New Roman"/>
          <w:lang w:val="en-HK"/>
        </w:rPr>
        <w:t>FITs’</w:t>
      </w:r>
      <w:proofErr w:type="spellEnd"/>
      <w:r w:rsidRPr="00A3588B">
        <w:rPr>
          <w:rFonts w:ascii="Times New Roman" w:hAnsi="Times New Roman"/>
          <w:lang w:val="en-HK"/>
        </w:rPr>
        <w:t xml:space="preserve"> guaranteed pricing reduced financing costs, outperforming TGC volatility.</w:t>
      </w:r>
    </w:p>
    <w:p w14:paraId="11CB2F0B" w14:textId="77777777" w:rsidR="00A3588B" w:rsidRPr="00A3588B" w:rsidRDefault="00A3588B" w:rsidP="00A3588B">
      <w:pPr>
        <w:spacing w:after="240" w:line="360" w:lineRule="auto"/>
        <w:rPr>
          <w:rFonts w:ascii="Times New Roman" w:hAnsi="Times New Roman"/>
          <w:lang w:val="en-HK"/>
        </w:rPr>
      </w:pPr>
      <w:r w:rsidRPr="00A3588B">
        <w:rPr>
          <w:rFonts w:ascii="Times New Roman" w:hAnsi="Times New Roman"/>
          <w:b/>
          <w:bCs/>
          <w:lang w:val="en-HK"/>
        </w:rPr>
        <w:t>2. Single TGC Rate, Windfall Profits</w:t>
      </w:r>
      <w:r w:rsidRPr="00A3588B">
        <w:rPr>
          <w:rFonts w:ascii="Times New Roman" w:hAnsi="Times New Roman"/>
          <w:lang w:val="en-HK"/>
        </w:rPr>
        <w:t>:</w:t>
      </w:r>
    </w:p>
    <w:p w14:paraId="0618A0F2" w14:textId="77777777" w:rsidR="00A3588B" w:rsidRPr="00A3588B" w:rsidRDefault="00A3588B" w:rsidP="00A3588B">
      <w:pPr>
        <w:spacing w:after="240" w:line="360" w:lineRule="auto"/>
        <w:rPr>
          <w:rFonts w:ascii="Times New Roman" w:hAnsi="Times New Roman"/>
          <w:lang w:val="en-HK"/>
        </w:rPr>
      </w:pPr>
      <w:r w:rsidRPr="00A3588B">
        <w:rPr>
          <w:rFonts w:ascii="Times New Roman" w:hAnsi="Times New Roman"/>
          <w:b/>
          <w:bCs/>
          <w:lang w:val="en-HK"/>
        </w:rPr>
        <w:lastRenderedPageBreak/>
        <w:t>TGC Issue</w:t>
      </w:r>
      <w:r w:rsidRPr="00A3588B">
        <w:rPr>
          <w:rFonts w:ascii="Times New Roman" w:hAnsi="Times New Roman"/>
          <w:lang w:val="en-HK"/>
        </w:rPr>
        <w:t xml:space="preserve">: Single-rate TGCs (e.g., UK, Sweden) </w:t>
      </w:r>
      <w:proofErr w:type="spellStart"/>
      <w:r w:rsidRPr="00A3588B">
        <w:rPr>
          <w:rFonts w:ascii="Times New Roman" w:hAnsi="Times New Roman"/>
          <w:lang w:val="en-HK"/>
        </w:rPr>
        <w:t>favored</w:t>
      </w:r>
      <w:proofErr w:type="spellEnd"/>
      <w:r w:rsidRPr="00A3588B">
        <w:rPr>
          <w:rFonts w:ascii="Times New Roman" w:hAnsi="Times New Roman"/>
          <w:lang w:val="en-HK"/>
        </w:rPr>
        <w:t xml:space="preserve"> mature technologies, yielding windfall profits (79% in Sweden, 2003-2008; 59% in Flanders, 2002-2007; </w:t>
      </w:r>
      <w:proofErr w:type="spellStart"/>
      <w:r w:rsidRPr="00A3588B">
        <w:rPr>
          <w:rFonts w:ascii="Times New Roman" w:hAnsi="Times New Roman"/>
          <w:lang w:val="en-HK"/>
        </w:rPr>
        <w:t>Bergek</w:t>
      </w:r>
      <w:proofErr w:type="spellEnd"/>
      <w:r w:rsidRPr="00A3588B">
        <w:rPr>
          <w:rFonts w:ascii="Times New Roman" w:hAnsi="Times New Roman"/>
          <w:lang w:val="en-HK"/>
        </w:rPr>
        <w:t xml:space="preserve"> and </w:t>
      </w:r>
      <w:proofErr w:type="spellStart"/>
      <w:r w:rsidRPr="00A3588B">
        <w:rPr>
          <w:rFonts w:ascii="Times New Roman" w:hAnsi="Times New Roman"/>
          <w:lang w:val="en-HK"/>
        </w:rPr>
        <w:t>Jacobsson</w:t>
      </w:r>
      <w:proofErr w:type="spellEnd"/>
      <w:r w:rsidRPr="00A3588B">
        <w:rPr>
          <w:rFonts w:ascii="Times New Roman" w:hAnsi="Times New Roman"/>
          <w:lang w:val="en-HK"/>
        </w:rPr>
        <w:t xml:space="preserve">, 2010; </w:t>
      </w:r>
      <w:proofErr w:type="spellStart"/>
      <w:r w:rsidRPr="00A3588B">
        <w:rPr>
          <w:rFonts w:ascii="Times New Roman" w:hAnsi="Times New Roman"/>
          <w:lang w:val="en-HK"/>
        </w:rPr>
        <w:t>Verbruggen</w:t>
      </w:r>
      <w:proofErr w:type="spellEnd"/>
      <w:r w:rsidRPr="00A3588B">
        <w:rPr>
          <w:rFonts w:ascii="Times New Roman" w:hAnsi="Times New Roman"/>
          <w:lang w:val="en-HK"/>
        </w:rPr>
        <w:t>, 2009).</w:t>
      </w:r>
    </w:p>
    <w:p w14:paraId="3228F6B0" w14:textId="7F0F395D" w:rsidR="00A3588B" w:rsidRPr="00A3588B" w:rsidRDefault="00A3588B" w:rsidP="00A3588B">
      <w:pPr>
        <w:spacing w:after="240" w:line="360" w:lineRule="auto"/>
        <w:rPr>
          <w:rFonts w:ascii="Times New Roman" w:hAnsi="Times New Roman"/>
          <w:lang w:val="en-HK"/>
        </w:rPr>
      </w:pPr>
      <w:r w:rsidRPr="00A3588B">
        <w:rPr>
          <w:rFonts w:ascii="Times New Roman" w:hAnsi="Times New Roman"/>
          <w:b/>
          <w:bCs/>
          <w:lang w:val="en-HK"/>
        </w:rPr>
        <w:t>FIT Contrast</w:t>
      </w:r>
      <w:r w:rsidRPr="00A3588B">
        <w:rPr>
          <w:rFonts w:ascii="Times New Roman" w:hAnsi="Times New Roman"/>
          <w:lang w:val="en-HK"/>
        </w:rPr>
        <w:t>: FITs adjusted rates (e.g., post-2008 PV cost drops), limiting windfalls and aiding new technologies.</w:t>
      </w:r>
    </w:p>
    <w:p w14:paraId="7440039E" w14:textId="77777777" w:rsidR="00A3588B" w:rsidRPr="00A3588B" w:rsidRDefault="00A3588B" w:rsidP="00A3588B">
      <w:pPr>
        <w:spacing w:after="240" w:line="360" w:lineRule="auto"/>
        <w:rPr>
          <w:rFonts w:ascii="Times New Roman" w:hAnsi="Times New Roman"/>
          <w:lang w:val="en-HK"/>
        </w:rPr>
      </w:pPr>
      <w:r w:rsidRPr="00A3588B">
        <w:rPr>
          <w:rFonts w:ascii="Times New Roman" w:hAnsi="Times New Roman"/>
          <w:b/>
          <w:bCs/>
          <w:lang w:val="en-HK"/>
        </w:rPr>
        <w:t>Argument</w:t>
      </w:r>
      <w:r w:rsidRPr="00A3588B">
        <w:rPr>
          <w:rFonts w:ascii="Times New Roman" w:hAnsi="Times New Roman"/>
          <w:lang w:val="en-HK"/>
        </w:rPr>
        <w:t xml:space="preserve">: TGCs’ opacity delayed correction, unlike </w:t>
      </w:r>
      <w:proofErr w:type="spellStart"/>
      <w:r w:rsidRPr="00A3588B">
        <w:rPr>
          <w:rFonts w:ascii="Times New Roman" w:hAnsi="Times New Roman"/>
          <w:lang w:val="en-HK"/>
        </w:rPr>
        <w:t>FITs’</w:t>
      </w:r>
      <w:proofErr w:type="spellEnd"/>
      <w:r w:rsidRPr="00A3588B">
        <w:rPr>
          <w:rFonts w:ascii="Times New Roman" w:hAnsi="Times New Roman"/>
          <w:lang w:val="en-HK"/>
        </w:rPr>
        <w:t xml:space="preserve"> transparency, per Couture and Gagnon (2010).</w:t>
      </w:r>
    </w:p>
    <w:p w14:paraId="21F1DFC0" w14:textId="77777777" w:rsidR="00A3588B" w:rsidRPr="00A3588B" w:rsidRDefault="00A3588B" w:rsidP="00A3588B">
      <w:pPr>
        <w:spacing w:after="240" w:line="360" w:lineRule="auto"/>
        <w:rPr>
          <w:rFonts w:ascii="Times New Roman" w:hAnsi="Times New Roman"/>
          <w:lang w:val="en-HK"/>
        </w:rPr>
      </w:pPr>
      <w:r w:rsidRPr="00A3588B">
        <w:rPr>
          <w:rFonts w:ascii="Times New Roman" w:hAnsi="Times New Roman"/>
          <w:b/>
          <w:bCs/>
          <w:lang w:val="en-HK"/>
        </w:rPr>
        <w:t>3. Deployment</w:t>
      </w:r>
      <w:r w:rsidRPr="00A3588B">
        <w:rPr>
          <w:rFonts w:ascii="Times New Roman" w:hAnsi="Times New Roman"/>
          <w:lang w:val="en-HK"/>
        </w:rPr>
        <w:t>:</w:t>
      </w:r>
    </w:p>
    <w:p w14:paraId="3FA3D552" w14:textId="1CBBD8CB" w:rsidR="00A3588B" w:rsidRPr="00A3588B" w:rsidRDefault="00A3588B" w:rsidP="00A3588B">
      <w:pPr>
        <w:spacing w:after="240" w:line="360" w:lineRule="auto"/>
        <w:rPr>
          <w:rFonts w:ascii="Times New Roman" w:hAnsi="Times New Roman"/>
          <w:lang w:val="en-HK"/>
        </w:rPr>
      </w:pPr>
      <w:r w:rsidRPr="00A3588B">
        <w:rPr>
          <w:rFonts w:ascii="Times New Roman" w:hAnsi="Times New Roman"/>
          <w:b/>
          <w:bCs/>
          <w:lang w:val="en-HK"/>
        </w:rPr>
        <w:t>TGC Expectation</w:t>
      </w:r>
      <w:r w:rsidRPr="00A3588B">
        <w:rPr>
          <w:rFonts w:ascii="Times New Roman" w:hAnsi="Times New Roman"/>
          <w:lang w:val="en-HK"/>
        </w:rPr>
        <w:t>: Higher prices would boost deployment (</w:t>
      </w:r>
      <w:r w:rsidRPr="00A3588B">
        <w:rPr>
          <w:rFonts w:ascii="Times New Roman" w:hAnsi="Times New Roman"/>
          <w:i/>
          <w:iCs/>
          <w:lang w:val="en-HK"/>
        </w:rPr>
        <w:t>SEC(1999)470</w:t>
      </w:r>
      <w:r w:rsidRPr="00A3588B">
        <w:rPr>
          <w:rFonts w:ascii="Times New Roman" w:hAnsi="Times New Roman"/>
          <w:lang w:val="en-HK"/>
        </w:rPr>
        <w:t>).</w:t>
      </w:r>
    </w:p>
    <w:p w14:paraId="070B12C4" w14:textId="6D789605" w:rsidR="00A3588B" w:rsidRPr="00A3588B" w:rsidRDefault="00A3588B" w:rsidP="00A3588B">
      <w:pPr>
        <w:spacing w:after="240" w:line="360" w:lineRule="auto"/>
        <w:rPr>
          <w:rFonts w:ascii="Times New Roman" w:hAnsi="Times New Roman"/>
          <w:lang w:val="en-HK"/>
        </w:rPr>
      </w:pPr>
      <w:r w:rsidRPr="00A3588B">
        <w:rPr>
          <w:rFonts w:ascii="Times New Roman" w:hAnsi="Times New Roman"/>
          <w:b/>
          <w:bCs/>
          <w:lang w:val="en-HK"/>
        </w:rPr>
        <w:t>Evidence</w:t>
      </w:r>
      <w:r w:rsidRPr="00A3588B">
        <w:rPr>
          <w:rFonts w:ascii="Times New Roman" w:hAnsi="Times New Roman"/>
          <w:lang w:val="en-HK"/>
        </w:rPr>
        <w:t xml:space="preserve">: FIT countries (e.g., Germany) outpaced TGC countries (e.g., UK) in wind deployment, despite UK’s potential (EWEA, 2011; </w:t>
      </w:r>
      <w:r w:rsidRPr="00A3588B">
        <w:rPr>
          <w:rFonts w:ascii="Times New Roman" w:hAnsi="Times New Roman"/>
          <w:i/>
          <w:iCs/>
          <w:lang w:val="en-HK"/>
        </w:rPr>
        <w:t>SEC(2008)57</w:t>
      </w:r>
      <w:r w:rsidRPr="00A3588B">
        <w:rPr>
          <w:rFonts w:ascii="Times New Roman" w:hAnsi="Times New Roman"/>
          <w:lang w:val="en-HK"/>
        </w:rPr>
        <w:t>).</w:t>
      </w:r>
    </w:p>
    <w:p w14:paraId="4EDB97E2" w14:textId="77777777" w:rsidR="00A3588B" w:rsidRPr="00A3588B" w:rsidRDefault="00A3588B" w:rsidP="00A3588B">
      <w:pPr>
        <w:spacing w:after="240" w:line="360" w:lineRule="auto"/>
        <w:rPr>
          <w:rFonts w:ascii="Times New Roman" w:hAnsi="Times New Roman"/>
          <w:lang w:val="en-HK"/>
        </w:rPr>
      </w:pPr>
      <w:r w:rsidRPr="00A3588B">
        <w:rPr>
          <w:rFonts w:ascii="Times New Roman" w:hAnsi="Times New Roman"/>
          <w:b/>
          <w:bCs/>
          <w:lang w:val="en-HK"/>
        </w:rPr>
        <w:t>Argument</w:t>
      </w:r>
      <w:r w:rsidRPr="00A3588B">
        <w:rPr>
          <w:rFonts w:ascii="Times New Roman" w:hAnsi="Times New Roman"/>
          <w:lang w:val="en-HK"/>
        </w:rPr>
        <w:t xml:space="preserve">: </w:t>
      </w:r>
      <w:proofErr w:type="spellStart"/>
      <w:r w:rsidRPr="00A3588B">
        <w:rPr>
          <w:rFonts w:ascii="Times New Roman" w:hAnsi="Times New Roman"/>
          <w:lang w:val="en-HK"/>
        </w:rPr>
        <w:t>FITs’</w:t>
      </w:r>
      <w:proofErr w:type="spellEnd"/>
      <w:r w:rsidRPr="00A3588B">
        <w:rPr>
          <w:rFonts w:ascii="Times New Roman" w:hAnsi="Times New Roman"/>
          <w:lang w:val="en-HK"/>
        </w:rPr>
        <w:t xml:space="preserve"> stability drove deployment, per Wood and Dow (2011), while TGC risks stifled it.</w:t>
      </w:r>
    </w:p>
    <w:p w14:paraId="6B352E05" w14:textId="77777777" w:rsidR="00A3588B" w:rsidRPr="00A3588B" w:rsidRDefault="00A3588B" w:rsidP="00A3588B">
      <w:pPr>
        <w:spacing w:after="240" w:line="360" w:lineRule="auto"/>
        <w:rPr>
          <w:rFonts w:ascii="Times New Roman" w:hAnsi="Times New Roman"/>
          <w:lang w:val="en-HK"/>
        </w:rPr>
      </w:pPr>
      <w:r w:rsidRPr="00A3588B">
        <w:rPr>
          <w:rFonts w:ascii="Times New Roman" w:hAnsi="Times New Roman"/>
          <w:b/>
          <w:bCs/>
          <w:lang w:val="en-HK"/>
        </w:rPr>
        <w:t>4. Innovation ("Dynamic Efficiency")</w:t>
      </w:r>
      <w:r w:rsidRPr="00A3588B">
        <w:rPr>
          <w:rFonts w:ascii="Times New Roman" w:hAnsi="Times New Roman"/>
          <w:lang w:val="en-HK"/>
        </w:rPr>
        <w:t>:</w:t>
      </w:r>
    </w:p>
    <w:p w14:paraId="386F1027" w14:textId="7C4A9F80" w:rsidR="00A3588B" w:rsidRPr="00A3588B" w:rsidRDefault="00A3588B" w:rsidP="00A3588B">
      <w:pPr>
        <w:spacing w:after="240" w:line="360" w:lineRule="auto"/>
        <w:rPr>
          <w:rFonts w:ascii="Times New Roman" w:hAnsi="Times New Roman"/>
          <w:lang w:val="en-HK"/>
        </w:rPr>
      </w:pPr>
      <w:r w:rsidRPr="00A3588B">
        <w:rPr>
          <w:rFonts w:ascii="Times New Roman" w:hAnsi="Times New Roman"/>
          <w:b/>
          <w:bCs/>
          <w:lang w:val="en-HK"/>
        </w:rPr>
        <w:t>TGC Claim</w:t>
      </w:r>
      <w:r w:rsidRPr="00A3588B">
        <w:rPr>
          <w:rFonts w:ascii="Times New Roman" w:hAnsi="Times New Roman"/>
          <w:lang w:val="en-HK"/>
        </w:rPr>
        <w:t>: Competition would spur innovation (</w:t>
      </w:r>
      <w:r w:rsidRPr="00A3588B">
        <w:rPr>
          <w:rFonts w:ascii="Times New Roman" w:hAnsi="Times New Roman"/>
          <w:i/>
          <w:iCs/>
          <w:lang w:val="en-HK"/>
        </w:rPr>
        <w:t>SEC(1999)470</w:t>
      </w:r>
      <w:r w:rsidRPr="00A3588B">
        <w:rPr>
          <w:rFonts w:ascii="Times New Roman" w:hAnsi="Times New Roman"/>
          <w:lang w:val="en-HK"/>
        </w:rPr>
        <w:t>).</w:t>
      </w:r>
    </w:p>
    <w:p w14:paraId="76ABC85C" w14:textId="55D5DCA5" w:rsidR="00A3588B" w:rsidRPr="00A3588B" w:rsidRDefault="00A3588B" w:rsidP="00A3588B">
      <w:pPr>
        <w:spacing w:after="240" w:line="360" w:lineRule="auto"/>
        <w:rPr>
          <w:rFonts w:ascii="Times New Roman" w:hAnsi="Times New Roman"/>
          <w:lang w:val="en-HK"/>
        </w:rPr>
      </w:pPr>
      <w:r w:rsidRPr="00A3588B">
        <w:rPr>
          <w:rFonts w:ascii="Times New Roman" w:hAnsi="Times New Roman"/>
          <w:b/>
          <w:bCs/>
          <w:lang w:val="en-HK"/>
        </w:rPr>
        <w:t>Evidence</w:t>
      </w:r>
      <w:r w:rsidRPr="00A3588B">
        <w:rPr>
          <w:rFonts w:ascii="Times New Roman" w:hAnsi="Times New Roman"/>
          <w:lang w:val="en-HK"/>
        </w:rPr>
        <w:t xml:space="preserve">: FITs fostered equipment industries (e.g., Denmark, Germany), unlike TGCs, which </w:t>
      </w:r>
      <w:proofErr w:type="spellStart"/>
      <w:r w:rsidRPr="00A3588B">
        <w:rPr>
          <w:rFonts w:ascii="Times New Roman" w:hAnsi="Times New Roman"/>
          <w:lang w:val="en-HK"/>
        </w:rPr>
        <w:t>favored</w:t>
      </w:r>
      <w:proofErr w:type="spellEnd"/>
      <w:r w:rsidRPr="00A3588B">
        <w:rPr>
          <w:rFonts w:ascii="Times New Roman" w:hAnsi="Times New Roman"/>
          <w:lang w:val="en-HK"/>
        </w:rPr>
        <w:t xml:space="preserve"> mature technologies (Toke, 2011).</w:t>
      </w:r>
    </w:p>
    <w:p w14:paraId="373264E3" w14:textId="77777777" w:rsidR="00A3588B" w:rsidRPr="00A3588B" w:rsidRDefault="00A3588B" w:rsidP="00A3588B">
      <w:pPr>
        <w:spacing w:after="240" w:line="360" w:lineRule="auto"/>
        <w:rPr>
          <w:rFonts w:ascii="Times New Roman" w:hAnsi="Times New Roman"/>
          <w:lang w:val="en-HK"/>
        </w:rPr>
      </w:pPr>
      <w:r w:rsidRPr="00A3588B">
        <w:rPr>
          <w:rFonts w:ascii="Times New Roman" w:hAnsi="Times New Roman"/>
          <w:b/>
          <w:bCs/>
          <w:lang w:val="en-HK"/>
        </w:rPr>
        <w:t>Argument</w:t>
      </w:r>
      <w:r w:rsidRPr="00A3588B">
        <w:rPr>
          <w:rFonts w:ascii="Times New Roman" w:hAnsi="Times New Roman"/>
          <w:lang w:val="en-HK"/>
        </w:rPr>
        <w:t xml:space="preserve">: </w:t>
      </w:r>
      <w:proofErr w:type="spellStart"/>
      <w:r w:rsidRPr="00A3588B">
        <w:rPr>
          <w:rFonts w:ascii="Times New Roman" w:hAnsi="Times New Roman"/>
          <w:lang w:val="en-HK"/>
        </w:rPr>
        <w:t>FITs’</w:t>
      </w:r>
      <w:proofErr w:type="spellEnd"/>
      <w:r w:rsidRPr="00A3588B">
        <w:rPr>
          <w:rFonts w:ascii="Times New Roman" w:hAnsi="Times New Roman"/>
          <w:lang w:val="en-HK"/>
        </w:rPr>
        <w:t xml:space="preserve"> market certainty supported innovation, per </w:t>
      </w:r>
      <w:proofErr w:type="spellStart"/>
      <w:r w:rsidRPr="00A3588B">
        <w:rPr>
          <w:rFonts w:ascii="Times New Roman" w:hAnsi="Times New Roman"/>
          <w:lang w:val="en-HK"/>
        </w:rPr>
        <w:t>Staffas</w:t>
      </w:r>
      <w:proofErr w:type="spellEnd"/>
      <w:r w:rsidRPr="00A3588B">
        <w:rPr>
          <w:rFonts w:ascii="Times New Roman" w:hAnsi="Times New Roman"/>
          <w:lang w:val="en-HK"/>
        </w:rPr>
        <w:t xml:space="preserve"> et al. (2009).</w:t>
      </w:r>
    </w:p>
    <w:p w14:paraId="37679B25" w14:textId="77777777" w:rsidR="00A3588B" w:rsidRPr="00A3588B" w:rsidRDefault="00A3588B" w:rsidP="00A3588B">
      <w:pPr>
        <w:spacing w:after="240" w:line="360" w:lineRule="auto"/>
        <w:rPr>
          <w:rFonts w:ascii="Times New Roman" w:hAnsi="Times New Roman"/>
          <w:lang w:val="en-HK"/>
        </w:rPr>
      </w:pPr>
      <w:r w:rsidRPr="00A3588B">
        <w:rPr>
          <w:rFonts w:ascii="Times New Roman" w:hAnsi="Times New Roman"/>
          <w:b/>
          <w:bCs/>
          <w:lang w:val="en-HK"/>
        </w:rPr>
        <w:t>5. The Different Roles of Ambivalent Incumbents under TGC and FIT / 6. Few New Entrants Under Oligopolies and TGC</w:t>
      </w:r>
      <w:r w:rsidRPr="00A3588B">
        <w:rPr>
          <w:rFonts w:ascii="Times New Roman" w:hAnsi="Times New Roman"/>
          <w:lang w:val="en-HK"/>
        </w:rPr>
        <w:t>:</w:t>
      </w:r>
    </w:p>
    <w:p w14:paraId="1CB7BDCC" w14:textId="77777777" w:rsidR="00A3588B" w:rsidRPr="00A3588B" w:rsidRDefault="00A3588B" w:rsidP="00A3588B">
      <w:pPr>
        <w:spacing w:after="240" w:line="360" w:lineRule="auto"/>
        <w:rPr>
          <w:rFonts w:ascii="Times New Roman" w:hAnsi="Times New Roman"/>
          <w:lang w:val="en-HK"/>
        </w:rPr>
      </w:pPr>
      <w:r w:rsidRPr="00A3588B">
        <w:rPr>
          <w:rFonts w:ascii="Times New Roman" w:hAnsi="Times New Roman"/>
          <w:b/>
          <w:bCs/>
          <w:lang w:val="en-HK"/>
        </w:rPr>
        <w:t>TGC Outcome</w:t>
      </w:r>
      <w:r w:rsidRPr="00A3588B">
        <w:rPr>
          <w:rFonts w:ascii="Times New Roman" w:hAnsi="Times New Roman"/>
          <w:lang w:val="en-HK"/>
        </w:rPr>
        <w:t>: Incumbents dominated (e.g., UK’s RO), limiting new entrants due to risk (</w:t>
      </w:r>
      <w:proofErr w:type="spellStart"/>
      <w:r w:rsidRPr="00A3588B">
        <w:rPr>
          <w:rFonts w:ascii="Times New Roman" w:hAnsi="Times New Roman"/>
          <w:lang w:val="en-HK"/>
        </w:rPr>
        <w:t>Stenzel</w:t>
      </w:r>
      <w:proofErr w:type="spellEnd"/>
      <w:r w:rsidRPr="00A3588B">
        <w:rPr>
          <w:rFonts w:ascii="Times New Roman" w:hAnsi="Times New Roman"/>
          <w:lang w:val="en-HK"/>
        </w:rPr>
        <w:t xml:space="preserve"> and </w:t>
      </w:r>
      <w:proofErr w:type="spellStart"/>
      <w:r w:rsidRPr="00A3588B">
        <w:rPr>
          <w:rFonts w:ascii="Times New Roman" w:hAnsi="Times New Roman"/>
          <w:lang w:val="en-HK"/>
        </w:rPr>
        <w:t>Frenzel</w:t>
      </w:r>
      <w:proofErr w:type="spellEnd"/>
      <w:r w:rsidRPr="00A3588B">
        <w:rPr>
          <w:rFonts w:ascii="Times New Roman" w:hAnsi="Times New Roman"/>
          <w:lang w:val="en-HK"/>
        </w:rPr>
        <w:t>, 2008).</w:t>
      </w:r>
    </w:p>
    <w:p w14:paraId="20D0C986" w14:textId="77777777" w:rsidR="00A3588B" w:rsidRPr="00A3588B" w:rsidRDefault="00A3588B" w:rsidP="00A3588B">
      <w:pPr>
        <w:spacing w:after="240" w:line="360" w:lineRule="auto"/>
        <w:rPr>
          <w:rFonts w:ascii="Times New Roman" w:hAnsi="Times New Roman"/>
          <w:lang w:val="en-HK"/>
        </w:rPr>
      </w:pPr>
      <w:r w:rsidRPr="00A3588B">
        <w:rPr>
          <w:rFonts w:ascii="Times New Roman" w:hAnsi="Times New Roman"/>
          <w:b/>
          <w:bCs/>
          <w:lang w:val="en-HK"/>
        </w:rPr>
        <w:t>FIT Outcome</w:t>
      </w:r>
      <w:r w:rsidRPr="00A3588B">
        <w:rPr>
          <w:rFonts w:ascii="Times New Roman" w:hAnsi="Times New Roman"/>
          <w:lang w:val="en-HK"/>
        </w:rPr>
        <w:t>: Germany’s EEG enabled 500,000+ independent producers (Hirsch, 2011), countering oligopolies via priority dispatch and stable tariffs.</w:t>
      </w:r>
    </w:p>
    <w:p w14:paraId="71386DC3" w14:textId="77777777" w:rsidR="00A3588B" w:rsidRPr="00A3588B" w:rsidRDefault="00A3588B" w:rsidP="00A3588B">
      <w:pPr>
        <w:spacing w:after="240" w:line="360" w:lineRule="auto"/>
        <w:rPr>
          <w:rFonts w:ascii="Times New Roman" w:hAnsi="Times New Roman"/>
          <w:lang w:val="en-HK"/>
        </w:rPr>
      </w:pPr>
      <w:r w:rsidRPr="00A3588B">
        <w:rPr>
          <w:rFonts w:ascii="Times New Roman" w:hAnsi="Times New Roman"/>
          <w:b/>
          <w:bCs/>
          <w:lang w:val="en-HK"/>
        </w:rPr>
        <w:lastRenderedPageBreak/>
        <w:t>Argument</w:t>
      </w:r>
      <w:r w:rsidRPr="00A3588B">
        <w:rPr>
          <w:rFonts w:ascii="Times New Roman" w:hAnsi="Times New Roman"/>
          <w:lang w:val="en-HK"/>
        </w:rPr>
        <w:t xml:space="preserve">: FITs empowered new entrants, reducing incumbent resistance (e.g., E.ON’s 33% cap proposal), per </w:t>
      </w:r>
      <w:proofErr w:type="spellStart"/>
      <w:r w:rsidRPr="00A3588B">
        <w:rPr>
          <w:rFonts w:ascii="Times New Roman" w:hAnsi="Times New Roman"/>
          <w:lang w:val="en-HK"/>
        </w:rPr>
        <w:t>Sensfuss</w:t>
      </w:r>
      <w:proofErr w:type="spellEnd"/>
      <w:r w:rsidRPr="00A3588B">
        <w:rPr>
          <w:rFonts w:ascii="Times New Roman" w:hAnsi="Times New Roman"/>
          <w:lang w:val="en-HK"/>
        </w:rPr>
        <w:t xml:space="preserve"> et al. (2008).</w:t>
      </w:r>
    </w:p>
    <w:p w14:paraId="1C267E40" w14:textId="77777777" w:rsidR="00A3588B" w:rsidRPr="00A3588B" w:rsidRDefault="00A3588B" w:rsidP="00A3588B">
      <w:pPr>
        <w:spacing w:after="240" w:line="360" w:lineRule="auto"/>
        <w:rPr>
          <w:rFonts w:ascii="Times New Roman" w:hAnsi="Times New Roman"/>
          <w:lang w:val="en-HK"/>
        </w:rPr>
      </w:pPr>
    </w:p>
    <w:p w14:paraId="4E6AF88C" w14:textId="1CD7C17C" w:rsidR="00A3588B" w:rsidRPr="00A3588B" w:rsidRDefault="00A3588B" w:rsidP="00A3588B">
      <w:pPr>
        <w:spacing w:after="240" w:line="360" w:lineRule="auto"/>
        <w:rPr>
          <w:rFonts w:ascii="Times New Roman" w:hAnsi="Times New Roman"/>
          <w:lang w:val="en-HK"/>
        </w:rPr>
      </w:pPr>
      <w:r w:rsidRPr="00A3588B">
        <w:rPr>
          <w:rFonts w:ascii="Times New Roman" w:hAnsi="Times New Roman"/>
          <w:b/>
          <w:bCs/>
          <w:lang w:val="en-HK"/>
        </w:rPr>
        <w:t>VII. Conclusion (Pages 131-132)</w:t>
      </w:r>
    </w:p>
    <w:p w14:paraId="0DFE8C36" w14:textId="1E53A5EF" w:rsidR="00A3588B" w:rsidRPr="00A3588B" w:rsidRDefault="00A3588B" w:rsidP="00A3588B">
      <w:pPr>
        <w:spacing w:after="240" w:line="360" w:lineRule="auto"/>
        <w:rPr>
          <w:rFonts w:ascii="Times New Roman" w:hAnsi="Times New Roman"/>
          <w:lang w:val="en-HK"/>
        </w:rPr>
      </w:pPr>
      <w:r w:rsidRPr="00A3588B">
        <w:rPr>
          <w:rFonts w:ascii="Times New Roman" w:hAnsi="Times New Roman"/>
          <w:lang w:val="en-HK"/>
        </w:rPr>
        <w:t xml:space="preserve">The conclusion synthesizes findings, arguing that TGCs’ “least-cost” narrative, rooted in neo-classical theory, failed empirically, benefiting incumbents over innovation and deployment. </w:t>
      </w:r>
      <w:proofErr w:type="spellStart"/>
      <w:r w:rsidRPr="00A3588B">
        <w:rPr>
          <w:rFonts w:ascii="Times New Roman" w:hAnsi="Times New Roman"/>
          <w:lang w:val="en-HK"/>
        </w:rPr>
        <w:t>FITs’</w:t>
      </w:r>
      <w:proofErr w:type="spellEnd"/>
      <w:r w:rsidRPr="00A3588B">
        <w:rPr>
          <w:rFonts w:ascii="Times New Roman" w:hAnsi="Times New Roman"/>
          <w:lang w:val="en-HK"/>
        </w:rPr>
        <w:t xml:space="preserve"> success offers lessons globally.</w:t>
      </w:r>
    </w:p>
    <w:p w14:paraId="7CC47E60" w14:textId="77777777" w:rsidR="00A3588B" w:rsidRPr="00A3588B" w:rsidRDefault="00A3588B" w:rsidP="00A3588B">
      <w:pPr>
        <w:spacing w:after="240" w:line="360" w:lineRule="auto"/>
        <w:rPr>
          <w:rFonts w:ascii="Times New Roman" w:hAnsi="Times New Roman"/>
          <w:lang w:val="en-HK"/>
        </w:rPr>
      </w:pPr>
      <w:r w:rsidRPr="00A3588B">
        <w:rPr>
          <w:rFonts w:ascii="Times New Roman" w:hAnsi="Times New Roman"/>
          <w:b/>
          <w:bCs/>
          <w:lang w:val="en-HK"/>
        </w:rPr>
        <w:t>Key Insight</w:t>
      </w:r>
      <w:r w:rsidRPr="00A3588B">
        <w:rPr>
          <w:rFonts w:ascii="Times New Roman" w:hAnsi="Times New Roman"/>
          <w:lang w:val="en-HK"/>
        </w:rPr>
        <w:t xml:space="preserve">: Lauber states, we have seen that TGC laws in practice operated to restrict new entrants… and inhibited the rise of a renewable energy equipment industry (132), contrasting this with </w:t>
      </w:r>
      <w:proofErr w:type="spellStart"/>
      <w:r w:rsidRPr="00A3588B">
        <w:rPr>
          <w:rFonts w:ascii="Times New Roman" w:hAnsi="Times New Roman"/>
          <w:lang w:val="en-HK"/>
        </w:rPr>
        <w:t>FITs’</w:t>
      </w:r>
      <w:proofErr w:type="spellEnd"/>
      <w:r w:rsidRPr="00A3588B">
        <w:rPr>
          <w:rFonts w:ascii="Times New Roman" w:hAnsi="Times New Roman"/>
          <w:lang w:val="en-HK"/>
        </w:rPr>
        <w:t xml:space="preserve"> achievements.</w:t>
      </w:r>
    </w:p>
    <w:p w14:paraId="1A3C9840" w14:textId="60677A1C" w:rsidR="00A3588B" w:rsidRPr="00A3588B" w:rsidRDefault="00A3588B" w:rsidP="00A3588B">
      <w:pPr>
        <w:spacing w:after="240" w:line="360" w:lineRule="auto"/>
        <w:rPr>
          <w:rFonts w:ascii="Times New Roman" w:hAnsi="Times New Roman"/>
          <w:lang w:val="en-HK"/>
        </w:rPr>
      </w:pPr>
      <w:r w:rsidRPr="00A3588B">
        <w:rPr>
          <w:rFonts w:ascii="Times New Roman" w:hAnsi="Times New Roman"/>
          <w:b/>
          <w:bCs/>
          <w:lang w:val="en-HK"/>
        </w:rPr>
        <w:t>Lesson</w:t>
      </w:r>
      <w:r w:rsidRPr="00A3588B">
        <w:rPr>
          <w:rFonts w:ascii="Times New Roman" w:hAnsi="Times New Roman"/>
          <w:lang w:val="en-HK"/>
        </w:rPr>
        <w:t>: Policymakers must prioritize evidence over ideology, revising theories as experience dictates.</w:t>
      </w:r>
    </w:p>
    <w:p w14:paraId="21A99F5A" w14:textId="77777777" w:rsidR="00A3588B" w:rsidRPr="00A3588B" w:rsidRDefault="00A3588B" w:rsidP="00A3588B">
      <w:pPr>
        <w:spacing w:after="240" w:line="360" w:lineRule="auto"/>
        <w:ind w:left="720"/>
        <w:rPr>
          <w:rFonts w:ascii="Times New Roman" w:hAnsi="Times New Roman"/>
          <w:lang w:val="en-HK"/>
        </w:rPr>
      </w:pPr>
    </w:p>
    <w:p w14:paraId="437640FE" w14:textId="77777777" w:rsidR="00CD39F1" w:rsidRPr="00A3588B" w:rsidRDefault="00CD39F1" w:rsidP="00A3588B">
      <w:pPr>
        <w:spacing w:after="240" w:line="360" w:lineRule="auto"/>
      </w:pPr>
    </w:p>
    <w:sectPr w:rsidR="00CD39F1" w:rsidRPr="00A358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734269"/>
    <w:multiLevelType w:val="multilevel"/>
    <w:tmpl w:val="CC04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33EBE"/>
    <w:multiLevelType w:val="multilevel"/>
    <w:tmpl w:val="7DF6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6132F"/>
    <w:multiLevelType w:val="multilevel"/>
    <w:tmpl w:val="3BA2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7622AA"/>
    <w:multiLevelType w:val="multilevel"/>
    <w:tmpl w:val="256C0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800B5D"/>
    <w:multiLevelType w:val="multilevel"/>
    <w:tmpl w:val="2A2C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07157F"/>
    <w:multiLevelType w:val="multilevel"/>
    <w:tmpl w:val="9F18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E62F56"/>
    <w:multiLevelType w:val="multilevel"/>
    <w:tmpl w:val="76B6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832490">
    <w:abstractNumId w:val="1"/>
  </w:num>
  <w:num w:numId="2" w16cid:durableId="1896039123">
    <w:abstractNumId w:val="2"/>
  </w:num>
  <w:num w:numId="3" w16cid:durableId="24332282">
    <w:abstractNumId w:val="4"/>
  </w:num>
  <w:num w:numId="4" w16cid:durableId="2139034184">
    <w:abstractNumId w:val="0"/>
  </w:num>
  <w:num w:numId="5" w16cid:durableId="2102335050">
    <w:abstractNumId w:val="6"/>
  </w:num>
  <w:num w:numId="6" w16cid:durableId="66198725">
    <w:abstractNumId w:val="3"/>
  </w:num>
  <w:num w:numId="7" w16cid:durableId="1800531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988"/>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0F5868"/>
    <w:rsid w:val="00101CCF"/>
    <w:rsid w:val="00110988"/>
    <w:rsid w:val="00121A80"/>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568E"/>
    <w:rsid w:val="00297C6E"/>
    <w:rsid w:val="002B3377"/>
    <w:rsid w:val="002C38C0"/>
    <w:rsid w:val="002C6D8B"/>
    <w:rsid w:val="002D2BF1"/>
    <w:rsid w:val="002D715D"/>
    <w:rsid w:val="002E3864"/>
    <w:rsid w:val="002E46F2"/>
    <w:rsid w:val="002F1DB1"/>
    <w:rsid w:val="002F20B2"/>
    <w:rsid w:val="002F53C9"/>
    <w:rsid w:val="003048A0"/>
    <w:rsid w:val="0031138E"/>
    <w:rsid w:val="0031474F"/>
    <w:rsid w:val="00315815"/>
    <w:rsid w:val="0032656E"/>
    <w:rsid w:val="003278F5"/>
    <w:rsid w:val="00330665"/>
    <w:rsid w:val="00342A18"/>
    <w:rsid w:val="00357561"/>
    <w:rsid w:val="00361344"/>
    <w:rsid w:val="0036177C"/>
    <w:rsid w:val="00361975"/>
    <w:rsid w:val="00376E23"/>
    <w:rsid w:val="0039416B"/>
    <w:rsid w:val="003A1271"/>
    <w:rsid w:val="003A5DF7"/>
    <w:rsid w:val="003B3510"/>
    <w:rsid w:val="003C116C"/>
    <w:rsid w:val="003D0CDD"/>
    <w:rsid w:val="003D710F"/>
    <w:rsid w:val="003E1CAA"/>
    <w:rsid w:val="0040210F"/>
    <w:rsid w:val="00412F9B"/>
    <w:rsid w:val="004222FD"/>
    <w:rsid w:val="004319FA"/>
    <w:rsid w:val="00442F56"/>
    <w:rsid w:val="0044616D"/>
    <w:rsid w:val="00474DD1"/>
    <w:rsid w:val="004751B5"/>
    <w:rsid w:val="0048097D"/>
    <w:rsid w:val="004816F7"/>
    <w:rsid w:val="0048175B"/>
    <w:rsid w:val="004829F2"/>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25C9"/>
    <w:rsid w:val="00557B52"/>
    <w:rsid w:val="005743EA"/>
    <w:rsid w:val="005770A9"/>
    <w:rsid w:val="0058416B"/>
    <w:rsid w:val="00591130"/>
    <w:rsid w:val="00595357"/>
    <w:rsid w:val="005A1930"/>
    <w:rsid w:val="005A3C9C"/>
    <w:rsid w:val="005A6EEA"/>
    <w:rsid w:val="005B34ED"/>
    <w:rsid w:val="005B61CD"/>
    <w:rsid w:val="005B74C5"/>
    <w:rsid w:val="005C4FF3"/>
    <w:rsid w:val="005C50B3"/>
    <w:rsid w:val="005C6B83"/>
    <w:rsid w:val="005C7AAA"/>
    <w:rsid w:val="005D57DA"/>
    <w:rsid w:val="005E7702"/>
    <w:rsid w:val="005F33FC"/>
    <w:rsid w:val="00605F8E"/>
    <w:rsid w:val="00613954"/>
    <w:rsid w:val="006159E0"/>
    <w:rsid w:val="00622488"/>
    <w:rsid w:val="006350B8"/>
    <w:rsid w:val="006415E8"/>
    <w:rsid w:val="00650543"/>
    <w:rsid w:val="00654D8B"/>
    <w:rsid w:val="00661136"/>
    <w:rsid w:val="00672197"/>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68F0"/>
    <w:rsid w:val="007E1559"/>
    <w:rsid w:val="007E2E80"/>
    <w:rsid w:val="007E4AE6"/>
    <w:rsid w:val="007F776E"/>
    <w:rsid w:val="00816563"/>
    <w:rsid w:val="00830C88"/>
    <w:rsid w:val="00845AB5"/>
    <w:rsid w:val="00850813"/>
    <w:rsid w:val="00861B11"/>
    <w:rsid w:val="008829C2"/>
    <w:rsid w:val="008A54BE"/>
    <w:rsid w:val="008B2AB5"/>
    <w:rsid w:val="008C7B0A"/>
    <w:rsid w:val="008D0642"/>
    <w:rsid w:val="008E43C2"/>
    <w:rsid w:val="008E745B"/>
    <w:rsid w:val="008F4EA7"/>
    <w:rsid w:val="008F5A10"/>
    <w:rsid w:val="00905ED0"/>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588B"/>
    <w:rsid w:val="00A37AB0"/>
    <w:rsid w:val="00A4085F"/>
    <w:rsid w:val="00A4114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8622A"/>
    <w:rsid w:val="00B914E6"/>
    <w:rsid w:val="00B95747"/>
    <w:rsid w:val="00BC4186"/>
    <w:rsid w:val="00BC5F25"/>
    <w:rsid w:val="00BD1450"/>
    <w:rsid w:val="00BD7714"/>
    <w:rsid w:val="00BD7C9B"/>
    <w:rsid w:val="00BE07C8"/>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3E2C"/>
    <w:rsid w:val="00D76D14"/>
    <w:rsid w:val="00D9345A"/>
    <w:rsid w:val="00DA31CB"/>
    <w:rsid w:val="00DA3D31"/>
    <w:rsid w:val="00DA4488"/>
    <w:rsid w:val="00DB2E35"/>
    <w:rsid w:val="00DC0040"/>
    <w:rsid w:val="00DC0B7B"/>
    <w:rsid w:val="00DC228E"/>
    <w:rsid w:val="00DC495B"/>
    <w:rsid w:val="00DC7181"/>
    <w:rsid w:val="00DD5D40"/>
    <w:rsid w:val="00DD6F5C"/>
    <w:rsid w:val="00DD7881"/>
    <w:rsid w:val="00DE6C87"/>
    <w:rsid w:val="00E06E11"/>
    <w:rsid w:val="00E14A1A"/>
    <w:rsid w:val="00E14E1F"/>
    <w:rsid w:val="00E2730E"/>
    <w:rsid w:val="00E4366A"/>
    <w:rsid w:val="00E438AC"/>
    <w:rsid w:val="00E51987"/>
    <w:rsid w:val="00E53FD2"/>
    <w:rsid w:val="00E5689E"/>
    <w:rsid w:val="00E60DF5"/>
    <w:rsid w:val="00E64DD3"/>
    <w:rsid w:val="00E80D33"/>
    <w:rsid w:val="00E9484C"/>
    <w:rsid w:val="00E95D8D"/>
    <w:rsid w:val="00EA6ED5"/>
    <w:rsid w:val="00EB7051"/>
    <w:rsid w:val="00EC67FC"/>
    <w:rsid w:val="00EC68EB"/>
    <w:rsid w:val="00EC7C43"/>
    <w:rsid w:val="00EE0191"/>
    <w:rsid w:val="00EE4F6A"/>
    <w:rsid w:val="00EF3EF4"/>
    <w:rsid w:val="00F012E4"/>
    <w:rsid w:val="00F0631B"/>
    <w:rsid w:val="00F248D2"/>
    <w:rsid w:val="00F27F00"/>
    <w:rsid w:val="00F33570"/>
    <w:rsid w:val="00F655F4"/>
    <w:rsid w:val="00F71153"/>
    <w:rsid w:val="00F81EB6"/>
    <w:rsid w:val="00F858D4"/>
    <w:rsid w:val="00FA0450"/>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ADDE4E9"/>
  <w15:chartTrackingRefBased/>
  <w15:docId w15:val="{2312BA4C-B0B1-6E48-84BF-D52F161C5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1109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09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098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1098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1098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1098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1098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1098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1098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988"/>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110988"/>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semiHidden/>
    <w:rsid w:val="00110988"/>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110988"/>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110988"/>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110988"/>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110988"/>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110988"/>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110988"/>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11098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988"/>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11098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988"/>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11098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0988"/>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110988"/>
    <w:pPr>
      <w:ind w:left="720"/>
      <w:contextualSpacing/>
    </w:pPr>
  </w:style>
  <w:style w:type="character" w:styleId="IntenseEmphasis">
    <w:name w:val="Intense Emphasis"/>
    <w:basedOn w:val="DefaultParagraphFont"/>
    <w:uiPriority w:val="21"/>
    <w:qFormat/>
    <w:rsid w:val="00110988"/>
    <w:rPr>
      <w:i/>
      <w:iCs/>
      <w:color w:val="2F5496" w:themeColor="accent1" w:themeShade="BF"/>
    </w:rPr>
  </w:style>
  <w:style w:type="paragraph" w:styleId="IntenseQuote">
    <w:name w:val="Intense Quote"/>
    <w:basedOn w:val="Normal"/>
    <w:next w:val="Normal"/>
    <w:link w:val="IntenseQuoteChar"/>
    <w:uiPriority w:val="30"/>
    <w:qFormat/>
    <w:rsid w:val="001109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0988"/>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110988"/>
    <w:rPr>
      <w:b/>
      <w:bCs/>
      <w:smallCaps/>
      <w:color w:val="2F5496" w:themeColor="accent1" w:themeShade="BF"/>
      <w:spacing w:val="5"/>
    </w:rPr>
  </w:style>
  <w:style w:type="paragraph" w:customStyle="1" w:styleId="break-words">
    <w:name w:val="break-words"/>
    <w:basedOn w:val="Normal"/>
    <w:rsid w:val="00A3588B"/>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A3588B"/>
    <w:rPr>
      <w:i/>
      <w:iCs/>
    </w:rPr>
  </w:style>
  <w:style w:type="character" w:styleId="Strong">
    <w:name w:val="Strong"/>
    <w:basedOn w:val="DefaultParagraphFont"/>
    <w:uiPriority w:val="22"/>
    <w:qFormat/>
    <w:rsid w:val="00A358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2569720">
      <w:bodyDiv w:val="1"/>
      <w:marLeft w:val="0"/>
      <w:marRight w:val="0"/>
      <w:marTop w:val="0"/>
      <w:marBottom w:val="0"/>
      <w:divBdr>
        <w:top w:val="none" w:sz="0" w:space="0" w:color="auto"/>
        <w:left w:val="none" w:sz="0" w:space="0" w:color="auto"/>
        <w:bottom w:val="none" w:sz="0" w:space="0" w:color="auto"/>
        <w:right w:val="none" w:sz="0" w:space="0" w:color="auto"/>
      </w:divBdr>
      <w:divsChild>
        <w:div w:id="15697996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1468</Words>
  <Characters>8371</Characters>
  <Application>Microsoft Office Word</Application>
  <DocSecurity>0</DocSecurity>
  <Lines>69</Lines>
  <Paragraphs>19</Paragraphs>
  <ScaleCrop>false</ScaleCrop>
  <Company/>
  <LinksUpToDate>false</LinksUpToDate>
  <CharactersWithSpaces>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2025-02-26T10:08:00Z</dcterms:created>
  <dcterms:modified xsi:type="dcterms:W3CDTF">2025-02-26T10:14:00Z</dcterms:modified>
</cp:coreProperties>
</file>