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999E8" w14:textId="77777777" w:rsidR="00C644B8" w:rsidRDefault="00C644B8" w:rsidP="00C644B8"/>
    <w:p w14:paraId="04A23B37" w14:textId="77777777" w:rsidR="00C644B8" w:rsidRPr="00F05AFC" w:rsidRDefault="00C644B8" w:rsidP="00C644B8"/>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C644B8" w:rsidRPr="00F05AFC" w14:paraId="7DC23F67" w14:textId="77777777" w:rsidTr="00F54459">
        <w:tc>
          <w:tcPr>
            <w:tcW w:w="9242" w:type="dxa"/>
            <w:shd w:val="clear" w:color="auto" w:fill="B2A1C7"/>
          </w:tcPr>
          <w:p w14:paraId="5EC66FF7" w14:textId="77777777" w:rsidR="00C644B8" w:rsidRPr="00F05AFC" w:rsidRDefault="00C644B8" w:rsidP="00F54459">
            <w:pPr>
              <w:jc w:val="center"/>
              <w:rPr>
                <w:b/>
                <w:sz w:val="28"/>
                <w:szCs w:val="28"/>
              </w:rPr>
            </w:pPr>
            <w:r w:rsidRPr="00F05AFC">
              <w:rPr>
                <w:b/>
                <w:sz w:val="28"/>
                <w:szCs w:val="28"/>
              </w:rPr>
              <w:t>WEEK 1</w:t>
            </w:r>
          </w:p>
        </w:tc>
      </w:tr>
      <w:tr w:rsidR="00C644B8" w:rsidRPr="00F05AFC" w14:paraId="528C5FDB" w14:textId="77777777" w:rsidTr="00F54459">
        <w:tc>
          <w:tcPr>
            <w:tcW w:w="9242" w:type="dxa"/>
            <w:shd w:val="clear" w:color="auto" w:fill="B2A1C7"/>
          </w:tcPr>
          <w:p w14:paraId="264FDFF8" w14:textId="668915FE" w:rsidR="00C644B8" w:rsidRDefault="00C644B8" w:rsidP="00F54459">
            <w:pPr>
              <w:jc w:val="center"/>
              <w:rPr>
                <w:b/>
                <w:sz w:val="28"/>
                <w:szCs w:val="28"/>
              </w:rPr>
            </w:pPr>
            <w:r>
              <w:rPr>
                <w:b/>
                <w:sz w:val="28"/>
                <w:szCs w:val="28"/>
              </w:rPr>
              <w:t>October 202</w:t>
            </w:r>
            <w:r w:rsidR="00172025">
              <w:rPr>
                <w:b/>
                <w:sz w:val="28"/>
                <w:szCs w:val="28"/>
              </w:rPr>
              <w:t>4</w:t>
            </w:r>
          </w:p>
          <w:p w14:paraId="2007491B" w14:textId="59FBA759" w:rsidR="002D58FB" w:rsidRPr="00F05AFC" w:rsidRDefault="002D58FB" w:rsidP="00F54459">
            <w:pPr>
              <w:jc w:val="center"/>
              <w:rPr>
                <w:b/>
                <w:sz w:val="28"/>
                <w:szCs w:val="28"/>
              </w:rPr>
            </w:pPr>
          </w:p>
        </w:tc>
      </w:tr>
      <w:tr w:rsidR="00C644B8" w:rsidRPr="00F05AFC" w14:paraId="190F46F5" w14:textId="77777777" w:rsidTr="00F54459">
        <w:tc>
          <w:tcPr>
            <w:tcW w:w="9242" w:type="dxa"/>
            <w:shd w:val="clear" w:color="auto" w:fill="B2A1C7"/>
          </w:tcPr>
          <w:p w14:paraId="6E464699" w14:textId="77777777" w:rsidR="00C644B8" w:rsidRPr="00F05AFC" w:rsidRDefault="00C644B8" w:rsidP="00F54459">
            <w:pPr>
              <w:jc w:val="center"/>
              <w:rPr>
                <w:b/>
                <w:sz w:val="28"/>
                <w:szCs w:val="28"/>
              </w:rPr>
            </w:pPr>
            <w:r w:rsidRPr="00F05AFC">
              <w:rPr>
                <w:b/>
                <w:sz w:val="28"/>
                <w:szCs w:val="28"/>
              </w:rPr>
              <w:t xml:space="preserve">Introduction to Commercial Law </w:t>
            </w:r>
          </w:p>
        </w:tc>
      </w:tr>
    </w:tbl>
    <w:p w14:paraId="7A21E3B7" w14:textId="77777777" w:rsidR="00C644B8" w:rsidRDefault="00C644B8" w:rsidP="00C644B8"/>
    <w:p w14:paraId="0129E4F6" w14:textId="77777777" w:rsidR="00C644B8" w:rsidRDefault="00C644B8" w:rsidP="00C644B8">
      <w:r w:rsidRPr="002244F2">
        <w:rPr>
          <w:b/>
          <w:bCs/>
          <w:noProof/>
          <w:u w:val="single"/>
        </w:rPr>
        <mc:AlternateContent>
          <mc:Choice Requires="wps">
            <w:drawing>
              <wp:anchor distT="45720" distB="45720" distL="114300" distR="114300" simplePos="0" relativeHeight="251659264" behindDoc="0" locked="0" layoutInCell="1" allowOverlap="1" wp14:anchorId="6A7A1F28" wp14:editId="6A0A2CAD">
                <wp:simplePos x="0" y="0"/>
                <wp:positionH relativeFrom="column">
                  <wp:posOffset>12700</wp:posOffset>
                </wp:positionH>
                <wp:positionV relativeFrom="paragraph">
                  <wp:posOffset>283845</wp:posOffset>
                </wp:positionV>
                <wp:extent cx="5549265" cy="1778000"/>
                <wp:effectExtent l="0" t="0" r="133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265" cy="1778000"/>
                        </a:xfrm>
                        <a:prstGeom prst="rect">
                          <a:avLst/>
                        </a:prstGeom>
                        <a:solidFill>
                          <a:srgbClr val="FFFFFF"/>
                        </a:solidFill>
                        <a:ln w="9525">
                          <a:solidFill>
                            <a:srgbClr val="000000"/>
                          </a:solidFill>
                          <a:miter lim="800000"/>
                          <a:headEnd/>
                          <a:tailEnd/>
                        </a:ln>
                      </wps:spPr>
                      <wps:txbx>
                        <w:txbxContent>
                          <w:p w14:paraId="1AD54539" w14:textId="77777777" w:rsidR="00C644B8" w:rsidRPr="002244F2" w:rsidRDefault="00C644B8" w:rsidP="00C644B8">
                            <w:pPr>
                              <w:jc w:val="center"/>
                              <w:rPr>
                                <w:b/>
                                <w:bCs/>
                                <w:color w:val="FF0000"/>
                                <w:u w:val="single"/>
                              </w:rPr>
                            </w:pPr>
                            <w:r w:rsidRPr="002244F2">
                              <w:rPr>
                                <w:b/>
                                <w:bCs/>
                                <w:color w:val="FF0000"/>
                                <w:u w:val="single"/>
                              </w:rPr>
                              <w:t>Overview of Lecture 1</w:t>
                            </w:r>
                          </w:p>
                          <w:p w14:paraId="02CD6477" w14:textId="77777777" w:rsidR="00C644B8" w:rsidRPr="002244F2" w:rsidRDefault="00C644B8" w:rsidP="00C644B8">
                            <w:pPr>
                              <w:jc w:val="center"/>
                              <w:rPr>
                                <w:b/>
                                <w:bCs/>
                                <w:color w:val="FF0000"/>
                                <w:u w:val="single"/>
                              </w:rPr>
                            </w:pPr>
                          </w:p>
                          <w:p w14:paraId="1C93EB05" w14:textId="77777777" w:rsidR="00C644B8" w:rsidRPr="002244F2" w:rsidRDefault="00C644B8" w:rsidP="00C644B8">
                            <w:pPr>
                              <w:jc w:val="both"/>
                              <w:rPr>
                                <w:color w:val="FF0000"/>
                              </w:rPr>
                            </w:pPr>
                            <w:r w:rsidRPr="002244F2">
                              <w:rPr>
                                <w:color w:val="FF0000"/>
                              </w:rPr>
                              <w:t xml:space="preserve">This first lecture is to introduce you to some of the fundamental concepts and underlying principles in commercial law.  We will explore briefly how there came to be a body of commercial law (some legal history) and then discuss some of the concepts and ideas that you need to keep in mind as we go through the course and </w:t>
                            </w:r>
                            <w:r>
                              <w:rPr>
                                <w:color w:val="FF0000"/>
                              </w:rPr>
                              <w:t>you begin to understand and analyse</w:t>
                            </w:r>
                            <w:r w:rsidRPr="002244F2">
                              <w:rPr>
                                <w:color w:val="FF0000"/>
                              </w:rPr>
                              <w:t xml:space="preserve"> particular statutory and common law rules.</w:t>
                            </w:r>
                          </w:p>
                          <w:p w14:paraId="71ABE4B9" w14:textId="77777777" w:rsidR="00C644B8" w:rsidRDefault="00C644B8" w:rsidP="00C644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7A1F28" id="_x0000_t202" coordsize="21600,21600" o:spt="202" path="m,l,21600r21600,l21600,xe">
                <v:stroke joinstyle="miter"/>
                <v:path gradientshapeok="t" o:connecttype="rect"/>
              </v:shapetype>
              <v:shape id="Text Box 2" o:spid="_x0000_s1026" type="#_x0000_t202" style="position:absolute;margin-left:1pt;margin-top:22.35pt;width:436.95pt;height:14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">
                <v:textbox>
                  <w:txbxContent>
                    <w:p w14:paraId="1AD54539" w14:textId="77777777" w:rsidR="00C644B8" w:rsidRPr="002244F2" w:rsidRDefault="00C644B8" w:rsidP="00C644B8">
                      <w:pPr>
                        <w:jc w:val="center"/>
                        <w:rPr>
                          <w:b/>
                          <w:bCs/>
                          <w:color w:val="FF0000"/>
                          <w:u w:val="single"/>
                        </w:rPr>
                      </w:pPr>
                      <w:r w:rsidRPr="002244F2">
                        <w:rPr>
                          <w:b/>
                          <w:bCs/>
                          <w:color w:val="FF0000"/>
                          <w:u w:val="single"/>
                        </w:rPr>
                        <w:t>Overview of Lecture 1</w:t>
                      </w:r>
                    </w:p>
                    <w:p w14:paraId="02CD6477" w14:textId="77777777" w:rsidR="00C644B8" w:rsidRPr="002244F2" w:rsidRDefault="00C644B8" w:rsidP="00C644B8">
                      <w:pPr>
                        <w:jc w:val="center"/>
                        <w:rPr>
                          <w:b/>
                          <w:bCs/>
                          <w:color w:val="FF0000"/>
                          <w:u w:val="single"/>
                        </w:rPr>
                      </w:pPr>
                    </w:p>
                    <w:p w14:paraId="1C93EB05" w14:textId="77777777" w:rsidR="00C644B8" w:rsidRPr="002244F2" w:rsidRDefault="00C644B8" w:rsidP="00C644B8">
                      <w:pPr>
                        <w:jc w:val="both"/>
                        <w:rPr>
                          <w:color w:val="FF0000"/>
                        </w:rPr>
                      </w:pPr>
                      <w:r w:rsidRPr="002244F2">
                        <w:rPr>
                          <w:color w:val="FF0000"/>
                        </w:rPr>
                        <w:t xml:space="preserve">This first lecture is to introduce you to some of the fundamental concepts and underlying principles in commercial law.  We will explore briefly how there came to be a body of commercial law (some legal history) and then discuss some of the concepts and ideas that you need to keep in mind as we go through the </w:t>
                      </w:r>
                      <w:proofErr w:type="gramStart"/>
                      <w:r w:rsidRPr="002244F2">
                        <w:rPr>
                          <w:color w:val="FF0000"/>
                        </w:rPr>
                        <w:t>course</w:t>
                      </w:r>
                      <w:proofErr w:type="gramEnd"/>
                      <w:r w:rsidRPr="002244F2">
                        <w:rPr>
                          <w:color w:val="FF0000"/>
                        </w:rPr>
                        <w:t xml:space="preserve"> and </w:t>
                      </w:r>
                      <w:r>
                        <w:rPr>
                          <w:color w:val="FF0000"/>
                        </w:rPr>
                        <w:t>you begin to understand and analyse</w:t>
                      </w:r>
                      <w:r w:rsidRPr="002244F2">
                        <w:rPr>
                          <w:color w:val="FF0000"/>
                        </w:rPr>
                        <w:t xml:space="preserve"> particular statutory and common law rules.</w:t>
                      </w:r>
                    </w:p>
                    <w:p w14:paraId="71ABE4B9" w14:textId="77777777" w:rsidR="00C644B8" w:rsidRDefault="00C644B8" w:rsidP="00C644B8"/>
                  </w:txbxContent>
                </v:textbox>
                <w10:wrap type="square"/>
              </v:shape>
            </w:pict>
          </mc:Fallback>
        </mc:AlternateContent>
      </w:r>
    </w:p>
    <w:p w14:paraId="3F41600C" w14:textId="77777777" w:rsidR="00C644B8" w:rsidRDefault="00C644B8" w:rsidP="00C644B8"/>
    <w:p w14:paraId="4A0E8C6B" w14:textId="77777777" w:rsidR="00C644B8" w:rsidRPr="00F05AFC" w:rsidRDefault="00C644B8" w:rsidP="00C644B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5733"/>
      </w:tblGrid>
      <w:tr w:rsidR="00C644B8" w:rsidRPr="00F05AFC" w14:paraId="1B29FCB3" w14:textId="77777777" w:rsidTr="00F54459">
        <w:trPr>
          <w:trHeight w:val="841"/>
        </w:trPr>
        <w:tc>
          <w:tcPr>
            <w:tcW w:w="0" w:type="auto"/>
            <w:shd w:val="clear" w:color="auto" w:fill="B2A1C7"/>
          </w:tcPr>
          <w:p w14:paraId="2B2DC4EE" w14:textId="77777777" w:rsidR="00C644B8" w:rsidRDefault="00C644B8" w:rsidP="00F54459">
            <w:pPr>
              <w:rPr>
                <w:b/>
                <w:bCs/>
                <w:i/>
                <w:sz w:val="28"/>
                <w:szCs w:val="28"/>
              </w:rPr>
            </w:pPr>
            <w:r w:rsidRPr="00F05AFC">
              <w:rPr>
                <w:b/>
                <w:bCs/>
                <w:i/>
                <w:sz w:val="28"/>
                <w:szCs w:val="28"/>
              </w:rPr>
              <w:t>Essential reading</w:t>
            </w:r>
          </w:p>
          <w:p w14:paraId="15E8B30F" w14:textId="77777777" w:rsidR="00C644B8" w:rsidRPr="00F05AFC" w:rsidRDefault="00C644B8" w:rsidP="00F54459">
            <w:pPr>
              <w:rPr>
                <w:b/>
                <w:bCs/>
                <w:i/>
                <w:sz w:val="28"/>
                <w:szCs w:val="28"/>
              </w:rPr>
            </w:pPr>
            <w:r>
              <w:rPr>
                <w:b/>
                <w:bCs/>
                <w:i/>
                <w:sz w:val="28"/>
                <w:szCs w:val="28"/>
              </w:rPr>
              <w:t xml:space="preserve">(You cannot get away with not reading this!  </w:t>
            </w:r>
          </w:p>
        </w:tc>
      </w:tr>
    </w:tbl>
    <w:p w14:paraId="34D025FC" w14:textId="77777777" w:rsidR="00C644B8" w:rsidRDefault="00C644B8" w:rsidP="00C644B8"/>
    <w:p w14:paraId="304E0EE9" w14:textId="77777777" w:rsidR="00C644B8" w:rsidRPr="00F05AFC" w:rsidRDefault="00C644B8" w:rsidP="00C644B8">
      <w:r>
        <w:t xml:space="preserve">                               </w:t>
      </w:r>
      <w:r>
        <w:rPr>
          <w:noProof/>
          <w:color w:val="0000FF"/>
        </w:rPr>
        <w:drawing>
          <wp:inline distT="0" distB="0" distL="0" distR="0" wp14:anchorId="2360DF50" wp14:editId="341D9FCB">
            <wp:extent cx="2019300" cy="1416050"/>
            <wp:effectExtent l="0" t="0" r="0" b="0"/>
            <wp:docPr id="4" name="irc_mi"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3D9EDCBB" w14:textId="77777777" w:rsidR="00C644B8" w:rsidRDefault="00C644B8" w:rsidP="00C644B8"/>
    <w:p w14:paraId="1286D4D8" w14:textId="77777777" w:rsidR="00C644B8" w:rsidRPr="00F05AFC" w:rsidRDefault="00C644B8" w:rsidP="00C644B8"/>
    <w:p w14:paraId="59A00CF4" w14:textId="77777777" w:rsidR="00C644B8" w:rsidRDefault="00C644B8" w:rsidP="00C644B8">
      <w:pPr>
        <w:numPr>
          <w:ilvl w:val="0"/>
          <w:numId w:val="4"/>
        </w:numPr>
        <w:rPr>
          <w:szCs w:val="24"/>
        </w:rPr>
      </w:pPr>
      <w:r>
        <w:rPr>
          <w:szCs w:val="24"/>
        </w:rPr>
        <w:t>Fox et al</w:t>
      </w:r>
      <w:r w:rsidRPr="00EA63B0">
        <w:rPr>
          <w:szCs w:val="24"/>
        </w:rPr>
        <w:t>,</w:t>
      </w:r>
      <w:r>
        <w:rPr>
          <w:szCs w:val="24"/>
        </w:rPr>
        <w:t xml:space="preserve"> </w:t>
      </w:r>
      <w:r w:rsidRPr="006C2A92">
        <w:rPr>
          <w:i/>
          <w:iCs/>
          <w:szCs w:val="24"/>
        </w:rPr>
        <w:t>Sealy and Hooley’s</w:t>
      </w:r>
      <w:r>
        <w:rPr>
          <w:szCs w:val="24"/>
        </w:rPr>
        <w:t xml:space="preserve"> </w:t>
      </w:r>
      <w:r>
        <w:rPr>
          <w:i/>
          <w:szCs w:val="24"/>
        </w:rPr>
        <w:t>Commercial Law: T</w:t>
      </w:r>
      <w:r w:rsidRPr="007E327A">
        <w:rPr>
          <w:i/>
          <w:szCs w:val="24"/>
        </w:rPr>
        <w:t>ext, Cases and Materials</w:t>
      </w:r>
      <w:r>
        <w:rPr>
          <w:szCs w:val="24"/>
        </w:rPr>
        <w:t>,</w:t>
      </w:r>
      <w:r w:rsidRPr="00EA63B0">
        <w:rPr>
          <w:szCs w:val="24"/>
        </w:rPr>
        <w:t xml:space="preserve"> chapter 1</w:t>
      </w:r>
    </w:p>
    <w:p w14:paraId="6C1DC61A" w14:textId="77777777" w:rsidR="00C644B8" w:rsidRDefault="00C644B8" w:rsidP="00C644B8">
      <w:pPr>
        <w:ind w:left="720"/>
        <w:rPr>
          <w:b/>
          <w:bCs/>
          <w:szCs w:val="24"/>
          <w:u w:val="single"/>
        </w:rPr>
      </w:pPr>
      <w:r w:rsidRPr="00556952">
        <w:rPr>
          <w:b/>
          <w:bCs/>
          <w:szCs w:val="24"/>
          <w:u w:val="single"/>
        </w:rPr>
        <w:t>OR</w:t>
      </w:r>
    </w:p>
    <w:p w14:paraId="4D45CF00" w14:textId="77777777" w:rsidR="00C644B8" w:rsidRPr="00556952" w:rsidRDefault="00C644B8" w:rsidP="00C644B8">
      <w:pPr>
        <w:ind w:left="720"/>
        <w:rPr>
          <w:b/>
          <w:bCs/>
          <w:szCs w:val="24"/>
          <w:u w:val="single"/>
        </w:rPr>
      </w:pPr>
    </w:p>
    <w:p w14:paraId="0A232113" w14:textId="77777777" w:rsidR="00C644B8" w:rsidRDefault="00C644B8" w:rsidP="00C644B8">
      <w:pPr>
        <w:numPr>
          <w:ilvl w:val="0"/>
          <w:numId w:val="4"/>
        </w:numPr>
        <w:rPr>
          <w:szCs w:val="24"/>
        </w:rPr>
      </w:pPr>
      <w:r>
        <w:rPr>
          <w:szCs w:val="24"/>
        </w:rPr>
        <w:t xml:space="preserve">McKendrick, </w:t>
      </w:r>
      <w:r w:rsidRPr="007E327A">
        <w:rPr>
          <w:i/>
          <w:szCs w:val="24"/>
        </w:rPr>
        <w:t>Goode</w:t>
      </w:r>
      <w:r>
        <w:rPr>
          <w:i/>
          <w:szCs w:val="24"/>
        </w:rPr>
        <w:t xml:space="preserve"> and McKendrick on </w:t>
      </w:r>
      <w:r w:rsidRPr="007E327A">
        <w:rPr>
          <w:i/>
          <w:szCs w:val="24"/>
        </w:rPr>
        <w:t>Commercial Law</w:t>
      </w:r>
      <w:r>
        <w:rPr>
          <w:szCs w:val="24"/>
        </w:rPr>
        <w:t>, chapter 1 (and chapter 4 only if you are particularly interested in different types of commercial and non-commercial contracts but beware this is hard going!)</w:t>
      </w:r>
    </w:p>
    <w:p w14:paraId="00B882DD" w14:textId="77777777" w:rsidR="00C644B8" w:rsidRDefault="00C644B8" w:rsidP="00C644B8">
      <w:pPr>
        <w:ind w:left="360"/>
      </w:pPr>
    </w:p>
    <w:p w14:paraId="41810B29" w14:textId="77777777" w:rsidR="00C644B8" w:rsidRPr="00604C7F" w:rsidRDefault="00C644B8" w:rsidP="00C644B8">
      <w:pPr>
        <w:ind w:left="360"/>
        <w:rPr>
          <w:color w:val="FF0000"/>
          <w:szCs w:val="24"/>
        </w:rPr>
      </w:pPr>
      <w:r w:rsidRPr="00604C7F">
        <w:rPr>
          <w:color w:val="FF0000"/>
        </w:rPr>
        <w:t>[Usually there would be alternative reading from Atiyah and Adams’ Sale of Goods but this textbook doesn’t deal with the content we deal with in lecture 1.  So, instead please read from either the casebook or Goode for this week]</w:t>
      </w:r>
    </w:p>
    <w:p w14:paraId="0E960A8D" w14:textId="77777777" w:rsidR="00C644B8" w:rsidRDefault="00C644B8" w:rsidP="00C644B8"/>
    <w:p w14:paraId="2D1F7C52" w14:textId="77777777" w:rsidR="00C644B8" w:rsidRDefault="00C644B8" w:rsidP="00C644B8"/>
    <w:p w14:paraId="2BF11900" w14:textId="77777777" w:rsidR="00C644B8" w:rsidRPr="00F05AFC" w:rsidRDefault="00C644B8" w:rsidP="00C644B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60"/>
      </w:tblGrid>
      <w:tr w:rsidR="00C644B8" w:rsidRPr="00F05AFC" w14:paraId="7D6AE44D" w14:textId="77777777" w:rsidTr="00F54459">
        <w:tc>
          <w:tcPr>
            <w:tcW w:w="2660" w:type="dxa"/>
            <w:shd w:val="clear" w:color="auto" w:fill="B2A1C7"/>
          </w:tcPr>
          <w:p w14:paraId="5B58EC37" w14:textId="77777777" w:rsidR="00C644B8" w:rsidRPr="00F05AFC" w:rsidRDefault="00C644B8" w:rsidP="00F54459">
            <w:pPr>
              <w:rPr>
                <w:b/>
                <w:bCs/>
                <w:i/>
                <w:sz w:val="28"/>
                <w:szCs w:val="28"/>
              </w:rPr>
            </w:pPr>
            <w:r w:rsidRPr="00F05AFC">
              <w:rPr>
                <w:b/>
                <w:bCs/>
                <w:i/>
                <w:sz w:val="28"/>
                <w:szCs w:val="28"/>
              </w:rPr>
              <w:t>Additional reading</w:t>
            </w:r>
          </w:p>
        </w:tc>
      </w:tr>
      <w:tr w:rsidR="00C644B8" w:rsidRPr="00F05AFC" w14:paraId="1547E6DB" w14:textId="77777777" w:rsidTr="00F54459">
        <w:tc>
          <w:tcPr>
            <w:tcW w:w="2660" w:type="dxa"/>
            <w:shd w:val="clear" w:color="auto" w:fill="B2A1C7"/>
          </w:tcPr>
          <w:p w14:paraId="08C55483" w14:textId="77777777" w:rsidR="00C644B8" w:rsidRPr="00F05AFC" w:rsidRDefault="00C644B8" w:rsidP="00F54459">
            <w:pPr>
              <w:rPr>
                <w:b/>
                <w:bCs/>
                <w:i/>
                <w:sz w:val="28"/>
                <w:szCs w:val="28"/>
              </w:rPr>
            </w:pPr>
            <w:r>
              <w:rPr>
                <w:b/>
                <w:bCs/>
                <w:i/>
                <w:sz w:val="28"/>
                <w:szCs w:val="28"/>
              </w:rPr>
              <w:t>(Try to read 2-3 of these articles)</w:t>
            </w:r>
          </w:p>
        </w:tc>
      </w:tr>
    </w:tbl>
    <w:p w14:paraId="02701B0E" w14:textId="77777777" w:rsidR="00C644B8" w:rsidRDefault="00C644B8" w:rsidP="00C644B8"/>
    <w:p w14:paraId="21CAA41B" w14:textId="77777777" w:rsidR="00C644B8" w:rsidRDefault="00C644B8" w:rsidP="00C644B8">
      <w:r>
        <w:rPr>
          <w:noProof/>
          <w:color w:val="0000FF"/>
        </w:rPr>
        <w:drawing>
          <wp:inline distT="0" distB="0" distL="0" distR="0" wp14:anchorId="4AEB5B4B" wp14:editId="421A367F">
            <wp:extent cx="2330450" cy="2012950"/>
            <wp:effectExtent l="0" t="0" r="0" b="0"/>
            <wp:docPr id="5" name="Picture 5"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0450" cy="2012950"/>
                    </a:xfrm>
                    <a:prstGeom prst="rect">
                      <a:avLst/>
                    </a:prstGeom>
                    <a:noFill/>
                    <a:ln>
                      <a:noFill/>
                    </a:ln>
                  </pic:spPr>
                </pic:pic>
              </a:graphicData>
            </a:graphic>
          </wp:inline>
        </w:drawing>
      </w:r>
    </w:p>
    <w:p w14:paraId="7606663E" w14:textId="77777777" w:rsidR="00C644B8" w:rsidRPr="00F05AFC" w:rsidRDefault="00C644B8" w:rsidP="00C644B8"/>
    <w:p w14:paraId="6E8D3F79" w14:textId="77777777" w:rsidR="00C644B8" w:rsidRPr="00EA63B0" w:rsidRDefault="00C644B8" w:rsidP="00C644B8">
      <w:pPr>
        <w:pStyle w:val="PlainText"/>
        <w:numPr>
          <w:ilvl w:val="0"/>
          <w:numId w:val="5"/>
        </w:numPr>
        <w:rPr>
          <w:rFonts w:ascii="Palatino Linotype" w:hAnsi="Palatino Linotype" w:cs="Calibri"/>
          <w:szCs w:val="24"/>
        </w:rPr>
      </w:pPr>
      <w:r>
        <w:rPr>
          <w:rFonts w:ascii="Palatino Linotype" w:hAnsi="Palatino Linotype" w:cs="Calibri"/>
          <w:szCs w:val="24"/>
          <w:lang w:val="en-GB"/>
        </w:rPr>
        <w:t xml:space="preserve">D.M. </w:t>
      </w:r>
      <w:r w:rsidRPr="003827B0">
        <w:rPr>
          <w:rFonts w:ascii="Palatino Linotype" w:hAnsi="Palatino Linotype" w:cs="Calibri"/>
          <w:szCs w:val="24"/>
        </w:rPr>
        <w:t>Arden</w:t>
      </w:r>
      <w:r w:rsidRPr="003827B0">
        <w:rPr>
          <w:rFonts w:ascii="Palatino Linotype" w:hAnsi="Palatino Linotype" w:cs="Calibri"/>
          <w:szCs w:val="24"/>
          <w:lang w:val="en-GB"/>
        </w:rPr>
        <w:t>,</w:t>
      </w:r>
      <w:r w:rsidRPr="003827B0">
        <w:rPr>
          <w:rFonts w:ascii="Palatino Linotype" w:hAnsi="Palatino Linotype" w:cs="Calibri"/>
          <w:szCs w:val="24"/>
        </w:rPr>
        <w:t xml:space="preserve"> </w:t>
      </w:r>
      <w:r w:rsidRPr="003827B0">
        <w:rPr>
          <w:rFonts w:ascii="Palatino Linotype" w:hAnsi="Palatino Linotype" w:cs="Calibri"/>
          <w:szCs w:val="24"/>
          <w:lang w:val="en-GB"/>
        </w:rPr>
        <w:t>‘</w:t>
      </w:r>
      <w:r w:rsidRPr="003827B0">
        <w:rPr>
          <w:rFonts w:ascii="Palatino Linotype" w:hAnsi="Palatino Linotype" w:cs="Calibri"/>
          <w:szCs w:val="24"/>
        </w:rPr>
        <w:t>Time for an English Commercial Code</w:t>
      </w:r>
      <w:r w:rsidRPr="003827B0">
        <w:rPr>
          <w:rFonts w:ascii="Palatino Linotype" w:hAnsi="Palatino Linotype" w:cs="Calibri"/>
          <w:szCs w:val="24"/>
          <w:lang w:val="en-GB"/>
        </w:rPr>
        <w:t>’</w:t>
      </w:r>
      <w:r w:rsidRPr="003827B0">
        <w:rPr>
          <w:rFonts w:ascii="Palatino Linotype" w:hAnsi="Palatino Linotype" w:cs="Calibri"/>
          <w:szCs w:val="24"/>
        </w:rPr>
        <w:t xml:space="preserve"> (1997) 56(3) </w:t>
      </w:r>
      <w:r w:rsidRPr="003827B0">
        <w:rPr>
          <w:rFonts w:ascii="Palatino Linotype" w:hAnsi="Palatino Linotype" w:cs="Calibri"/>
          <w:i/>
          <w:szCs w:val="24"/>
        </w:rPr>
        <w:t>CLJ</w:t>
      </w:r>
      <w:r w:rsidRPr="003827B0">
        <w:rPr>
          <w:rFonts w:ascii="Palatino Linotype" w:hAnsi="Palatino Linotype" w:cs="Calibri"/>
          <w:szCs w:val="24"/>
        </w:rPr>
        <w:t xml:space="preserve"> 516.</w:t>
      </w:r>
      <w:r>
        <w:rPr>
          <w:rFonts w:ascii="Palatino Linotype" w:hAnsi="Palatino Linotype" w:cs="Calibri"/>
          <w:szCs w:val="24"/>
          <w:lang w:val="en-GB"/>
        </w:rPr>
        <w:t>M.</w:t>
      </w:r>
    </w:p>
    <w:p w14:paraId="3BC8F4FA"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rPr>
        <w:t xml:space="preserve">Bridge ‘What is to be done about sale of goods.’ (2003) 119 </w:t>
      </w:r>
      <w:r w:rsidRPr="00EA63B0">
        <w:rPr>
          <w:rFonts w:ascii="Palatino Linotype" w:hAnsi="Palatino Linotype" w:cs="Calibri"/>
          <w:i/>
          <w:szCs w:val="24"/>
        </w:rPr>
        <w:t>LQR</w:t>
      </w:r>
      <w:r w:rsidRPr="00EA63B0">
        <w:rPr>
          <w:rFonts w:ascii="Palatino Linotype" w:hAnsi="Palatino Linotype" w:cs="Calibri"/>
          <w:szCs w:val="24"/>
        </w:rPr>
        <w:t xml:space="preserve"> 173.</w:t>
      </w:r>
    </w:p>
    <w:p w14:paraId="276AE394"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lang w:val="en-GB"/>
        </w:rPr>
        <w:t xml:space="preserve">Lord </w:t>
      </w:r>
      <w:r w:rsidRPr="00EA63B0">
        <w:rPr>
          <w:rFonts w:ascii="Palatino Linotype" w:hAnsi="Palatino Linotype" w:cs="Calibri"/>
          <w:szCs w:val="24"/>
        </w:rPr>
        <w:t>Irvine</w:t>
      </w:r>
      <w:r w:rsidRPr="00EA63B0">
        <w:rPr>
          <w:rFonts w:ascii="Palatino Linotype" w:hAnsi="Palatino Linotype" w:cs="Calibri"/>
          <w:szCs w:val="24"/>
          <w:lang w:val="en-GB"/>
        </w:rPr>
        <w:t>, ‘</w:t>
      </w:r>
      <w:r w:rsidRPr="00EA63B0">
        <w:rPr>
          <w:rFonts w:ascii="Palatino Linotype" w:hAnsi="Palatino Linotype" w:cs="Calibri"/>
          <w:szCs w:val="24"/>
        </w:rPr>
        <w:t>The Law</w:t>
      </w:r>
      <w:r w:rsidRPr="00EA63B0">
        <w:rPr>
          <w:rFonts w:ascii="Palatino Linotype" w:hAnsi="Palatino Linotype" w:cs="Calibri"/>
          <w:szCs w:val="24"/>
          <w:lang w:val="en-GB"/>
        </w:rPr>
        <w:t>:</w:t>
      </w:r>
      <w:r w:rsidRPr="00EA63B0">
        <w:rPr>
          <w:rFonts w:ascii="Palatino Linotype" w:hAnsi="Palatino Linotype" w:cs="Calibri"/>
          <w:szCs w:val="24"/>
        </w:rPr>
        <w:t xml:space="preserve"> An Engine for Trade</w:t>
      </w:r>
      <w:r w:rsidRPr="00EA63B0">
        <w:rPr>
          <w:rFonts w:ascii="Palatino Linotype" w:hAnsi="Palatino Linotype" w:cs="Calibri"/>
          <w:szCs w:val="24"/>
          <w:lang w:val="en-GB"/>
        </w:rPr>
        <w:t>’</w:t>
      </w:r>
      <w:r w:rsidRPr="00EA63B0">
        <w:rPr>
          <w:rFonts w:ascii="Palatino Linotype" w:hAnsi="Palatino Linotype" w:cs="Calibri"/>
          <w:szCs w:val="24"/>
        </w:rPr>
        <w:t xml:space="preserve"> (2001) 64 </w:t>
      </w:r>
      <w:r w:rsidRPr="00EA63B0">
        <w:rPr>
          <w:rFonts w:ascii="Palatino Linotype" w:hAnsi="Palatino Linotype" w:cs="Calibri"/>
          <w:i/>
          <w:szCs w:val="24"/>
        </w:rPr>
        <w:t>MLR</w:t>
      </w:r>
      <w:r w:rsidRPr="00EA63B0">
        <w:rPr>
          <w:rFonts w:ascii="Palatino Linotype" w:hAnsi="Palatino Linotype" w:cs="Calibri"/>
          <w:szCs w:val="24"/>
        </w:rPr>
        <w:t xml:space="preserve"> 333</w:t>
      </w:r>
    </w:p>
    <w:p w14:paraId="4AA9668D"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lang w:val="en-GB"/>
        </w:rPr>
        <w:t xml:space="preserve">M. </w:t>
      </w:r>
      <w:r w:rsidRPr="00EA63B0">
        <w:rPr>
          <w:rFonts w:ascii="Palatino Linotype" w:hAnsi="Palatino Linotype" w:cs="Calibri"/>
          <w:szCs w:val="24"/>
        </w:rPr>
        <w:t xml:space="preserve">Clarke ‘Doubts from the dark side: the case against codes’ (2001) </w:t>
      </w:r>
      <w:r w:rsidRPr="00EA63B0">
        <w:rPr>
          <w:rFonts w:ascii="Palatino Linotype" w:hAnsi="Palatino Linotype" w:cs="Calibri"/>
          <w:i/>
          <w:szCs w:val="24"/>
        </w:rPr>
        <w:t>JBL</w:t>
      </w:r>
      <w:r w:rsidRPr="00EA63B0">
        <w:rPr>
          <w:rFonts w:ascii="Palatino Linotype" w:hAnsi="Palatino Linotype" w:cs="Calibri"/>
          <w:szCs w:val="24"/>
        </w:rPr>
        <w:t xml:space="preserve"> 605.</w:t>
      </w:r>
    </w:p>
    <w:p w14:paraId="5FD01B7E"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lang w:val="en-GB"/>
        </w:rPr>
        <w:t xml:space="preserve">M. </w:t>
      </w:r>
      <w:r w:rsidRPr="00EA63B0">
        <w:rPr>
          <w:rFonts w:ascii="Palatino Linotype" w:hAnsi="Palatino Linotype" w:cs="Calibri"/>
          <w:szCs w:val="24"/>
        </w:rPr>
        <w:t>Bridge</w:t>
      </w:r>
      <w:r w:rsidRPr="00EA63B0">
        <w:rPr>
          <w:rFonts w:ascii="Palatino Linotype" w:hAnsi="Palatino Linotype" w:cs="Calibri"/>
          <w:szCs w:val="24"/>
          <w:lang w:val="en-GB"/>
        </w:rPr>
        <w:t>, ‘</w:t>
      </w:r>
      <w:r w:rsidRPr="00EA63B0">
        <w:rPr>
          <w:rFonts w:ascii="Palatino Linotype" w:hAnsi="Palatino Linotype" w:cs="Calibri"/>
          <w:szCs w:val="24"/>
        </w:rPr>
        <w:t xml:space="preserve">The Future of English private transactional law’ </w:t>
      </w:r>
      <w:r w:rsidRPr="00EA63B0">
        <w:rPr>
          <w:rFonts w:ascii="Palatino Linotype" w:hAnsi="Palatino Linotype" w:cs="Calibri"/>
          <w:i/>
          <w:szCs w:val="24"/>
        </w:rPr>
        <w:t>Current Legal Problems</w:t>
      </w:r>
      <w:r w:rsidRPr="00EA63B0">
        <w:rPr>
          <w:rFonts w:ascii="Palatino Linotype" w:hAnsi="Palatino Linotype" w:cs="Calibri"/>
          <w:szCs w:val="24"/>
        </w:rPr>
        <w:t xml:space="preserve"> (2002) 191</w:t>
      </w:r>
    </w:p>
    <w:p w14:paraId="4DBB9CAB"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lang w:val="en-GB"/>
        </w:rPr>
        <w:t xml:space="preserve">S. </w:t>
      </w:r>
      <w:r w:rsidRPr="00EA63B0">
        <w:rPr>
          <w:rFonts w:ascii="Palatino Linotype" w:hAnsi="Palatino Linotype" w:cs="Calibri"/>
          <w:szCs w:val="24"/>
        </w:rPr>
        <w:t xml:space="preserve">Weatherill &amp; </w:t>
      </w:r>
      <w:r w:rsidRPr="00EA63B0">
        <w:rPr>
          <w:rFonts w:ascii="Palatino Linotype" w:hAnsi="Palatino Linotype" w:cs="Calibri"/>
          <w:szCs w:val="24"/>
          <w:lang w:val="en-GB"/>
        </w:rPr>
        <w:t xml:space="preserve">S. </w:t>
      </w:r>
      <w:r w:rsidRPr="00EA63B0">
        <w:rPr>
          <w:rFonts w:ascii="Palatino Linotype" w:hAnsi="Palatino Linotype" w:cs="Calibri"/>
          <w:szCs w:val="24"/>
        </w:rPr>
        <w:t>Vogenauer</w:t>
      </w:r>
      <w:r w:rsidRPr="00EA63B0">
        <w:rPr>
          <w:rFonts w:ascii="Palatino Linotype" w:hAnsi="Palatino Linotype" w:cs="Calibri"/>
          <w:szCs w:val="24"/>
          <w:lang w:val="en-GB"/>
        </w:rPr>
        <w:t xml:space="preserve">, </w:t>
      </w:r>
      <w:r w:rsidRPr="00EA63B0">
        <w:rPr>
          <w:rFonts w:ascii="Palatino Linotype" w:hAnsi="Palatino Linotype" w:cs="Calibri"/>
          <w:szCs w:val="24"/>
        </w:rPr>
        <w:t>‘The Eur</w:t>
      </w:r>
      <w:r>
        <w:rPr>
          <w:rFonts w:ascii="Palatino Linotype" w:hAnsi="Palatino Linotype" w:cs="Calibri"/>
          <w:szCs w:val="24"/>
        </w:rPr>
        <w:t>opean Community’s Competence for</w:t>
      </w:r>
      <w:r w:rsidRPr="00EA63B0">
        <w:rPr>
          <w:rFonts w:ascii="Palatino Linotype" w:hAnsi="Palatino Linotype" w:cs="Calibri"/>
          <w:szCs w:val="24"/>
        </w:rPr>
        <w:t xml:space="preserve"> a Comprehensive Harmonisation of Contract Law – An Empirical Analysis</w:t>
      </w:r>
      <w:r w:rsidRPr="00EA63B0">
        <w:rPr>
          <w:rFonts w:ascii="Palatino Linotype" w:hAnsi="Palatino Linotype" w:cs="Calibri"/>
          <w:szCs w:val="24"/>
          <w:lang w:val="en-GB"/>
        </w:rPr>
        <w:t>’</w:t>
      </w:r>
      <w:r w:rsidRPr="00EA63B0">
        <w:rPr>
          <w:rFonts w:ascii="Palatino Linotype" w:hAnsi="Palatino Linotype" w:cs="Calibri"/>
          <w:szCs w:val="24"/>
        </w:rPr>
        <w:t xml:space="preserve"> (2005) </w:t>
      </w:r>
      <w:r w:rsidRPr="00EA63B0">
        <w:rPr>
          <w:rFonts w:ascii="Palatino Linotype" w:hAnsi="Palatino Linotype" w:cs="Calibri"/>
          <w:i/>
          <w:szCs w:val="24"/>
        </w:rPr>
        <w:t>Euro LR</w:t>
      </w:r>
      <w:r w:rsidRPr="00EA63B0">
        <w:rPr>
          <w:rFonts w:ascii="Palatino Linotype" w:hAnsi="Palatino Linotype" w:cs="Calibri"/>
          <w:szCs w:val="24"/>
        </w:rPr>
        <w:t xml:space="preserve"> 30(6) 821.</w:t>
      </w:r>
    </w:p>
    <w:p w14:paraId="31763B8A"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rPr>
        <w:t xml:space="preserve">A. Rodger, ‘The codification of commercial law in Victorian Britain’ (1992) 108 </w:t>
      </w:r>
      <w:r w:rsidRPr="00EA63B0">
        <w:rPr>
          <w:rFonts w:ascii="Palatino Linotype" w:hAnsi="Palatino Linotype" w:cs="Calibri"/>
          <w:i/>
          <w:szCs w:val="24"/>
        </w:rPr>
        <w:t>LQR</w:t>
      </w:r>
      <w:r w:rsidRPr="00EA63B0">
        <w:rPr>
          <w:rFonts w:ascii="Palatino Linotype" w:hAnsi="Palatino Linotype" w:cs="Calibri"/>
          <w:szCs w:val="24"/>
        </w:rPr>
        <w:t xml:space="preserve"> 570</w:t>
      </w:r>
    </w:p>
    <w:p w14:paraId="1FD6FACC"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cs="Calibri"/>
          <w:szCs w:val="24"/>
        </w:rPr>
        <w:t xml:space="preserve">R. Goode, ‘The Codification of Commercial Law’ 14 </w:t>
      </w:r>
      <w:r w:rsidRPr="00EA63B0">
        <w:rPr>
          <w:rFonts w:ascii="Palatino Linotype" w:hAnsi="Palatino Linotype" w:cs="Calibri"/>
          <w:i/>
          <w:szCs w:val="24"/>
        </w:rPr>
        <w:t xml:space="preserve">Monash U. L. Rev. </w:t>
      </w:r>
      <w:r w:rsidRPr="00EA63B0">
        <w:rPr>
          <w:rFonts w:ascii="Palatino Linotype" w:hAnsi="Palatino Linotype" w:cs="Calibri"/>
          <w:szCs w:val="24"/>
        </w:rPr>
        <w:t>135 (1988)</w:t>
      </w:r>
    </w:p>
    <w:p w14:paraId="15601989"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rPr>
        <w:t xml:space="preserve">R. Goode, 'Insularity or Leadership? The Role of the United Kingdom in the Harmonisation of Commercial Law' (2001) 50 </w:t>
      </w:r>
      <w:r w:rsidRPr="00EA63B0">
        <w:rPr>
          <w:rFonts w:ascii="Palatino Linotype" w:hAnsi="Palatino Linotype"/>
          <w:i/>
        </w:rPr>
        <w:t>ICLQ</w:t>
      </w:r>
      <w:r w:rsidRPr="00EA63B0">
        <w:rPr>
          <w:rFonts w:ascii="Palatino Linotype" w:hAnsi="Palatino Linotype"/>
        </w:rPr>
        <w:t xml:space="preserve"> 751</w:t>
      </w:r>
    </w:p>
    <w:p w14:paraId="22C063CE"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rPr>
        <w:t xml:space="preserve">G. Gilmore, ‘On the Difficulties of Codifying Commercial Law’ 57 </w:t>
      </w:r>
      <w:r w:rsidRPr="00EA63B0">
        <w:rPr>
          <w:rFonts w:ascii="Palatino Linotype" w:hAnsi="Palatino Linotype"/>
          <w:i/>
        </w:rPr>
        <w:t>Yale L. J.</w:t>
      </w:r>
      <w:r w:rsidRPr="00EA63B0">
        <w:rPr>
          <w:rFonts w:ascii="Palatino Linotype" w:hAnsi="Palatino Linotype"/>
        </w:rPr>
        <w:t xml:space="preserve"> 1341 (1948)</w:t>
      </w:r>
    </w:p>
    <w:p w14:paraId="49C190CE" w14:textId="77777777" w:rsidR="00C644B8" w:rsidRPr="00EA63B0" w:rsidRDefault="00C644B8" w:rsidP="00C644B8">
      <w:pPr>
        <w:pStyle w:val="PlainText"/>
        <w:numPr>
          <w:ilvl w:val="0"/>
          <w:numId w:val="5"/>
        </w:numPr>
        <w:rPr>
          <w:rFonts w:ascii="Palatino Linotype" w:hAnsi="Palatino Linotype" w:cs="Calibri"/>
          <w:szCs w:val="24"/>
        </w:rPr>
      </w:pPr>
      <w:r w:rsidRPr="00EA63B0">
        <w:rPr>
          <w:rFonts w:ascii="Palatino Linotype" w:hAnsi="Palatino Linotype"/>
        </w:rPr>
        <w:t xml:space="preserve">J.S. Hobhouse, "International Conventions and Commercial Law: The Pursuit of Uniformity", 106 </w:t>
      </w:r>
      <w:r w:rsidRPr="00EA63B0">
        <w:rPr>
          <w:rFonts w:ascii="Palatino Linotype" w:hAnsi="Palatino Linotype"/>
          <w:i/>
        </w:rPr>
        <w:t>LQR</w:t>
      </w:r>
      <w:r w:rsidRPr="00EA63B0">
        <w:rPr>
          <w:rFonts w:ascii="Palatino Linotype" w:hAnsi="Palatino Linotype"/>
        </w:rPr>
        <w:t xml:space="preserve"> 539 (1990) </w:t>
      </w:r>
    </w:p>
    <w:p w14:paraId="21DD06CE" w14:textId="77777777" w:rsidR="00C644B8" w:rsidRDefault="00C644B8" w:rsidP="00C644B8">
      <w:pPr>
        <w:pStyle w:val="Heading2"/>
        <w:numPr>
          <w:ilvl w:val="0"/>
          <w:numId w:val="0"/>
        </w:numPr>
        <w:rPr>
          <w:u w:val="single"/>
        </w:rPr>
      </w:pPr>
    </w:p>
    <w:p w14:paraId="375AC9C1" w14:textId="319C195A" w:rsidR="00C644B8" w:rsidRDefault="00C644B8" w:rsidP="00C644B8">
      <w:pPr>
        <w:rPr>
          <w:lang w:val="x-none"/>
        </w:rPr>
      </w:pPr>
    </w:p>
    <w:p w14:paraId="4C85543B" w14:textId="31FD40AA" w:rsidR="00C644B8" w:rsidRDefault="00C644B8" w:rsidP="00C644B8">
      <w:pPr>
        <w:rPr>
          <w:lang w:val="x-none"/>
        </w:rPr>
      </w:pPr>
    </w:p>
    <w:p w14:paraId="5BA67C71" w14:textId="1D00EE38" w:rsidR="00C644B8" w:rsidRDefault="00C644B8" w:rsidP="00C644B8">
      <w:pPr>
        <w:rPr>
          <w:lang w:val="x-none"/>
        </w:rPr>
      </w:pPr>
    </w:p>
    <w:p w14:paraId="47BF94CA" w14:textId="77777777" w:rsidR="00C644B8" w:rsidRPr="001328DA" w:rsidRDefault="00C644B8" w:rsidP="00C644B8">
      <w:pPr>
        <w:rPr>
          <w:lang w:val="x-none"/>
        </w:rPr>
      </w:pPr>
    </w:p>
    <w:p w14:paraId="30FABE71" w14:textId="77777777" w:rsidR="00C644B8" w:rsidRPr="001328DA" w:rsidRDefault="00C644B8" w:rsidP="00C644B8">
      <w:pPr>
        <w:pStyle w:val="Heading2"/>
        <w:numPr>
          <w:ilvl w:val="0"/>
          <w:numId w:val="0"/>
        </w:numPr>
        <w:rPr>
          <w:u w:val="single"/>
          <w:lang w:val="en-GB"/>
        </w:rPr>
      </w:pPr>
      <w:r w:rsidRPr="001328DA">
        <w:rPr>
          <w:u w:val="single"/>
        </w:rPr>
        <w:lastRenderedPageBreak/>
        <w:t>Introduction</w:t>
      </w:r>
    </w:p>
    <w:p w14:paraId="1E68B9EA" w14:textId="77777777" w:rsidR="00C644B8" w:rsidRPr="00A27647" w:rsidRDefault="00C644B8" w:rsidP="00C644B8"/>
    <w:p w14:paraId="32B0F6B6" w14:textId="77777777" w:rsidR="00C644B8" w:rsidRDefault="00C644B8" w:rsidP="00C644B8">
      <w:pPr>
        <w:jc w:val="both"/>
      </w:pPr>
      <w:r>
        <w:t xml:space="preserve">This first lecture looks at the historical development and the conceptual framework of English commercial law. We will be analysing </w:t>
      </w:r>
      <w:r>
        <w:rPr>
          <w:i/>
        </w:rPr>
        <w:t xml:space="preserve">lex mercatoria </w:t>
      </w:r>
      <w:r>
        <w:t>and the general principles of commercial law.</w:t>
      </w:r>
    </w:p>
    <w:p w14:paraId="49F58081" w14:textId="77777777" w:rsidR="00C644B8" w:rsidRDefault="00C644B8" w:rsidP="00C644B8">
      <w:pPr>
        <w:pStyle w:val="Heading2"/>
        <w:numPr>
          <w:ilvl w:val="0"/>
          <w:numId w:val="0"/>
        </w:numPr>
      </w:pPr>
    </w:p>
    <w:p w14:paraId="6A4FAD47" w14:textId="77777777" w:rsidR="00C644B8" w:rsidRPr="001328DA" w:rsidRDefault="00C644B8" w:rsidP="00C644B8">
      <w:pPr>
        <w:rPr>
          <w:lang w:val="x-none"/>
        </w:rPr>
      </w:pPr>
    </w:p>
    <w:p w14:paraId="0DB76386" w14:textId="77777777" w:rsidR="00C644B8" w:rsidRPr="001328DA" w:rsidRDefault="00C644B8" w:rsidP="00C644B8">
      <w:pPr>
        <w:pStyle w:val="Heading2"/>
        <w:numPr>
          <w:ilvl w:val="0"/>
          <w:numId w:val="0"/>
        </w:numPr>
        <w:rPr>
          <w:u w:val="single"/>
        </w:rPr>
      </w:pPr>
      <w:r w:rsidRPr="001328DA">
        <w:rPr>
          <w:u w:val="single"/>
        </w:rPr>
        <w:t xml:space="preserve">Lex </w:t>
      </w:r>
      <w:r w:rsidRPr="001328DA">
        <w:rPr>
          <w:u w:val="single"/>
          <w:lang w:val="en-GB"/>
        </w:rPr>
        <w:t>M</w:t>
      </w:r>
      <w:r w:rsidRPr="001328DA">
        <w:rPr>
          <w:u w:val="single"/>
        </w:rPr>
        <w:t xml:space="preserve">ercatoria and English Commercial Law </w:t>
      </w:r>
    </w:p>
    <w:p w14:paraId="4F71C047" w14:textId="77777777" w:rsidR="00C644B8" w:rsidRDefault="00C644B8" w:rsidP="00C644B8"/>
    <w:p w14:paraId="59EA5143" w14:textId="77777777" w:rsidR="00C644B8" w:rsidRDefault="00C644B8" w:rsidP="00C644B8">
      <w:r w:rsidRPr="00FC1659">
        <w:rPr>
          <w:b/>
          <w:bCs/>
          <w:i/>
          <w:color w:val="FF0000"/>
        </w:rPr>
        <w:t>Lex mercatoria</w:t>
      </w:r>
      <w:r w:rsidRPr="00FC1659">
        <w:rPr>
          <w:b/>
          <w:bCs/>
          <w:color w:val="FF0000"/>
        </w:rPr>
        <w:t xml:space="preserve"> is the law of the merchants.</w:t>
      </w:r>
      <w:r w:rsidRPr="00FC1659">
        <w:rPr>
          <w:color w:val="FF0000"/>
        </w:rPr>
        <w:t xml:space="preserve"> </w:t>
      </w:r>
      <w:r>
        <w:t xml:space="preserve">It resulted from the customary dealings of merchants throughout Europe. Disputes between merchants from different towns, cities and countries were adjudicated in special courts in which judge and jury were also merchants. </w:t>
      </w:r>
    </w:p>
    <w:p w14:paraId="0D3C5FA5" w14:textId="77777777" w:rsidR="00C644B8" w:rsidRDefault="00C644B8" w:rsidP="00C644B8"/>
    <w:p w14:paraId="602DEA6C" w14:textId="77777777" w:rsidR="00C644B8" w:rsidRPr="002E3142" w:rsidRDefault="00C644B8" w:rsidP="00C644B8">
      <w:r>
        <w:t xml:space="preserve">There was </w:t>
      </w:r>
      <w:r>
        <w:rPr>
          <w:i/>
        </w:rPr>
        <w:t xml:space="preserve">lex mercatoria </w:t>
      </w:r>
      <w:r w:rsidRPr="002E3142">
        <w:t>because the trade was international and conducted during the fairs and markets.</w:t>
      </w:r>
    </w:p>
    <w:p w14:paraId="5C8714E3" w14:textId="77777777" w:rsidR="00C644B8" w:rsidRDefault="00C644B8" w:rsidP="00C644B8"/>
    <w:p w14:paraId="453938A2" w14:textId="77777777" w:rsidR="00C644B8" w:rsidRDefault="00C644B8" w:rsidP="00C644B8">
      <w:pPr>
        <w:jc w:val="both"/>
      </w:pPr>
      <w:r>
        <w:t xml:space="preserve">Principles of </w:t>
      </w:r>
      <w:r>
        <w:rPr>
          <w:i/>
        </w:rPr>
        <w:t xml:space="preserve">lex mercatoria </w:t>
      </w:r>
      <w:r>
        <w:t xml:space="preserve">were different from those of general common law. </w:t>
      </w:r>
    </w:p>
    <w:p w14:paraId="3F3E7578" w14:textId="77777777" w:rsidR="00C644B8" w:rsidRDefault="00C644B8" w:rsidP="00C644B8">
      <w:pPr>
        <w:jc w:val="both"/>
      </w:pPr>
    </w:p>
    <w:p w14:paraId="5A2D5588" w14:textId="77777777" w:rsidR="00C644B8" w:rsidRDefault="00C644B8" w:rsidP="00C644B8">
      <w:pPr>
        <w:jc w:val="both"/>
      </w:pPr>
      <w:r>
        <w:t>17</w:t>
      </w:r>
      <w:r w:rsidRPr="00CA508D">
        <w:rPr>
          <w:vertAlign w:val="superscript"/>
        </w:rPr>
        <w:t>th</w:t>
      </w:r>
      <w:r>
        <w:t xml:space="preserve"> century law reforms brought all law under the jurisdiction of common law courts and they did not adopt </w:t>
      </w:r>
      <w:r>
        <w:rPr>
          <w:i/>
        </w:rPr>
        <w:t>lex mercatoria</w:t>
      </w:r>
      <w:r>
        <w:t xml:space="preserve">. </w:t>
      </w:r>
    </w:p>
    <w:p w14:paraId="1837338D" w14:textId="77777777" w:rsidR="00C644B8" w:rsidRDefault="00C644B8" w:rsidP="00C644B8">
      <w:pPr>
        <w:jc w:val="both"/>
      </w:pPr>
    </w:p>
    <w:p w14:paraId="18C16657" w14:textId="77777777" w:rsidR="00C644B8" w:rsidRDefault="00C644B8" w:rsidP="00C644B8">
      <w:pPr>
        <w:jc w:val="both"/>
      </w:pPr>
      <w:r w:rsidRPr="008C35AA">
        <w:rPr>
          <w:i/>
        </w:rPr>
        <w:t>17</w:t>
      </w:r>
      <w:r w:rsidRPr="008C35AA">
        <w:rPr>
          <w:i/>
          <w:vertAlign w:val="superscript"/>
        </w:rPr>
        <w:t>th</w:t>
      </w:r>
      <w:r w:rsidRPr="008C35AA">
        <w:rPr>
          <w:i/>
        </w:rPr>
        <w:t xml:space="preserve"> and 18</w:t>
      </w:r>
      <w:r w:rsidRPr="008C35AA">
        <w:rPr>
          <w:i/>
          <w:vertAlign w:val="superscript"/>
        </w:rPr>
        <w:t>th</w:t>
      </w:r>
      <w:r w:rsidRPr="008C35AA">
        <w:rPr>
          <w:i/>
        </w:rPr>
        <w:t xml:space="preserve"> centuries: </w:t>
      </w:r>
      <w:r>
        <w:t>Lord Chief Justices Holt and Mansfield’s efforts in developing a coherent body of commercial law – liaison between law and commerce by creating special juries of merchants. Customs and trade usages became part of the law. Mercantile usage accepted as evidence. Customs, trade usages and mercantile usage became an aspect of the contract. They became to represent the intention of parties.</w:t>
      </w:r>
    </w:p>
    <w:p w14:paraId="4E7FE156" w14:textId="77777777" w:rsidR="00C644B8" w:rsidRDefault="00C644B8" w:rsidP="00C644B8">
      <w:pPr>
        <w:jc w:val="both"/>
      </w:pPr>
    </w:p>
    <w:p w14:paraId="1AF46FE5" w14:textId="77777777" w:rsidR="00C644B8" w:rsidRDefault="00C644B8" w:rsidP="00C644B8">
      <w:pPr>
        <w:jc w:val="both"/>
      </w:pPr>
      <w:r>
        <w:t xml:space="preserve">The synthesis of English Common Law and </w:t>
      </w:r>
      <w:r>
        <w:rPr>
          <w:i/>
        </w:rPr>
        <w:t>Lex Mercatoria</w:t>
      </w:r>
      <w:r>
        <w:t xml:space="preserve"> was completed at the end of 19</w:t>
      </w:r>
      <w:r w:rsidRPr="00964995">
        <w:rPr>
          <w:vertAlign w:val="superscript"/>
        </w:rPr>
        <w:t>th</w:t>
      </w:r>
      <w:r>
        <w:t xml:space="preserve"> century and the Sale of Goods Act 1893 is a product of this synthesis. This is also reflected in the SGA 1979 (</w:t>
      </w:r>
      <w:r>
        <w:rPr>
          <w:i/>
        </w:rPr>
        <w:t xml:space="preserve">see </w:t>
      </w:r>
      <w:r w:rsidRPr="00FC1659">
        <w:rPr>
          <w:color w:val="FF0000"/>
        </w:rPr>
        <w:t>s. 62(2)</w:t>
      </w:r>
      <w:r>
        <w:t>).</w:t>
      </w:r>
    </w:p>
    <w:p w14:paraId="2E755AE4" w14:textId="77777777" w:rsidR="00C644B8" w:rsidRDefault="00C644B8" w:rsidP="00C644B8">
      <w:pPr>
        <w:jc w:val="both"/>
      </w:pPr>
    </w:p>
    <w:p w14:paraId="672CA73B" w14:textId="77777777" w:rsidR="00C644B8" w:rsidRDefault="00C644B8" w:rsidP="00C644B8">
      <w:pPr>
        <w:jc w:val="both"/>
      </w:pPr>
      <w:r>
        <w:t>20</w:t>
      </w:r>
      <w:r w:rsidRPr="005431D2">
        <w:rPr>
          <w:vertAlign w:val="superscript"/>
        </w:rPr>
        <w:t>th</w:t>
      </w:r>
      <w:r>
        <w:t xml:space="preserve"> century </w:t>
      </w:r>
      <w:r>
        <w:rPr>
          <w:i/>
        </w:rPr>
        <w:t>lex mercatoria</w:t>
      </w:r>
      <w:r>
        <w:t>: UNCITRAL, Unidroit and other international agencies’ conventions and principles. There have been studies to harmonise private law both regionally and globally.</w:t>
      </w:r>
    </w:p>
    <w:p w14:paraId="37186A6F" w14:textId="77777777" w:rsidR="00C644B8" w:rsidRDefault="00C644B8" w:rsidP="00C644B8">
      <w:pPr>
        <w:jc w:val="both"/>
      </w:pPr>
    </w:p>
    <w:p w14:paraId="3EB802A9" w14:textId="77777777" w:rsidR="00C644B8" w:rsidRPr="001328DA" w:rsidRDefault="00C644B8" w:rsidP="00C644B8">
      <w:pPr>
        <w:pStyle w:val="Heading2"/>
        <w:numPr>
          <w:ilvl w:val="0"/>
          <w:numId w:val="0"/>
        </w:numPr>
        <w:rPr>
          <w:u w:val="single"/>
        </w:rPr>
      </w:pPr>
      <w:r w:rsidRPr="001328DA">
        <w:rPr>
          <w:u w:val="single"/>
        </w:rPr>
        <w:t>Definition and scope of commercial law</w:t>
      </w:r>
    </w:p>
    <w:p w14:paraId="344ADB2C" w14:textId="77777777" w:rsidR="00C644B8" w:rsidRDefault="00C644B8" w:rsidP="00C644B8"/>
    <w:p w14:paraId="36C6EF4B" w14:textId="77777777" w:rsidR="00C644B8" w:rsidRDefault="00C644B8" w:rsidP="00C644B8">
      <w:r>
        <w:t xml:space="preserve">Commercial law is a dynamic area. Principles should adopt a </w:t>
      </w:r>
      <w:r w:rsidRPr="00FC1659">
        <w:rPr>
          <w:color w:val="FF0000"/>
          <w:u w:val="single"/>
        </w:rPr>
        <w:t>transactional rather than a bilateral contractual approach</w:t>
      </w:r>
      <w:r w:rsidRPr="00FC1659">
        <w:rPr>
          <w:color w:val="FF0000"/>
        </w:rPr>
        <w:t xml:space="preserve">.  </w:t>
      </w:r>
      <w:r>
        <w:t xml:space="preserve">There is no commercial code in England as there is in other countries and there is no separate body of commercial law.  There are no hard and fast rules about what constitutes commercial law and instead we </w:t>
      </w:r>
      <w:r>
        <w:lastRenderedPageBreak/>
        <w:t xml:space="preserve">identify it by the subject-matter and themes we see running through the legislation and case law in this area.  </w:t>
      </w:r>
    </w:p>
    <w:p w14:paraId="08D6CE97" w14:textId="77777777" w:rsidR="00C644B8" w:rsidRDefault="00C644B8" w:rsidP="00C644B8"/>
    <w:p w14:paraId="33C02F21" w14:textId="77777777" w:rsidR="00C644B8" w:rsidRDefault="00C644B8" w:rsidP="00C644B8">
      <w:pPr>
        <w:pStyle w:val="Heading2"/>
        <w:numPr>
          <w:ilvl w:val="0"/>
          <w:numId w:val="0"/>
        </w:numPr>
      </w:pPr>
    </w:p>
    <w:p w14:paraId="6EDCC845" w14:textId="77777777" w:rsidR="00C644B8" w:rsidRPr="001328DA" w:rsidRDefault="00C644B8" w:rsidP="00C644B8">
      <w:pPr>
        <w:pStyle w:val="Heading2"/>
        <w:numPr>
          <w:ilvl w:val="0"/>
          <w:numId w:val="0"/>
        </w:numPr>
        <w:rPr>
          <w:u w:val="single"/>
        </w:rPr>
      </w:pPr>
      <w:r w:rsidRPr="001328DA">
        <w:rPr>
          <w:u w:val="single"/>
        </w:rPr>
        <w:t xml:space="preserve">Principles of </w:t>
      </w:r>
      <w:r w:rsidRPr="001328DA">
        <w:rPr>
          <w:u w:val="single"/>
          <w:lang w:val="en-GB"/>
        </w:rPr>
        <w:t>Commercial L</w:t>
      </w:r>
      <w:r w:rsidRPr="001328DA">
        <w:rPr>
          <w:u w:val="single"/>
        </w:rPr>
        <w:t>aw</w:t>
      </w:r>
    </w:p>
    <w:p w14:paraId="26FC039E" w14:textId="77777777" w:rsidR="00C644B8" w:rsidRDefault="00C644B8" w:rsidP="00C644B8"/>
    <w:p w14:paraId="2D238450" w14:textId="77777777" w:rsidR="00C644B8" w:rsidRDefault="00C644B8" w:rsidP="00C644B8">
      <w:pPr>
        <w:jc w:val="both"/>
      </w:pPr>
      <w:r>
        <w:t xml:space="preserve">Commercial law focuses on the commercial sense and awareness and the parties to a commercial contract. Thus, the rules and principles reflect the needs of the business community.  Some of these principle (which you need to bear in mind as you go through this course) are set out below.  These principles inform the rules and application of those rules that you will become familiar with and knowledge of these principles should assist you in determining and understanding the approach of both the courts and the legislature to commercial law. </w:t>
      </w:r>
    </w:p>
    <w:p w14:paraId="4697C894" w14:textId="77777777" w:rsidR="00C644B8" w:rsidRDefault="00C644B8" w:rsidP="00C644B8">
      <w:r>
        <w:t xml:space="preserve"> </w:t>
      </w:r>
    </w:p>
    <w:p w14:paraId="47F6B599" w14:textId="77777777" w:rsidR="00C644B8" w:rsidRPr="0090496B" w:rsidRDefault="00C644B8" w:rsidP="00C644B8">
      <w:pPr>
        <w:rPr>
          <w:color w:val="FF0000"/>
        </w:rPr>
      </w:pPr>
    </w:p>
    <w:p w14:paraId="5EA194A2" w14:textId="77777777" w:rsidR="00C644B8" w:rsidRPr="001328DA" w:rsidRDefault="00C644B8" w:rsidP="00C644B8">
      <w:pPr>
        <w:pStyle w:val="Heading3"/>
        <w:rPr>
          <w:color w:val="FF0000"/>
          <w:u w:val="single"/>
        </w:rPr>
      </w:pPr>
      <w:r w:rsidRPr="001328DA">
        <w:rPr>
          <w:color w:val="FF0000"/>
          <w:u w:val="single"/>
          <w:lang w:val="en-GB"/>
        </w:rPr>
        <w:t xml:space="preserve">The sanctity of contract </w:t>
      </w:r>
    </w:p>
    <w:p w14:paraId="77CFF3D3" w14:textId="77777777" w:rsidR="00C644B8" w:rsidRPr="002622E0" w:rsidRDefault="00C644B8" w:rsidP="00C644B8">
      <w:pPr>
        <w:pStyle w:val="Heading3"/>
        <w:numPr>
          <w:ilvl w:val="0"/>
          <w:numId w:val="0"/>
        </w:numPr>
        <w:ind w:left="357"/>
      </w:pPr>
    </w:p>
    <w:p w14:paraId="7FC9D1D8" w14:textId="77777777" w:rsidR="00C644B8" w:rsidRDefault="00C644B8" w:rsidP="00C644B8">
      <w:pPr>
        <w:jc w:val="both"/>
      </w:pPr>
      <w:r>
        <w:t>A party to a commercial contract should be entitled to the benefit of his bargain and to the strict performance of conditions of the contract.</w:t>
      </w:r>
    </w:p>
    <w:p w14:paraId="7C8456C2" w14:textId="77777777" w:rsidR="00C644B8" w:rsidRDefault="00C644B8" w:rsidP="00C644B8">
      <w:pPr>
        <w:jc w:val="both"/>
      </w:pPr>
    </w:p>
    <w:p w14:paraId="7C014416" w14:textId="77777777" w:rsidR="00C644B8" w:rsidRDefault="00C644B8" w:rsidP="00C644B8">
      <w:pPr>
        <w:jc w:val="both"/>
      </w:pPr>
      <w:r>
        <w:t>The Consumer Credit Act 1974 and Unfair Contract Terms Act 1977 are pieces of legislation where intervention is encouraged to ensure protection for the contracting parties but they do not apply in a purely commercial context.</w:t>
      </w:r>
    </w:p>
    <w:p w14:paraId="579E0AAF" w14:textId="77777777" w:rsidR="00C644B8" w:rsidRDefault="00C644B8" w:rsidP="00C644B8"/>
    <w:p w14:paraId="650CBDCE" w14:textId="77777777" w:rsidR="00C644B8" w:rsidRPr="0090496B" w:rsidRDefault="00C644B8" w:rsidP="00C644B8">
      <w:pPr>
        <w:rPr>
          <w:color w:val="4472C4" w:themeColor="accent1"/>
        </w:rPr>
      </w:pPr>
    </w:p>
    <w:p w14:paraId="34DA66B2" w14:textId="77777777" w:rsidR="00C644B8" w:rsidRPr="001328DA" w:rsidRDefault="00C644B8" w:rsidP="00C644B8">
      <w:pPr>
        <w:pStyle w:val="Heading3"/>
        <w:rPr>
          <w:color w:val="FF0000"/>
          <w:u w:val="single"/>
        </w:rPr>
      </w:pPr>
      <w:r w:rsidRPr="001328DA">
        <w:rPr>
          <w:color w:val="FF0000"/>
          <w:u w:val="single"/>
          <w:lang w:val="en-GB"/>
        </w:rPr>
        <w:t>Good faith</w:t>
      </w:r>
    </w:p>
    <w:p w14:paraId="39A292DB" w14:textId="77777777" w:rsidR="00C644B8" w:rsidRPr="003224D8" w:rsidRDefault="00C644B8" w:rsidP="00C644B8">
      <w:pPr>
        <w:pStyle w:val="Heading3"/>
        <w:numPr>
          <w:ilvl w:val="0"/>
          <w:numId w:val="0"/>
        </w:numPr>
        <w:ind w:left="357"/>
      </w:pPr>
    </w:p>
    <w:p w14:paraId="2CE8AD62" w14:textId="77777777" w:rsidR="00C644B8" w:rsidRDefault="00C644B8" w:rsidP="00C644B8">
      <w:pPr>
        <w:jc w:val="both"/>
      </w:pPr>
      <w:r>
        <w:t xml:space="preserve">Mainly a civil law concept which is not often found in common law jurisdictions.  However, it is also to be found in the </w:t>
      </w:r>
      <w:r w:rsidRPr="0090496B">
        <w:rPr>
          <w:color w:val="FF0000"/>
        </w:rPr>
        <w:t xml:space="preserve">Uniform Commercial Code in the United States </w:t>
      </w:r>
      <w:r>
        <w:t>(‘</w:t>
      </w:r>
      <w:r>
        <w:rPr>
          <w:i/>
        </w:rPr>
        <w:t xml:space="preserve">good faith’, ‘commercial reasonableness’, ‘Unconscionability’).  </w:t>
      </w:r>
      <w:r>
        <w:t xml:space="preserve">This Code was first published in 1952 and is one of a number of Uniform Acts in the US that have been established with the goal of harmonising sales law and other commercial transactions across the US.  </w:t>
      </w:r>
    </w:p>
    <w:p w14:paraId="75504990" w14:textId="77777777" w:rsidR="00C644B8" w:rsidRDefault="00C644B8" w:rsidP="00C644B8">
      <w:pPr>
        <w:jc w:val="both"/>
      </w:pPr>
    </w:p>
    <w:p w14:paraId="242305A9" w14:textId="77777777" w:rsidR="00C644B8" w:rsidRDefault="00C644B8" w:rsidP="00C644B8">
      <w:pPr>
        <w:jc w:val="both"/>
        <w:rPr>
          <w:i/>
        </w:rPr>
      </w:pPr>
      <w:r>
        <w:t xml:space="preserve">We also see the concept of good faith in the exceptions to the </w:t>
      </w:r>
      <w:r w:rsidRPr="00441367">
        <w:rPr>
          <w:color w:val="FF0000"/>
        </w:rPr>
        <w:t xml:space="preserve">nemo dat rule </w:t>
      </w:r>
      <w:r>
        <w:t>that you will cover in detail later on in this course (lectures 10-13 inclusive).</w:t>
      </w:r>
    </w:p>
    <w:p w14:paraId="6E9CF10B" w14:textId="77777777" w:rsidR="00C644B8" w:rsidRPr="001328DA" w:rsidRDefault="00C644B8" w:rsidP="00C644B8">
      <w:pPr>
        <w:rPr>
          <w:i/>
          <w:u w:val="single"/>
        </w:rPr>
      </w:pPr>
    </w:p>
    <w:p w14:paraId="15D82C3C" w14:textId="77777777" w:rsidR="00C644B8" w:rsidRPr="001328DA" w:rsidRDefault="00C644B8" w:rsidP="00C644B8">
      <w:pPr>
        <w:pStyle w:val="Heading3"/>
        <w:rPr>
          <w:color w:val="FF0000"/>
          <w:u w:val="single"/>
        </w:rPr>
      </w:pPr>
      <w:r w:rsidRPr="001328DA">
        <w:rPr>
          <w:color w:val="FF0000"/>
          <w:u w:val="single"/>
          <w:lang w:val="en-GB"/>
        </w:rPr>
        <w:t>Facilitation of the creation of security interests</w:t>
      </w:r>
    </w:p>
    <w:p w14:paraId="2125A961" w14:textId="77777777" w:rsidR="00C644B8" w:rsidRPr="009C239E" w:rsidRDefault="00C644B8" w:rsidP="00C644B8">
      <w:pPr>
        <w:pStyle w:val="Heading3"/>
        <w:numPr>
          <w:ilvl w:val="0"/>
          <w:numId w:val="0"/>
        </w:numPr>
        <w:ind w:left="357"/>
      </w:pPr>
    </w:p>
    <w:p w14:paraId="3CDFAED4" w14:textId="77777777" w:rsidR="00C644B8" w:rsidRDefault="00C644B8" w:rsidP="00C644B8">
      <w:pPr>
        <w:jc w:val="both"/>
      </w:pPr>
      <w:r>
        <w:t xml:space="preserve">Rules on the creation of security interests over the assets of the borrower (debtor) need to be clear. This is beneficial for both the lenders (creditors) and borrowers (debtors). </w:t>
      </w:r>
    </w:p>
    <w:p w14:paraId="6C42C485" w14:textId="77777777" w:rsidR="00C644B8" w:rsidRDefault="00C644B8" w:rsidP="00C644B8">
      <w:pPr>
        <w:jc w:val="both"/>
      </w:pPr>
    </w:p>
    <w:p w14:paraId="587A036C" w14:textId="77777777" w:rsidR="00C644B8" w:rsidRDefault="00C644B8" w:rsidP="00C644B8">
      <w:pPr>
        <w:jc w:val="both"/>
      </w:pPr>
      <w:r>
        <w:lastRenderedPageBreak/>
        <w:t>Secured credit expands the credit available to the debtor (banks lend to businesses). Debtors may be able to use this credit to expand the business – this is good for commerce.</w:t>
      </w:r>
    </w:p>
    <w:p w14:paraId="5BE22FA8" w14:textId="77777777" w:rsidR="00C644B8" w:rsidRDefault="00C644B8" w:rsidP="00C644B8"/>
    <w:p w14:paraId="0F4B2FAD" w14:textId="77777777" w:rsidR="00C644B8" w:rsidRPr="009C239E" w:rsidRDefault="00C644B8" w:rsidP="00C644B8"/>
    <w:p w14:paraId="5270CC0D" w14:textId="77777777" w:rsidR="00C644B8" w:rsidRPr="001328DA" w:rsidRDefault="00C644B8" w:rsidP="00C644B8">
      <w:pPr>
        <w:pStyle w:val="Heading3"/>
        <w:rPr>
          <w:color w:val="FF0000"/>
          <w:u w:val="single"/>
        </w:rPr>
      </w:pPr>
      <w:r w:rsidRPr="001328DA">
        <w:rPr>
          <w:color w:val="FF0000"/>
          <w:u w:val="single"/>
          <w:lang w:val="en-GB"/>
        </w:rPr>
        <w:t>The conveyancing principles and ordering of priorities</w:t>
      </w:r>
    </w:p>
    <w:p w14:paraId="4C50DE25" w14:textId="77777777" w:rsidR="00C644B8" w:rsidRPr="00136542" w:rsidRDefault="00C644B8" w:rsidP="00C644B8">
      <w:pPr>
        <w:pStyle w:val="Heading3"/>
        <w:numPr>
          <w:ilvl w:val="0"/>
          <w:numId w:val="0"/>
        </w:numPr>
        <w:ind w:left="357"/>
      </w:pPr>
    </w:p>
    <w:p w14:paraId="55671FF6" w14:textId="77777777" w:rsidR="00C644B8" w:rsidRPr="008E4ECF" w:rsidRDefault="00C644B8" w:rsidP="00C644B8">
      <w:pPr>
        <w:jc w:val="both"/>
      </w:pPr>
      <w:r>
        <w:t xml:space="preserve">Three principles prevail between competing claimants: security of property, good faith purchase, and estoppel (ostensible ownership). </w:t>
      </w:r>
      <w:r w:rsidRPr="008E4ECF">
        <w:rPr>
          <w:b/>
          <w:bCs/>
        </w:rPr>
        <w:t>You need to be aware that these exist but you do not need to know them in detail</w:t>
      </w:r>
      <w:r>
        <w:rPr>
          <w:b/>
          <w:bCs/>
        </w:rPr>
        <w:t xml:space="preserve"> at this stage</w:t>
      </w:r>
      <w:r w:rsidRPr="008E4ECF">
        <w:rPr>
          <w:b/>
          <w:bCs/>
        </w:rPr>
        <w:t>.</w:t>
      </w:r>
      <w:r>
        <w:rPr>
          <w:b/>
          <w:bCs/>
        </w:rPr>
        <w:t xml:space="preserve">  These are also concepts that we will come back to in detail later in the course.</w:t>
      </w:r>
    </w:p>
    <w:p w14:paraId="7041F722" w14:textId="77777777" w:rsidR="00C644B8" w:rsidRDefault="00C644B8" w:rsidP="00C644B8">
      <w:pPr>
        <w:jc w:val="both"/>
      </w:pPr>
    </w:p>
    <w:p w14:paraId="2DB2BA3B" w14:textId="77777777" w:rsidR="00C644B8" w:rsidRDefault="00C644B8" w:rsidP="00C644B8">
      <w:pPr>
        <w:jc w:val="both"/>
      </w:pPr>
    </w:p>
    <w:p w14:paraId="3C9F2C0C" w14:textId="77777777" w:rsidR="00C644B8" w:rsidRPr="0067165C" w:rsidRDefault="00C644B8" w:rsidP="00C644B8"/>
    <w:p w14:paraId="41698E31" w14:textId="77777777" w:rsidR="00C644B8" w:rsidRPr="00441367" w:rsidRDefault="00C644B8" w:rsidP="00C644B8">
      <w:pPr>
        <w:pStyle w:val="Heading4"/>
        <w:rPr>
          <w:color w:val="FF0000"/>
          <w:lang w:val="en-GB"/>
        </w:rPr>
      </w:pPr>
      <w:r w:rsidRPr="00441367">
        <w:rPr>
          <w:color w:val="FF0000"/>
        </w:rPr>
        <w:t>Security of property</w:t>
      </w:r>
    </w:p>
    <w:p w14:paraId="0980D2BC" w14:textId="77777777" w:rsidR="00C644B8" w:rsidRPr="004769AB" w:rsidRDefault="00C644B8" w:rsidP="00C644B8"/>
    <w:p w14:paraId="2E211D1C" w14:textId="77777777" w:rsidR="00C644B8" w:rsidRDefault="00C644B8" w:rsidP="00C644B8">
      <w:pPr>
        <w:rPr>
          <w:i/>
        </w:rPr>
      </w:pPr>
      <w:r>
        <w:t>First in time rule at law (</w:t>
      </w:r>
      <w:r>
        <w:rPr>
          <w:i/>
        </w:rPr>
        <w:t xml:space="preserve">Nemo dat quod non habet) </w:t>
      </w:r>
      <w:r w:rsidRPr="004769AB">
        <w:t>has an equitable partner</w:t>
      </w:r>
      <w:r>
        <w:t xml:space="preserve"> that is </w:t>
      </w:r>
      <w:r>
        <w:rPr>
          <w:i/>
        </w:rPr>
        <w:t xml:space="preserve">qui prior est tempore potior est jure. </w:t>
      </w:r>
    </w:p>
    <w:p w14:paraId="47669875" w14:textId="77777777" w:rsidR="00C644B8" w:rsidRDefault="00C644B8" w:rsidP="00C644B8">
      <w:pPr>
        <w:rPr>
          <w:i/>
        </w:rPr>
      </w:pPr>
    </w:p>
    <w:p w14:paraId="45F39FD0" w14:textId="77777777" w:rsidR="00C644B8" w:rsidRPr="004769AB" w:rsidRDefault="00C644B8" w:rsidP="00C644B8">
      <w:pPr>
        <w:jc w:val="both"/>
      </w:pPr>
      <w:r>
        <w:rPr>
          <w:i/>
        </w:rPr>
        <w:t xml:space="preserve">Phillips </w:t>
      </w:r>
      <w:r w:rsidRPr="005C5429">
        <w:t>v</w:t>
      </w:r>
      <w:r>
        <w:rPr>
          <w:i/>
        </w:rPr>
        <w:t xml:space="preserve"> Phillips </w:t>
      </w:r>
      <w:r>
        <w:t xml:space="preserve">(1861) 4 De G F &amp; J208, at 215 indicates that the transferor disposes of only that to which he is justly entitled. </w:t>
      </w:r>
    </w:p>
    <w:p w14:paraId="2E46CA34" w14:textId="77777777" w:rsidR="00C644B8" w:rsidRPr="004769AB" w:rsidRDefault="00C644B8" w:rsidP="00C644B8">
      <w:pPr>
        <w:rPr>
          <w:i/>
        </w:rPr>
      </w:pPr>
    </w:p>
    <w:p w14:paraId="6CC7E5FC" w14:textId="77777777" w:rsidR="00C644B8" w:rsidRPr="001328DA" w:rsidRDefault="00C644B8" w:rsidP="00C644B8">
      <w:pPr>
        <w:pStyle w:val="Heading4"/>
        <w:rPr>
          <w:color w:val="FF0000"/>
          <w:lang w:val="en-GB"/>
        </w:rPr>
      </w:pPr>
      <w:r w:rsidRPr="001328DA">
        <w:rPr>
          <w:color w:val="FF0000"/>
        </w:rPr>
        <w:t>The good faith purchaser</w:t>
      </w:r>
    </w:p>
    <w:p w14:paraId="4BCEDE1F" w14:textId="77777777" w:rsidR="00C644B8" w:rsidRPr="004769AB" w:rsidRDefault="00C644B8" w:rsidP="00C644B8"/>
    <w:p w14:paraId="5A2C228D" w14:textId="77777777" w:rsidR="00C644B8" w:rsidRDefault="00C644B8" w:rsidP="00C644B8">
      <w:pPr>
        <w:jc w:val="both"/>
      </w:pPr>
      <w:r>
        <w:t xml:space="preserve">Statutory exceptions to the </w:t>
      </w:r>
      <w:r>
        <w:rPr>
          <w:i/>
        </w:rPr>
        <w:t xml:space="preserve">nemo dat </w:t>
      </w:r>
      <w:r>
        <w:t>rule (</w:t>
      </w:r>
      <w:r>
        <w:rPr>
          <w:i/>
        </w:rPr>
        <w:t xml:space="preserve">e.g. </w:t>
      </w:r>
      <w:r>
        <w:t xml:space="preserve">dispositions by a mercantile agent and by a seller or buyer in possession).   </w:t>
      </w:r>
    </w:p>
    <w:p w14:paraId="6A366C83" w14:textId="77777777" w:rsidR="00C644B8" w:rsidRDefault="00C644B8" w:rsidP="00C644B8">
      <w:pPr>
        <w:jc w:val="both"/>
      </w:pPr>
    </w:p>
    <w:p w14:paraId="44EDD001" w14:textId="77777777" w:rsidR="00C644B8" w:rsidRPr="00077E54" w:rsidRDefault="00C644B8" w:rsidP="00C644B8">
      <w:pPr>
        <w:jc w:val="both"/>
        <w:rPr>
          <w:b/>
          <w:bCs/>
        </w:rPr>
      </w:pPr>
      <w:r w:rsidRPr="00077E54">
        <w:rPr>
          <w:b/>
          <w:bCs/>
        </w:rPr>
        <w:t>This is an area that you will cover in detail later on in the course when the topic of nemo dat and the exceptions to this rule is covered in detail (lecture 10-13 inclusive).</w:t>
      </w:r>
    </w:p>
    <w:p w14:paraId="72519E36" w14:textId="77777777" w:rsidR="00C644B8" w:rsidRPr="004769AB" w:rsidRDefault="00C644B8" w:rsidP="00C644B8"/>
    <w:p w14:paraId="402F7461" w14:textId="77777777" w:rsidR="00C644B8" w:rsidRPr="00077E54" w:rsidRDefault="00C644B8" w:rsidP="00C644B8">
      <w:pPr>
        <w:pStyle w:val="Heading4"/>
        <w:rPr>
          <w:color w:val="FF0000"/>
          <w:lang w:val="en-GB"/>
        </w:rPr>
      </w:pPr>
      <w:r w:rsidRPr="00077E54">
        <w:rPr>
          <w:color w:val="FF0000"/>
        </w:rPr>
        <w:t>Estoppel</w:t>
      </w:r>
    </w:p>
    <w:p w14:paraId="77908354" w14:textId="77777777" w:rsidR="00C644B8" w:rsidRPr="007955FF" w:rsidRDefault="00C644B8" w:rsidP="00C644B8"/>
    <w:p w14:paraId="7E0B2266" w14:textId="77777777" w:rsidR="00C644B8" w:rsidRDefault="00C644B8" w:rsidP="00C644B8">
      <w:pPr>
        <w:jc w:val="both"/>
      </w:pPr>
      <w:r>
        <w:t>This is a representation made by the owner to the disponee that the non-owner may lawfully make the disposition in question. The non-owner is acting within his authority as agent. (s. 21 SGA 1979).</w:t>
      </w:r>
    </w:p>
    <w:p w14:paraId="0C33B10C" w14:textId="77777777" w:rsidR="00C644B8" w:rsidRDefault="00C644B8" w:rsidP="00C644B8">
      <w:pPr>
        <w:jc w:val="both"/>
      </w:pPr>
    </w:p>
    <w:p w14:paraId="361BD4EE" w14:textId="77777777" w:rsidR="00C644B8" w:rsidRDefault="00C644B8" w:rsidP="00C644B8">
      <w:pPr>
        <w:jc w:val="both"/>
        <w:rPr>
          <w:b/>
          <w:bCs/>
        </w:rPr>
      </w:pPr>
      <w:r>
        <w:rPr>
          <w:b/>
          <w:bCs/>
        </w:rPr>
        <w:t>Again we will look at this in more detail when dealing with the nemo dat rule and the exceptions to it.</w:t>
      </w:r>
    </w:p>
    <w:p w14:paraId="64C47172" w14:textId="77777777" w:rsidR="00C644B8" w:rsidRDefault="00C644B8" w:rsidP="00C644B8">
      <w:pPr>
        <w:jc w:val="both"/>
        <w:rPr>
          <w:b/>
          <w:bCs/>
        </w:rPr>
      </w:pPr>
    </w:p>
    <w:p w14:paraId="5F410B16" w14:textId="1BBBD6F0" w:rsidR="00C644B8" w:rsidRDefault="00C644B8" w:rsidP="00C644B8"/>
    <w:p w14:paraId="10316897" w14:textId="5286338F" w:rsidR="00C644B8" w:rsidRDefault="00C644B8" w:rsidP="00C644B8"/>
    <w:p w14:paraId="0174D277" w14:textId="77777777" w:rsidR="00C644B8" w:rsidRDefault="00C644B8" w:rsidP="00C644B8"/>
    <w:p w14:paraId="5D5341AD" w14:textId="77777777" w:rsidR="00C644B8" w:rsidRPr="008E4ECF" w:rsidRDefault="00C644B8" w:rsidP="00C644B8">
      <w:pPr>
        <w:rPr>
          <w:color w:val="FF0000"/>
          <w:u w:val="single"/>
        </w:rPr>
      </w:pPr>
    </w:p>
    <w:p w14:paraId="5E0B7F42" w14:textId="77777777" w:rsidR="00C644B8" w:rsidRPr="008E4ECF" w:rsidRDefault="00C644B8" w:rsidP="00C644B8">
      <w:pPr>
        <w:pStyle w:val="Heading3"/>
        <w:rPr>
          <w:color w:val="FF0000"/>
          <w:u w:val="single"/>
        </w:rPr>
      </w:pPr>
      <w:r w:rsidRPr="008E4ECF">
        <w:rPr>
          <w:color w:val="FF0000"/>
          <w:u w:val="single"/>
          <w:lang w:val="en-US"/>
        </w:rPr>
        <w:lastRenderedPageBreak/>
        <w:t xml:space="preserve"> </w:t>
      </w:r>
      <w:r w:rsidRPr="008E4ECF">
        <w:rPr>
          <w:color w:val="FF0000"/>
          <w:u w:val="single"/>
        </w:rPr>
        <w:t>Usages or customs</w:t>
      </w:r>
    </w:p>
    <w:p w14:paraId="7A1DF904" w14:textId="77777777" w:rsidR="00C644B8" w:rsidRPr="003F5E4C" w:rsidRDefault="00C644B8" w:rsidP="00C644B8">
      <w:pPr>
        <w:pStyle w:val="Heading3"/>
        <w:numPr>
          <w:ilvl w:val="0"/>
          <w:numId w:val="0"/>
        </w:numPr>
        <w:ind w:left="357"/>
      </w:pPr>
    </w:p>
    <w:p w14:paraId="6AE6F9D3" w14:textId="77777777" w:rsidR="00C644B8" w:rsidRDefault="00C644B8" w:rsidP="00C644B8">
      <w:r>
        <w:t>Commercial courts will often recognise established customs and trade usages among businesses. Continuous course of dealings between the parties to a transaction may supply implied terms in the relevant contract between the parties.</w:t>
      </w:r>
    </w:p>
    <w:p w14:paraId="3A0AF8BB" w14:textId="77777777" w:rsidR="00C644B8" w:rsidRDefault="00C644B8" w:rsidP="00C644B8"/>
    <w:p w14:paraId="51F4F91F" w14:textId="77777777" w:rsidR="00C644B8" w:rsidRPr="0067165C" w:rsidRDefault="00C644B8" w:rsidP="00C644B8"/>
    <w:p w14:paraId="3E05F646" w14:textId="77777777" w:rsidR="00C644B8" w:rsidRPr="008E4ECF" w:rsidRDefault="00C644B8" w:rsidP="00C644B8">
      <w:pPr>
        <w:pStyle w:val="Heading3"/>
        <w:rPr>
          <w:color w:val="FF0000"/>
          <w:u w:val="single"/>
        </w:rPr>
      </w:pPr>
      <w:r w:rsidRPr="008E4ECF">
        <w:rPr>
          <w:color w:val="FF0000"/>
          <w:u w:val="single"/>
          <w:lang w:val="en-GB"/>
        </w:rPr>
        <w:t>Market principle</w:t>
      </w:r>
    </w:p>
    <w:p w14:paraId="05C5B75F" w14:textId="77777777" w:rsidR="00C644B8" w:rsidRDefault="00C644B8" w:rsidP="00C644B8">
      <w:pPr>
        <w:pStyle w:val="Heading3"/>
        <w:numPr>
          <w:ilvl w:val="0"/>
          <w:numId w:val="0"/>
        </w:numPr>
        <w:ind w:left="357"/>
        <w:rPr>
          <w:lang w:val="en-GB"/>
        </w:rPr>
      </w:pPr>
    </w:p>
    <w:p w14:paraId="0D18661F" w14:textId="77777777" w:rsidR="00C644B8" w:rsidRDefault="00C644B8" w:rsidP="00C644B8">
      <w:r>
        <w:t>Market concept provides a basis for the determination of established customs and usages, price (</w:t>
      </w:r>
      <w:r>
        <w:rPr>
          <w:i/>
        </w:rPr>
        <w:t>market price</w:t>
      </w:r>
      <w:r>
        <w:t xml:space="preserve"> – to determine damages for breach, or in the case of an established market, rules requiring mitigation of damages).</w:t>
      </w:r>
    </w:p>
    <w:p w14:paraId="7C1265FC" w14:textId="77777777" w:rsidR="00C644B8" w:rsidRDefault="00C644B8" w:rsidP="00C644B8">
      <w:r>
        <w:t xml:space="preserve">  </w:t>
      </w:r>
    </w:p>
    <w:p w14:paraId="68DF73A0" w14:textId="77777777" w:rsidR="00C644B8" w:rsidRDefault="00C644B8" w:rsidP="00C644B8"/>
    <w:p w14:paraId="5F639D5C" w14:textId="77777777" w:rsidR="00C644B8" w:rsidRDefault="00C644B8" w:rsidP="00C644B8">
      <w:r>
        <w:rPr>
          <w:noProof/>
        </w:rPr>
        <mc:AlternateContent>
          <mc:Choice Requires="wps">
            <w:drawing>
              <wp:anchor distT="45720" distB="45720" distL="114300" distR="114300" simplePos="0" relativeHeight="251660288" behindDoc="0" locked="0" layoutInCell="1" allowOverlap="1" wp14:anchorId="02A96F59" wp14:editId="39214834">
                <wp:simplePos x="0" y="0"/>
                <wp:positionH relativeFrom="column">
                  <wp:posOffset>298450</wp:posOffset>
                </wp:positionH>
                <wp:positionV relativeFrom="paragraph">
                  <wp:posOffset>356870</wp:posOffset>
                </wp:positionV>
                <wp:extent cx="5226050" cy="1384300"/>
                <wp:effectExtent l="0" t="0" r="12700" b="2540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1384300"/>
                        </a:xfrm>
                        <a:prstGeom prst="rect">
                          <a:avLst/>
                        </a:prstGeom>
                        <a:solidFill>
                          <a:srgbClr val="FFFFFF"/>
                        </a:solidFill>
                        <a:ln w="9525">
                          <a:solidFill>
                            <a:srgbClr val="000000"/>
                          </a:solidFill>
                          <a:miter lim="800000"/>
                          <a:headEnd/>
                          <a:tailEnd/>
                        </a:ln>
                      </wps:spPr>
                      <wps:txbx>
                        <w:txbxContent>
                          <w:p w14:paraId="480F423C" w14:textId="77777777" w:rsidR="00C644B8" w:rsidRDefault="00C644B8" w:rsidP="00C644B8">
                            <w:pPr>
                              <w:pStyle w:val="Heading2"/>
                              <w:numPr>
                                <w:ilvl w:val="0"/>
                                <w:numId w:val="0"/>
                              </w:numPr>
                              <w:rPr>
                                <w:lang w:val="en-US"/>
                              </w:rPr>
                            </w:pPr>
                          </w:p>
                          <w:p w14:paraId="0C6CDD41" w14:textId="77777777" w:rsidR="00C644B8" w:rsidRDefault="00C644B8" w:rsidP="00C644B8">
                            <w:r>
                              <w:rPr>
                                <w:lang w:val="en-US"/>
                              </w:rPr>
                              <w:t xml:space="preserve">There are other principles you will see referred to in your reading such as the rule in Dearle v Hall, the tabulo in naufragio doctrine, variation of priority rules by agreement and the negotiability principle but you do not need to know about these.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96F59" id="_x0000_s1027" type="#_x0000_t202" style="position:absolute;margin-left:23.5pt;margin-top:28.1pt;width:411.5pt;height:10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">
                <v:textbox>
                  <w:txbxContent>
                    <w:p w14:paraId="480F423C" w14:textId="77777777" w:rsidR="00C644B8" w:rsidRDefault="00C644B8" w:rsidP="00C644B8">
                      <w:pPr>
                        <w:pStyle w:val="Heading2"/>
                        <w:numPr>
                          <w:ilvl w:val="0"/>
                          <w:numId w:val="0"/>
                        </w:numPr>
                        <w:rPr>
                          <w:lang w:val="en-US"/>
                        </w:rPr>
                      </w:pPr>
                    </w:p>
                    <w:p w14:paraId="0C6CDD41" w14:textId="77777777" w:rsidR="00C644B8" w:rsidRDefault="00C644B8" w:rsidP="00C644B8">
                      <w:r>
                        <w:rPr>
                          <w:lang w:val="en-US"/>
                        </w:rPr>
                        <w:t xml:space="preserve">There are other principles you will see referred to in your reading such as the rule in Dearle v Hall, the </w:t>
                      </w:r>
                      <w:proofErr w:type="spellStart"/>
                      <w:r>
                        <w:rPr>
                          <w:lang w:val="en-US"/>
                        </w:rPr>
                        <w:t>tabulo</w:t>
                      </w:r>
                      <w:proofErr w:type="spellEnd"/>
                      <w:r>
                        <w:rPr>
                          <w:lang w:val="en-US"/>
                        </w:rPr>
                        <w:t xml:space="preserve"> in </w:t>
                      </w:r>
                      <w:proofErr w:type="spellStart"/>
                      <w:r>
                        <w:rPr>
                          <w:lang w:val="en-US"/>
                        </w:rPr>
                        <w:t>naufragio</w:t>
                      </w:r>
                      <w:proofErr w:type="spellEnd"/>
                      <w:r>
                        <w:rPr>
                          <w:lang w:val="en-US"/>
                        </w:rPr>
                        <w:t xml:space="preserve"> doctrine, variation of priority rules by agreement and the negotiability principle but you do not need to know about these.    </w:t>
                      </w:r>
                    </w:p>
                  </w:txbxContent>
                </v:textbox>
                <w10:wrap type="square"/>
              </v:shape>
            </w:pict>
          </mc:Fallback>
        </mc:AlternateContent>
      </w:r>
    </w:p>
    <w:p w14:paraId="0B98C344" w14:textId="77777777" w:rsidR="00C644B8" w:rsidRDefault="00C644B8" w:rsidP="00C644B8"/>
    <w:p w14:paraId="7E87D04E" w14:textId="77777777" w:rsidR="00C644B8" w:rsidRDefault="00C644B8" w:rsidP="00C644B8"/>
    <w:p w14:paraId="3B4F40EA" w14:textId="77777777" w:rsidR="00C644B8" w:rsidRPr="0067165C" w:rsidRDefault="00C644B8" w:rsidP="00C644B8"/>
    <w:p w14:paraId="74450328" w14:textId="77777777" w:rsidR="001F2C0A" w:rsidRDefault="001F2C0A"/>
    <w:sectPr w:rsidR="001F2C0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BE807" w14:textId="77777777" w:rsidR="00565B7C" w:rsidRDefault="00565B7C" w:rsidP="00C644B8">
      <w:r>
        <w:separator/>
      </w:r>
    </w:p>
  </w:endnote>
  <w:endnote w:type="continuationSeparator" w:id="0">
    <w:p w14:paraId="2CE6088C" w14:textId="77777777" w:rsidR="00565B7C" w:rsidRDefault="00565B7C" w:rsidP="00C64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5536641"/>
      <w:docPartObj>
        <w:docPartGallery w:val="Page Numbers (Bottom of Page)"/>
        <w:docPartUnique/>
      </w:docPartObj>
    </w:sdtPr>
    <w:sdtEndPr>
      <w:rPr>
        <w:noProof/>
      </w:rPr>
    </w:sdtEndPr>
    <w:sdtContent>
      <w:p w14:paraId="23D8E16A" w14:textId="58349B65" w:rsidR="00C644B8" w:rsidRDefault="00C644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BDADA" w14:textId="77777777" w:rsidR="00C644B8" w:rsidRDefault="00C64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0845C" w14:textId="77777777" w:rsidR="00565B7C" w:rsidRDefault="00565B7C" w:rsidP="00C644B8">
      <w:r>
        <w:separator/>
      </w:r>
    </w:p>
  </w:footnote>
  <w:footnote w:type="continuationSeparator" w:id="0">
    <w:p w14:paraId="7331452F" w14:textId="77777777" w:rsidR="00565B7C" w:rsidRDefault="00565B7C" w:rsidP="00C64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A395B"/>
    <w:multiLevelType w:val="hybridMultilevel"/>
    <w:tmpl w:val="31CA7430"/>
    <w:lvl w:ilvl="0" w:tplc="6CD48678">
      <w:start w:val="1"/>
      <w:numFmt w:val="lowerRoman"/>
      <w:pStyle w:val="Heading4"/>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E4741E6"/>
    <w:multiLevelType w:val="hybridMultilevel"/>
    <w:tmpl w:val="A9ACD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8E54A5"/>
    <w:multiLevelType w:val="hybridMultilevel"/>
    <w:tmpl w:val="24A42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C42EDF"/>
    <w:multiLevelType w:val="hybridMultilevel"/>
    <w:tmpl w:val="A192F9D0"/>
    <w:lvl w:ilvl="0" w:tplc="53E25CEE">
      <w:start w:val="1"/>
      <w:numFmt w:val="lowerLetter"/>
      <w:pStyle w:val="Heading3"/>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4633194">
    <w:abstractNumId w:val="4"/>
  </w:num>
  <w:num w:numId="2" w16cid:durableId="781342181">
    <w:abstractNumId w:val="3"/>
  </w:num>
  <w:num w:numId="3" w16cid:durableId="170075007">
    <w:abstractNumId w:val="0"/>
  </w:num>
  <w:num w:numId="4" w16cid:durableId="2146964360">
    <w:abstractNumId w:val="1"/>
  </w:num>
  <w:num w:numId="5" w16cid:durableId="258295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B8"/>
    <w:rsid w:val="00172025"/>
    <w:rsid w:val="001F2C0A"/>
    <w:rsid w:val="002D58FB"/>
    <w:rsid w:val="0038532F"/>
    <w:rsid w:val="00565B7C"/>
    <w:rsid w:val="00C01C40"/>
    <w:rsid w:val="00C644B8"/>
    <w:rsid w:val="00CC5421"/>
    <w:rsid w:val="00FE7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5790"/>
  <w15:chartTrackingRefBased/>
  <w15:docId w15:val="{BAB900FB-B0AC-4E61-8F4F-D595141F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B8"/>
    <w:pPr>
      <w:spacing w:after="0" w:line="240" w:lineRule="auto"/>
    </w:pPr>
    <w:rPr>
      <w:rFonts w:ascii="Palatino Linotype" w:eastAsia="Calibri" w:hAnsi="Palatino Linotype" w:cs="Times New Roman"/>
      <w:sz w:val="24"/>
    </w:rPr>
  </w:style>
  <w:style w:type="paragraph" w:styleId="Heading2">
    <w:name w:val="heading 2"/>
    <w:basedOn w:val="Normal"/>
    <w:next w:val="Normal"/>
    <w:link w:val="Heading2Char"/>
    <w:uiPriority w:val="9"/>
    <w:unhideWhenUsed/>
    <w:qFormat/>
    <w:rsid w:val="00C644B8"/>
    <w:pPr>
      <w:keepNext/>
      <w:numPr>
        <w:numId w:val="1"/>
      </w:numPr>
      <w:ind w:left="0" w:firstLine="0"/>
      <w:outlineLvl w:val="1"/>
    </w:pPr>
    <w:rPr>
      <w:rFonts w:eastAsia="Times New Roman"/>
      <w:b/>
      <w:bCs/>
      <w:i/>
      <w:iCs/>
      <w:sz w:val="28"/>
      <w:szCs w:val="28"/>
      <w:lang w:val="x-none"/>
    </w:rPr>
  </w:style>
  <w:style w:type="paragraph" w:styleId="Heading3">
    <w:name w:val="heading 3"/>
    <w:basedOn w:val="Normal"/>
    <w:link w:val="Heading3Char"/>
    <w:uiPriority w:val="9"/>
    <w:qFormat/>
    <w:rsid w:val="00C644B8"/>
    <w:pPr>
      <w:numPr>
        <w:numId w:val="2"/>
      </w:numPr>
      <w:ind w:left="357" w:firstLine="0"/>
      <w:outlineLvl w:val="2"/>
    </w:pPr>
    <w:rPr>
      <w:rFonts w:eastAsia="Times New Roman"/>
      <w:b/>
      <w:bCs/>
      <w:szCs w:val="27"/>
      <w:lang w:val="x-none" w:eastAsia="x-none"/>
    </w:rPr>
  </w:style>
  <w:style w:type="paragraph" w:styleId="Heading4">
    <w:name w:val="heading 4"/>
    <w:basedOn w:val="Normal"/>
    <w:next w:val="Normal"/>
    <w:link w:val="Heading4Char"/>
    <w:uiPriority w:val="9"/>
    <w:unhideWhenUsed/>
    <w:qFormat/>
    <w:rsid w:val="00C644B8"/>
    <w:pPr>
      <w:keepNext/>
      <w:numPr>
        <w:numId w:val="3"/>
      </w:numPr>
      <w:ind w:left="851" w:firstLine="0"/>
      <w:outlineLvl w:val="3"/>
    </w:pPr>
    <w:rPr>
      <w:rFonts w:eastAsia="Times New Roman"/>
      <w:b/>
      <w:bCs/>
      <w:i/>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44B8"/>
    <w:rPr>
      <w:rFonts w:ascii="Palatino Linotype" w:eastAsia="Times New Roman" w:hAnsi="Palatino Linotype" w:cs="Times New Roman"/>
      <w:b/>
      <w:bCs/>
      <w:i/>
      <w:iCs/>
      <w:sz w:val="28"/>
      <w:szCs w:val="28"/>
      <w:lang w:val="x-none"/>
    </w:rPr>
  </w:style>
  <w:style w:type="character" w:customStyle="1" w:styleId="Heading3Char">
    <w:name w:val="Heading 3 Char"/>
    <w:basedOn w:val="DefaultParagraphFont"/>
    <w:link w:val="Heading3"/>
    <w:uiPriority w:val="9"/>
    <w:rsid w:val="00C644B8"/>
    <w:rPr>
      <w:rFonts w:ascii="Palatino Linotype" w:eastAsia="Times New Roman" w:hAnsi="Palatino Linotype" w:cs="Times New Roman"/>
      <w:b/>
      <w:bCs/>
      <w:sz w:val="24"/>
      <w:szCs w:val="27"/>
      <w:lang w:val="x-none" w:eastAsia="x-none"/>
    </w:rPr>
  </w:style>
  <w:style w:type="character" w:customStyle="1" w:styleId="Heading4Char">
    <w:name w:val="Heading 4 Char"/>
    <w:basedOn w:val="DefaultParagraphFont"/>
    <w:link w:val="Heading4"/>
    <w:uiPriority w:val="9"/>
    <w:rsid w:val="00C644B8"/>
    <w:rPr>
      <w:rFonts w:ascii="Palatino Linotype" w:eastAsia="Times New Roman" w:hAnsi="Palatino Linotype" w:cs="Times New Roman"/>
      <w:b/>
      <w:bCs/>
      <w:i/>
      <w:sz w:val="24"/>
      <w:szCs w:val="28"/>
      <w:lang w:val="x-none"/>
    </w:rPr>
  </w:style>
  <w:style w:type="paragraph" w:styleId="PlainText">
    <w:name w:val="Plain Text"/>
    <w:basedOn w:val="Normal"/>
    <w:link w:val="PlainTextChar"/>
    <w:unhideWhenUsed/>
    <w:rsid w:val="00C644B8"/>
    <w:rPr>
      <w:rFonts w:ascii="Arial" w:hAnsi="Arial"/>
      <w:szCs w:val="21"/>
      <w:lang w:val="x-none" w:eastAsia="x-none"/>
    </w:rPr>
  </w:style>
  <w:style w:type="character" w:customStyle="1" w:styleId="PlainTextChar">
    <w:name w:val="Plain Text Char"/>
    <w:basedOn w:val="DefaultParagraphFont"/>
    <w:link w:val="PlainText"/>
    <w:rsid w:val="00C644B8"/>
    <w:rPr>
      <w:rFonts w:ascii="Arial" w:eastAsia="Calibri" w:hAnsi="Arial" w:cs="Times New Roman"/>
      <w:sz w:val="24"/>
      <w:szCs w:val="21"/>
      <w:lang w:val="x-none" w:eastAsia="x-none"/>
    </w:rPr>
  </w:style>
  <w:style w:type="paragraph" w:styleId="Header">
    <w:name w:val="header"/>
    <w:basedOn w:val="Normal"/>
    <w:link w:val="HeaderChar"/>
    <w:uiPriority w:val="99"/>
    <w:unhideWhenUsed/>
    <w:rsid w:val="00C644B8"/>
    <w:pPr>
      <w:tabs>
        <w:tab w:val="center" w:pos="4513"/>
        <w:tab w:val="right" w:pos="9026"/>
      </w:tabs>
    </w:pPr>
  </w:style>
  <w:style w:type="character" w:customStyle="1" w:styleId="HeaderChar">
    <w:name w:val="Header Char"/>
    <w:basedOn w:val="DefaultParagraphFont"/>
    <w:link w:val="Header"/>
    <w:uiPriority w:val="99"/>
    <w:rsid w:val="00C644B8"/>
    <w:rPr>
      <w:rFonts w:ascii="Palatino Linotype" w:eastAsia="Calibri" w:hAnsi="Palatino Linotype" w:cs="Times New Roman"/>
      <w:sz w:val="24"/>
    </w:rPr>
  </w:style>
  <w:style w:type="paragraph" w:styleId="Footer">
    <w:name w:val="footer"/>
    <w:basedOn w:val="Normal"/>
    <w:link w:val="FooterChar"/>
    <w:uiPriority w:val="99"/>
    <w:unhideWhenUsed/>
    <w:rsid w:val="00C644B8"/>
    <w:pPr>
      <w:tabs>
        <w:tab w:val="center" w:pos="4513"/>
        <w:tab w:val="right" w:pos="9026"/>
      </w:tabs>
    </w:pPr>
  </w:style>
  <w:style w:type="character" w:customStyle="1" w:styleId="FooterChar">
    <w:name w:val="Footer Char"/>
    <w:basedOn w:val="DefaultParagraphFont"/>
    <w:link w:val="Footer"/>
    <w:uiPriority w:val="99"/>
    <w:rsid w:val="00C644B8"/>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8" ma:contentTypeDescription="Create a new document." ma:contentTypeScope="" ma:versionID="bc37a14aac603d13513ed4e84e8c4292">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0a663bf06307471c6389aa204b4f57e1"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F2630F-E55D-4112-8F79-E0F4072C1736}">
  <ds:schemaRefs>
    <ds:schemaRef ds:uri="http://schemas.microsoft.com/sharepoint/v3/contenttype/forms"/>
  </ds:schemaRefs>
</ds:datastoreItem>
</file>

<file path=customXml/itemProps2.xml><?xml version="1.0" encoding="utf-8"?>
<ds:datastoreItem xmlns:ds="http://schemas.openxmlformats.org/officeDocument/2006/customXml" ds:itemID="{81458AEF-3F29-43E5-9FCC-78C79F7BBB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C45850-6C07-4682-9221-7FAA68AC2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2024-09-10T13:26:00Z</dcterms:created>
  <dcterms:modified xsi:type="dcterms:W3CDTF">2024-09-10T13:26:00Z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