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46138" w14:textId="77777777" w:rsidR="00C6274F" w:rsidRPr="00C6274F" w:rsidRDefault="00C6274F" w:rsidP="00263268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1. Introduction and Legal Context</w:t>
      </w:r>
    </w:p>
    <w:p w14:paraId="323FF8D0" w14:textId="395B14D5" w:rsidR="00B92844" w:rsidRPr="00263268" w:rsidRDefault="00B92844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B92844">
        <w:rPr>
          <w:rFonts w:ascii="Times New Roman" w:hAnsi="Times New Roman"/>
          <w:b/>
          <w:bCs/>
          <w:lang w:val="en-HK"/>
        </w:rPr>
        <w:t>Nemo Dat Rule</w:t>
      </w:r>
      <w:r w:rsidRPr="00B92844">
        <w:rPr>
          <w:rFonts w:ascii="Times New Roman" w:hAnsi="Times New Roman"/>
          <w:lang w:val="en-HK"/>
        </w:rPr>
        <w:t xml:space="preserve">: The general principle in property law is that a seller cannot transfer a better title than they own, as reflected in Section 21 of the Sale of Goods Act 1979 (SGA). This </w:t>
      </w:r>
      <w:r w:rsidRPr="00B92844">
        <w:rPr>
          <w:rFonts w:ascii="Times New Roman" w:hAnsi="Times New Roman"/>
          <w:b/>
          <w:bCs/>
          <w:lang w:val="en-HK"/>
        </w:rPr>
        <w:t>ensures the original owner’s title generally prevails over subsequent claims</w:t>
      </w:r>
      <w:r w:rsidRPr="00B92844">
        <w:rPr>
          <w:rFonts w:ascii="Times New Roman" w:hAnsi="Times New Roman"/>
          <w:lang w:val="en-HK"/>
        </w:rPr>
        <w:t>.</w:t>
      </w:r>
    </w:p>
    <w:p w14:paraId="7D563FDB" w14:textId="36BF20BF" w:rsidR="00263268" w:rsidRPr="00263268" w:rsidRDefault="00263268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263268">
        <w:rPr>
          <w:rFonts w:ascii="Times New Roman" w:hAnsi="Times New Roman"/>
          <w:b/>
          <w:bCs/>
          <w:i/>
          <w:iCs/>
          <w:lang w:val="en-HK"/>
        </w:rPr>
        <w:t>N</w:t>
      </w:r>
      <w:r w:rsidRPr="00263268">
        <w:rPr>
          <w:rFonts w:ascii="Times New Roman" w:hAnsi="Times New Roman"/>
          <w:b/>
          <w:bCs/>
          <w:i/>
          <w:iCs/>
          <w:lang w:val="en-HK"/>
        </w:rPr>
        <w:t xml:space="preserve">emo </w:t>
      </w:r>
      <w:proofErr w:type="spellStart"/>
      <w:r w:rsidRPr="00263268">
        <w:rPr>
          <w:rFonts w:ascii="Times New Roman" w:hAnsi="Times New Roman"/>
          <w:b/>
          <w:bCs/>
          <w:i/>
          <w:iCs/>
          <w:lang w:val="en-HK"/>
        </w:rPr>
        <w:t>dat</w:t>
      </w:r>
      <w:proofErr w:type="spellEnd"/>
      <w:r w:rsidRPr="00263268">
        <w:rPr>
          <w:rFonts w:ascii="Times New Roman" w:hAnsi="Times New Roman"/>
          <w:b/>
          <w:bCs/>
          <w:i/>
          <w:iCs/>
          <w:lang w:val="en-HK"/>
        </w:rPr>
        <w:t xml:space="preserve"> quod non </w:t>
      </w:r>
      <w:proofErr w:type="spellStart"/>
      <w:r w:rsidRPr="00263268">
        <w:rPr>
          <w:rFonts w:ascii="Times New Roman" w:hAnsi="Times New Roman"/>
          <w:b/>
          <w:bCs/>
          <w:i/>
          <w:iCs/>
          <w:lang w:val="en-HK"/>
        </w:rPr>
        <w:t>habet</w:t>
      </w:r>
      <w:proofErr w:type="spellEnd"/>
      <w:r w:rsidRPr="00263268">
        <w:rPr>
          <w:rFonts w:ascii="Times New Roman" w:hAnsi="Times New Roman"/>
          <w:lang w:val="en-HK"/>
        </w:rPr>
        <w:t xml:space="preserve"> principle: “</w:t>
      </w:r>
      <w:r w:rsidRPr="00263268">
        <w:rPr>
          <w:rFonts w:ascii="Times New Roman" w:hAnsi="Times New Roman"/>
          <w:b/>
          <w:bCs/>
          <w:lang w:val="en-HK"/>
        </w:rPr>
        <w:t>O</w:t>
      </w:r>
      <w:r w:rsidRPr="00263268">
        <w:rPr>
          <w:rFonts w:ascii="Times New Roman" w:hAnsi="Times New Roman"/>
          <w:b/>
          <w:bCs/>
          <w:lang w:val="en-HK"/>
        </w:rPr>
        <w:t>ne cannot give what one does not have</w:t>
      </w:r>
      <w:r w:rsidRPr="00263268">
        <w:rPr>
          <w:rFonts w:ascii="Times New Roman" w:hAnsi="Times New Roman"/>
          <w:lang w:val="en-HK"/>
        </w:rPr>
        <w:t>.”</w:t>
      </w:r>
    </w:p>
    <w:p w14:paraId="59A8233B" w14:textId="7F14720D" w:rsidR="00263268" w:rsidRPr="00B92844" w:rsidRDefault="00263268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263268">
        <w:rPr>
          <w:rFonts w:ascii="Times New Roman" w:hAnsi="Times New Roman"/>
          <w:b/>
          <w:bCs/>
          <w:lang w:val="en-HK"/>
        </w:rPr>
        <w:t>Section 21 SGA 1979</w:t>
      </w:r>
      <w:r w:rsidRPr="00263268">
        <w:rPr>
          <w:rFonts w:ascii="Times New Roman" w:hAnsi="Times New Roman"/>
          <w:lang w:val="en-HK"/>
        </w:rPr>
        <w:t xml:space="preserve"> encapsulates this rule: </w:t>
      </w:r>
      <w:r w:rsidRPr="00263268">
        <w:rPr>
          <w:rFonts w:ascii="Times New Roman" w:hAnsi="Times New Roman"/>
          <w:b/>
          <w:bCs/>
          <w:lang w:val="en-HK"/>
        </w:rPr>
        <w:t>a buyer cannot acquire better title than the seller</w:t>
      </w:r>
      <w:r w:rsidRPr="00263268">
        <w:rPr>
          <w:rFonts w:ascii="Times New Roman" w:hAnsi="Times New Roman"/>
          <w:lang w:val="en-HK"/>
        </w:rPr>
        <w:t xml:space="preserve"> </w:t>
      </w:r>
      <w:r w:rsidRPr="00263268">
        <w:rPr>
          <w:rFonts w:ascii="Times New Roman" w:hAnsi="Times New Roman"/>
          <w:b/>
          <w:bCs/>
          <w:color w:val="FF0000"/>
          <w:lang w:val="en-HK"/>
        </w:rPr>
        <w:t>unless the true owner is precluded from denying the seller's authority to sell</w:t>
      </w:r>
      <w:r w:rsidRPr="00263268">
        <w:rPr>
          <w:rFonts w:ascii="Times New Roman" w:hAnsi="Times New Roman"/>
          <w:lang w:val="en-HK"/>
        </w:rPr>
        <w:t>.</w:t>
      </w:r>
    </w:p>
    <w:p w14:paraId="5B390DF7" w14:textId="22B95D66" w:rsidR="00B92844" w:rsidRPr="00B92844" w:rsidRDefault="00B92844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B92844">
        <w:rPr>
          <w:rFonts w:ascii="Times New Roman" w:hAnsi="Times New Roman"/>
          <w:b/>
          <w:bCs/>
          <w:lang w:val="en-HK"/>
        </w:rPr>
        <w:t>Exceptions</w:t>
      </w:r>
      <w:r w:rsidRPr="00B92844">
        <w:rPr>
          <w:rFonts w:ascii="Times New Roman" w:hAnsi="Times New Roman"/>
          <w:lang w:val="en-HK"/>
        </w:rPr>
        <w:t>: Exceptions to the rule include statutory provisions that prioritize commercial expediency over strict legal ownership:</w:t>
      </w:r>
    </w:p>
    <w:p w14:paraId="36D9A4BB" w14:textId="77777777" w:rsidR="00B92844" w:rsidRPr="00B92844" w:rsidRDefault="00B92844" w:rsidP="00263268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b/>
          <w:bCs/>
          <w:lang w:val="en-HK"/>
        </w:rPr>
      </w:pPr>
      <w:r w:rsidRPr="00B92844">
        <w:rPr>
          <w:rFonts w:ascii="Times New Roman" w:hAnsi="Times New Roman"/>
          <w:b/>
          <w:bCs/>
          <w:lang w:val="en-HK"/>
        </w:rPr>
        <w:t>Bona fide purchasers without notice.</w:t>
      </w:r>
    </w:p>
    <w:p w14:paraId="56917844" w14:textId="77777777" w:rsidR="00B92844" w:rsidRPr="00B92844" w:rsidRDefault="00B92844" w:rsidP="00263268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B92844">
        <w:rPr>
          <w:rFonts w:ascii="Times New Roman" w:hAnsi="Times New Roman"/>
          <w:lang w:val="en-HK"/>
        </w:rPr>
        <w:t xml:space="preserve">The rules in </w:t>
      </w:r>
      <w:r w:rsidRPr="00B92844">
        <w:rPr>
          <w:rFonts w:ascii="Times New Roman" w:hAnsi="Times New Roman"/>
          <w:b/>
          <w:bCs/>
          <w:lang w:val="en-HK"/>
        </w:rPr>
        <w:t>Sections 24 and 25 of the SGA 1979</w:t>
      </w:r>
      <w:r w:rsidRPr="00B92844">
        <w:rPr>
          <w:rFonts w:ascii="Times New Roman" w:hAnsi="Times New Roman"/>
          <w:lang w:val="en-HK"/>
        </w:rPr>
        <w:t>, and related provisions in the Factors Act 1889.</w:t>
      </w:r>
    </w:p>
    <w:p w14:paraId="1A2D13BA" w14:textId="324140A9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Scholar</w:t>
      </w:r>
      <w:r w:rsidRPr="00263268">
        <w:rPr>
          <w:rFonts w:ascii="Times New Roman" w:hAnsi="Times New Roman"/>
          <w:b/>
          <w:bCs/>
          <w:lang w:val="en-HK"/>
        </w:rPr>
        <w:t>s</w:t>
      </w:r>
      <w:r w:rsidRPr="00C6274F">
        <w:rPr>
          <w:rFonts w:ascii="Times New Roman" w:hAnsi="Times New Roman"/>
          <w:lang w:val="en-HK"/>
        </w:rPr>
        <w:t>:</w:t>
      </w:r>
    </w:p>
    <w:p w14:paraId="4E5A8463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R. Goode (Commercial Law):</w:t>
      </w:r>
      <w:r w:rsidRPr="00C6274F">
        <w:rPr>
          <w:rFonts w:ascii="Times New Roman" w:hAnsi="Times New Roman"/>
          <w:lang w:val="en-HK"/>
        </w:rPr>
        <w:t xml:space="preserve"> Defines conflicts of title versus priority disputes, where one involves identical claims to ownership, and the other involves different rights to the same property.</w:t>
      </w:r>
    </w:p>
    <w:p w14:paraId="01959E30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S. Worthington (</w:t>
      </w:r>
      <w:r w:rsidRPr="00C6274F">
        <w:rPr>
          <w:rFonts w:ascii="Times New Roman" w:hAnsi="Times New Roman"/>
          <w:b/>
          <w:bCs/>
          <w:i/>
          <w:iCs/>
          <w:lang w:val="en-HK"/>
        </w:rPr>
        <w:t>Personal Property Law</w:t>
      </w:r>
      <w:r w:rsidRPr="00C6274F">
        <w:rPr>
          <w:rFonts w:ascii="Times New Roman" w:hAnsi="Times New Roman"/>
          <w:b/>
          <w:bCs/>
          <w:lang w:val="en-HK"/>
        </w:rPr>
        <w:t>)</w:t>
      </w:r>
      <w:r w:rsidRPr="00C6274F">
        <w:rPr>
          <w:rFonts w:ascii="Times New Roman" w:hAnsi="Times New Roman"/>
          <w:lang w:val="en-HK"/>
        </w:rPr>
        <w:t>: Explains the relativity of English law titles as a priority-based system, unlike absolute entitlement in Roman law.</w:t>
      </w:r>
    </w:p>
    <w:p w14:paraId="63E25135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Relativity of Title</w:t>
      </w:r>
      <w:r w:rsidRPr="00C6274F">
        <w:rPr>
          <w:rFonts w:ascii="Times New Roman" w:hAnsi="Times New Roman"/>
          <w:lang w:val="en-HK"/>
        </w:rPr>
        <w:t>:</w:t>
      </w:r>
    </w:p>
    <w:p w14:paraId="7C5239D0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i/>
          <w:iCs/>
          <w:lang w:val="en-HK"/>
        </w:rPr>
        <w:t>Waverly Borough Council v. Fletcher [1996]</w:t>
      </w:r>
      <w:r w:rsidRPr="00C6274F">
        <w:rPr>
          <w:rFonts w:ascii="Times New Roman" w:hAnsi="Times New Roman"/>
          <w:lang w:val="en-HK"/>
        </w:rPr>
        <w:t xml:space="preserve"> (per Auld LJ): English ownership focuses on entitlement priority, not absolute ownership.</w:t>
      </w:r>
    </w:p>
    <w:p w14:paraId="7980EAE0" w14:textId="77777777" w:rsidR="00C6274F" w:rsidRPr="00C6274F" w:rsidRDefault="00EF21E3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EF21E3">
        <w:rPr>
          <w:rFonts w:ascii="Times New Roman" w:hAnsi="Times New Roman"/>
          <w:noProof/>
          <w:lang w:val="en-HK"/>
          <w14:ligatures w14:val="standardContextual"/>
        </w:rPr>
        <w:pict w14:anchorId="0DD2ED8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1BF9F6A" w14:textId="77777777" w:rsidR="00C6274F" w:rsidRPr="00C6274F" w:rsidRDefault="00C6274F" w:rsidP="00263268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 xml:space="preserve">2. Factors Act Exceptions to the </w:t>
      </w:r>
      <w:r w:rsidRPr="00C6274F">
        <w:rPr>
          <w:rFonts w:ascii="Times New Roman" w:hAnsi="Times New Roman"/>
          <w:b/>
          <w:bCs/>
          <w:i/>
          <w:iCs/>
          <w:lang w:val="en-HK"/>
        </w:rPr>
        <w:t>Nemo Dat</w:t>
      </w:r>
      <w:r w:rsidRPr="00C6274F">
        <w:rPr>
          <w:rFonts w:ascii="Times New Roman" w:hAnsi="Times New Roman"/>
          <w:b/>
          <w:bCs/>
          <w:lang w:val="en-HK"/>
        </w:rPr>
        <w:t xml:space="preserve"> Rule</w:t>
      </w:r>
    </w:p>
    <w:p w14:paraId="0F539215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A. Sale or Pledge by a Mercantile Agent</w:t>
      </w:r>
    </w:p>
    <w:p w14:paraId="1417EAAD" w14:textId="77777777" w:rsidR="00C6274F" w:rsidRPr="00C6274F" w:rsidRDefault="00C6274F" w:rsidP="00263268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lastRenderedPageBreak/>
        <w:t>Statutory Rule</w:t>
      </w:r>
      <w:r w:rsidRPr="00C6274F">
        <w:rPr>
          <w:rFonts w:ascii="Times New Roman" w:hAnsi="Times New Roman"/>
          <w:lang w:val="en-HK"/>
        </w:rPr>
        <w:t>:</w:t>
      </w:r>
    </w:p>
    <w:p w14:paraId="7492A76A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Section 2(1) FA 1889 allows a mercantile agent in possession of goods (with the owner's consent) to sell or pledge them in the ordinary course of business.</w:t>
      </w:r>
    </w:p>
    <w:p w14:paraId="392D9308" w14:textId="77777777" w:rsidR="00C6274F" w:rsidRPr="00C6274F" w:rsidRDefault="00C6274F" w:rsidP="00263268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Requirements</w:t>
      </w:r>
      <w:r w:rsidRPr="00C6274F">
        <w:rPr>
          <w:rFonts w:ascii="Times New Roman" w:hAnsi="Times New Roman"/>
          <w:lang w:val="en-HK"/>
        </w:rPr>
        <w:t>:</w:t>
      </w:r>
    </w:p>
    <w:p w14:paraId="246E679C" w14:textId="77777777" w:rsidR="00C6274F" w:rsidRPr="00C6274F" w:rsidRDefault="00C6274F" w:rsidP="00263268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The goods must be entrusted to the agent in their capacity as a mercantile agent.</w:t>
      </w:r>
    </w:p>
    <w:p w14:paraId="3A898D03" w14:textId="77777777" w:rsidR="00C6274F" w:rsidRPr="00C6274F" w:rsidRDefault="00C6274F" w:rsidP="00263268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The disposition must be made in good faith, with the buyer unaware of the agent's lack of authority.</w:t>
      </w:r>
    </w:p>
    <w:p w14:paraId="49F36E8D" w14:textId="77777777" w:rsidR="00C6274F" w:rsidRPr="00C6274F" w:rsidRDefault="00C6274F" w:rsidP="00263268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Key Cases</w:t>
      </w:r>
      <w:r w:rsidRPr="00C6274F">
        <w:rPr>
          <w:rFonts w:ascii="Times New Roman" w:hAnsi="Times New Roman"/>
          <w:lang w:val="en-HK"/>
        </w:rPr>
        <w:t>:</w:t>
      </w:r>
    </w:p>
    <w:p w14:paraId="1AE4F57C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Cole v. North Western Bank (1875)</w:t>
      </w:r>
      <w:r w:rsidRPr="00C6274F">
        <w:rPr>
          <w:rFonts w:ascii="Times New Roman" w:hAnsi="Times New Roman"/>
          <w:lang w:val="en-HK"/>
        </w:rPr>
        <w:t>:</w:t>
      </w:r>
    </w:p>
    <w:p w14:paraId="5CAA5CDA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Facts</w:t>
      </w:r>
      <w:r w:rsidRPr="00C6274F">
        <w:rPr>
          <w:rFonts w:ascii="Times New Roman" w:hAnsi="Times New Roman"/>
          <w:lang w:val="en-HK"/>
        </w:rPr>
        <w:t>: A mercantile agent acted beyond actual authority.</w:t>
      </w:r>
    </w:p>
    <w:p w14:paraId="0EB909FD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Held</w:t>
      </w:r>
      <w:r w:rsidRPr="00C6274F">
        <w:rPr>
          <w:rFonts w:ascii="Times New Roman" w:hAnsi="Times New Roman"/>
          <w:lang w:val="en-HK"/>
        </w:rPr>
        <w:t>: The principal was bound as the agent acted within apparent authority.</w:t>
      </w:r>
    </w:p>
    <w:p w14:paraId="6BC0ECE0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Implication</w:t>
      </w:r>
      <w:r w:rsidRPr="00C6274F">
        <w:rPr>
          <w:rFonts w:ascii="Times New Roman" w:hAnsi="Times New Roman"/>
          <w:lang w:val="en-HK"/>
        </w:rPr>
        <w:t>: Established that apparent authority suffices under agency law.</w:t>
      </w:r>
    </w:p>
    <w:p w14:paraId="634C2F87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Staffs Motor Guarantee Ltd v. British Wagon Co Ltd [1934]</w:t>
      </w:r>
      <w:r w:rsidRPr="00C6274F">
        <w:rPr>
          <w:rFonts w:ascii="Times New Roman" w:hAnsi="Times New Roman"/>
          <w:lang w:val="en-HK"/>
        </w:rPr>
        <w:t>:</w:t>
      </w:r>
    </w:p>
    <w:p w14:paraId="7CC84C4B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Clarifies that goods must be entrusted to the agent in their business capacity.</w:t>
      </w:r>
    </w:p>
    <w:p w14:paraId="2B23DBEC" w14:textId="77777777" w:rsidR="00C6274F" w:rsidRPr="00C6274F" w:rsidRDefault="00C6274F" w:rsidP="00263268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Scholarly Views</w:t>
      </w:r>
      <w:r w:rsidRPr="00C6274F">
        <w:rPr>
          <w:rFonts w:ascii="Times New Roman" w:hAnsi="Times New Roman"/>
          <w:lang w:val="en-HK"/>
        </w:rPr>
        <w:t>:</w:t>
      </w:r>
    </w:p>
    <w:p w14:paraId="19B8BE2F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A.P. Bell (</w:t>
      </w:r>
      <w:r w:rsidRPr="00C6274F">
        <w:rPr>
          <w:rFonts w:ascii="Times New Roman" w:hAnsi="Times New Roman"/>
          <w:b/>
          <w:bCs/>
          <w:i/>
          <w:iCs/>
          <w:lang w:val="en-HK"/>
        </w:rPr>
        <w:t>Modern Law of Personal Property</w:t>
      </w:r>
      <w:r w:rsidRPr="00C6274F">
        <w:rPr>
          <w:rFonts w:ascii="Times New Roman" w:hAnsi="Times New Roman"/>
          <w:b/>
          <w:bCs/>
          <w:lang w:val="en-HK"/>
        </w:rPr>
        <w:t>):</w:t>
      </w:r>
      <w:r w:rsidRPr="00C6274F">
        <w:rPr>
          <w:rFonts w:ascii="Times New Roman" w:hAnsi="Times New Roman"/>
          <w:lang w:val="en-HK"/>
        </w:rPr>
        <w:t xml:space="preserve"> Explains the historical development of agents pledging goods in their names, which led to legislative intervention.</w:t>
      </w:r>
    </w:p>
    <w:p w14:paraId="5F64D58F" w14:textId="77777777" w:rsidR="00C6274F" w:rsidRPr="00C6274F" w:rsidRDefault="00EF21E3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EF21E3">
        <w:rPr>
          <w:rFonts w:ascii="Times New Roman" w:hAnsi="Times New Roman"/>
          <w:noProof/>
          <w:lang w:val="en-HK"/>
          <w14:ligatures w14:val="standardContextual"/>
        </w:rPr>
        <w:pict w14:anchorId="6FEE6F7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A61A98A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B. Sale by Seller in Possession of Goods</w:t>
      </w:r>
    </w:p>
    <w:p w14:paraId="4FB1DDC3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Historical Context</w:t>
      </w:r>
      <w:r w:rsidRPr="00C6274F">
        <w:rPr>
          <w:rFonts w:ascii="Times New Roman" w:hAnsi="Times New Roman"/>
          <w:lang w:val="en-HK"/>
        </w:rPr>
        <w:t>:</w:t>
      </w:r>
    </w:p>
    <w:p w14:paraId="75955861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i/>
          <w:iCs/>
          <w:lang w:val="en-HK"/>
        </w:rPr>
        <w:t>Johnson v. Credit Lyonnais (1877</w:t>
      </w:r>
      <w:r w:rsidRPr="00C6274F">
        <w:rPr>
          <w:rFonts w:ascii="Times New Roman" w:hAnsi="Times New Roman"/>
          <w:i/>
          <w:iCs/>
          <w:lang w:val="en-HK"/>
        </w:rPr>
        <w:t>)</w:t>
      </w:r>
      <w:r w:rsidRPr="00C6274F">
        <w:rPr>
          <w:rFonts w:ascii="Times New Roman" w:hAnsi="Times New Roman"/>
          <w:lang w:val="en-HK"/>
        </w:rPr>
        <w:t xml:space="preserve"> denied a second buyer’s claim when the seller retained possession. This prompted statutory reforms under the FA 1877, now embodied in Section 24 SGA.</w:t>
      </w:r>
    </w:p>
    <w:p w14:paraId="7D6C7992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lastRenderedPageBreak/>
        <w:t>Statutory Framework</w:t>
      </w:r>
      <w:r w:rsidRPr="00C6274F">
        <w:rPr>
          <w:rFonts w:ascii="Times New Roman" w:hAnsi="Times New Roman"/>
          <w:lang w:val="en-HK"/>
        </w:rPr>
        <w:t>:</w:t>
      </w:r>
    </w:p>
    <w:p w14:paraId="6386D13C" w14:textId="6B73A8B8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highlight w:val="yellow"/>
          <w:lang w:val="en-HK"/>
        </w:rPr>
        <w:t>Section 24 SGA 1979</w:t>
      </w:r>
      <w:r w:rsidRPr="00C6274F">
        <w:rPr>
          <w:rFonts w:ascii="Times New Roman" w:hAnsi="Times New Roman"/>
          <w:lang w:val="en-HK"/>
        </w:rPr>
        <w:t xml:space="preserve"> allows a seller who retains possession of goods after selling them to one buyer to pass a good title to a subsequent buyer </w:t>
      </w:r>
      <w:r w:rsidRPr="00C6274F">
        <w:rPr>
          <w:rFonts w:ascii="Times New Roman" w:hAnsi="Times New Roman"/>
          <w:b/>
          <w:bCs/>
          <w:lang w:val="en-HK"/>
        </w:rPr>
        <w:t>only if</w:t>
      </w:r>
      <w:r w:rsidRPr="00C6274F">
        <w:rPr>
          <w:rFonts w:ascii="Times New Roman" w:hAnsi="Times New Roman"/>
          <w:lang w:val="en-HK"/>
        </w:rPr>
        <w:t>:</w:t>
      </w:r>
    </w:p>
    <w:p w14:paraId="4615DD5D" w14:textId="77777777" w:rsidR="00C6274F" w:rsidRPr="00C6274F" w:rsidRDefault="00C6274F" w:rsidP="00263268">
      <w:pPr>
        <w:numPr>
          <w:ilvl w:val="0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 xml:space="preserve">The seller's possession of the goods is </w:t>
      </w:r>
      <w:r w:rsidRPr="00C6274F">
        <w:rPr>
          <w:rFonts w:ascii="Times New Roman" w:hAnsi="Times New Roman"/>
          <w:b/>
          <w:bCs/>
          <w:lang w:val="en-HK"/>
        </w:rPr>
        <w:t>connected to their role as a seller</w:t>
      </w:r>
      <w:r w:rsidRPr="00C6274F">
        <w:rPr>
          <w:rFonts w:ascii="Times New Roman" w:hAnsi="Times New Roman"/>
          <w:lang w:val="en-HK"/>
        </w:rPr>
        <w:t>, not in some other capacity (like bailee or hirer).</w:t>
      </w:r>
    </w:p>
    <w:p w14:paraId="4FDA0835" w14:textId="77777777" w:rsidR="00C6274F" w:rsidRPr="00C6274F" w:rsidRDefault="00C6274F" w:rsidP="00263268">
      <w:pPr>
        <w:numPr>
          <w:ilvl w:val="0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 xml:space="preserve">The subsequent buyer acts </w:t>
      </w:r>
      <w:r w:rsidRPr="00C6274F">
        <w:rPr>
          <w:rFonts w:ascii="Times New Roman" w:hAnsi="Times New Roman"/>
          <w:b/>
          <w:bCs/>
          <w:lang w:val="en-HK"/>
        </w:rPr>
        <w:t>in good faith</w:t>
      </w:r>
      <w:r w:rsidRPr="00C6274F">
        <w:rPr>
          <w:rFonts w:ascii="Times New Roman" w:hAnsi="Times New Roman"/>
          <w:lang w:val="en-HK"/>
        </w:rPr>
        <w:t xml:space="preserve"> and has </w:t>
      </w:r>
      <w:r w:rsidRPr="00C6274F">
        <w:rPr>
          <w:rFonts w:ascii="Times New Roman" w:hAnsi="Times New Roman"/>
          <w:b/>
          <w:bCs/>
          <w:lang w:val="en-HK"/>
        </w:rPr>
        <w:t>no knowledge</w:t>
      </w:r>
      <w:r w:rsidRPr="00C6274F">
        <w:rPr>
          <w:rFonts w:ascii="Times New Roman" w:hAnsi="Times New Roman"/>
          <w:lang w:val="en-HK"/>
        </w:rPr>
        <w:t xml:space="preserve"> of the prior sale.</w:t>
      </w:r>
    </w:p>
    <w:p w14:paraId="79042D26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Case Origins</w:t>
      </w:r>
      <w:r w:rsidRPr="00C6274F">
        <w:rPr>
          <w:rFonts w:ascii="Times New Roman" w:hAnsi="Times New Roman"/>
          <w:lang w:val="en-HK"/>
        </w:rPr>
        <w:t>:</w:t>
      </w:r>
    </w:p>
    <w:p w14:paraId="30450563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 xml:space="preserve">Section 24 </w:t>
      </w:r>
      <w:r w:rsidRPr="00C6274F">
        <w:rPr>
          <w:rFonts w:ascii="Times New Roman" w:hAnsi="Times New Roman"/>
          <w:b/>
          <w:bCs/>
          <w:lang w:val="en-HK"/>
        </w:rPr>
        <w:t>protects innocent buyers</w:t>
      </w:r>
      <w:r w:rsidRPr="00C6274F">
        <w:rPr>
          <w:rFonts w:ascii="Times New Roman" w:hAnsi="Times New Roman"/>
          <w:lang w:val="en-HK"/>
        </w:rPr>
        <w:t xml:space="preserve"> but diverges from traditional </w:t>
      </w:r>
      <w:r w:rsidRPr="00C6274F">
        <w:rPr>
          <w:rFonts w:ascii="Times New Roman" w:hAnsi="Times New Roman"/>
          <w:i/>
          <w:iCs/>
          <w:lang w:val="en-HK"/>
        </w:rPr>
        <w:t xml:space="preserve">nemo </w:t>
      </w:r>
      <w:proofErr w:type="spellStart"/>
      <w:r w:rsidRPr="00C6274F">
        <w:rPr>
          <w:rFonts w:ascii="Times New Roman" w:hAnsi="Times New Roman"/>
          <w:i/>
          <w:iCs/>
          <w:lang w:val="en-HK"/>
        </w:rPr>
        <w:t>dat</w:t>
      </w:r>
      <w:proofErr w:type="spellEnd"/>
      <w:r w:rsidRPr="00C6274F">
        <w:rPr>
          <w:rFonts w:ascii="Times New Roman" w:hAnsi="Times New Roman"/>
          <w:lang w:val="en-HK"/>
        </w:rPr>
        <w:t xml:space="preserve"> rules, promoting commerce.</w:t>
      </w:r>
    </w:p>
    <w:p w14:paraId="62EC8719" w14:textId="77777777" w:rsidR="00C6274F" w:rsidRPr="00C6274F" w:rsidRDefault="00EF21E3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EF21E3">
        <w:rPr>
          <w:rFonts w:ascii="Times New Roman" w:hAnsi="Times New Roman"/>
          <w:noProof/>
          <w:lang w:val="en-HK"/>
          <w14:ligatures w14:val="standardContextual"/>
        </w:rPr>
        <w:pict w14:anchorId="2937F16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707A5A5" w14:textId="77777777" w:rsidR="00C6274F" w:rsidRPr="00C6274F" w:rsidRDefault="00C6274F" w:rsidP="00263268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3. Seller in Possession of Goods (Section 24 SGA)</w:t>
      </w:r>
    </w:p>
    <w:p w14:paraId="6B6A836E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Key Questions:</w:t>
      </w:r>
    </w:p>
    <w:p w14:paraId="704100A7" w14:textId="77777777" w:rsidR="00C6274F" w:rsidRPr="00C6274F" w:rsidRDefault="00C6274F" w:rsidP="00263268">
      <w:pPr>
        <w:numPr>
          <w:ilvl w:val="0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When does a seller "continue in possession"?</w:t>
      </w:r>
    </w:p>
    <w:p w14:paraId="08C303E0" w14:textId="77777777" w:rsidR="00C6274F" w:rsidRPr="00C6274F" w:rsidRDefault="00C6274F" w:rsidP="00263268">
      <w:pPr>
        <w:numPr>
          <w:ilvl w:val="0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Does possession need to be in the capacity of a seller?</w:t>
      </w:r>
    </w:p>
    <w:p w14:paraId="3C786FEF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Case Analysis:</w:t>
      </w:r>
    </w:p>
    <w:p w14:paraId="736AE934" w14:textId="77777777" w:rsidR="00C6274F" w:rsidRPr="00C6274F" w:rsidRDefault="00C6274F" w:rsidP="00263268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Mitchell v. Jones (1905)</w:t>
      </w:r>
      <w:r w:rsidRPr="00C6274F">
        <w:rPr>
          <w:rFonts w:ascii="Times New Roman" w:hAnsi="Times New Roman"/>
          <w:lang w:val="en-HK"/>
        </w:rPr>
        <w:t>:</w:t>
      </w:r>
    </w:p>
    <w:p w14:paraId="678177BC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Facts</w:t>
      </w:r>
      <w:r w:rsidRPr="00C6274F">
        <w:rPr>
          <w:rFonts w:ascii="Times New Roman" w:hAnsi="Times New Roman"/>
          <w:lang w:val="en-HK"/>
        </w:rPr>
        <w:t>: A horse sold and delivered was leased back by the seller before a resale.</w:t>
      </w:r>
    </w:p>
    <w:p w14:paraId="6CDB4D46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Held</w:t>
      </w:r>
      <w:r w:rsidRPr="00C6274F">
        <w:rPr>
          <w:rFonts w:ascii="Times New Roman" w:hAnsi="Times New Roman"/>
          <w:lang w:val="en-HK"/>
        </w:rPr>
        <w:t>: The seller did not "continue in possession" as possession shifted during the lease.</w:t>
      </w:r>
    </w:p>
    <w:p w14:paraId="34305870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Implication</w:t>
      </w:r>
      <w:r w:rsidRPr="00C6274F">
        <w:rPr>
          <w:rFonts w:ascii="Times New Roman" w:hAnsi="Times New Roman"/>
          <w:lang w:val="en-HK"/>
        </w:rPr>
        <w:t>: Physical possession alone is insufficient; possession must relate to the original sale.</w:t>
      </w:r>
    </w:p>
    <w:p w14:paraId="3DBD8AA4" w14:textId="77777777" w:rsidR="00C6274F" w:rsidRPr="00C6274F" w:rsidRDefault="00C6274F" w:rsidP="00263268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Staffs Motor Guarantee Ltd v. British Wagon Co Ltd (1934)</w:t>
      </w:r>
      <w:r w:rsidRPr="00C6274F">
        <w:rPr>
          <w:rFonts w:ascii="Times New Roman" w:hAnsi="Times New Roman"/>
          <w:lang w:val="en-HK"/>
        </w:rPr>
        <w:t>:</w:t>
      </w:r>
    </w:p>
    <w:p w14:paraId="2B7C9A22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Facts</w:t>
      </w:r>
      <w:r w:rsidRPr="00C6274F">
        <w:rPr>
          <w:rFonts w:ascii="Times New Roman" w:hAnsi="Times New Roman"/>
          <w:lang w:val="en-HK"/>
        </w:rPr>
        <w:t>: A lorry sold was retained by the seller under a hire-purchase agreement.</w:t>
      </w:r>
    </w:p>
    <w:p w14:paraId="6631DB0C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Held</w:t>
      </w:r>
      <w:r w:rsidRPr="00C6274F">
        <w:rPr>
          <w:rFonts w:ascii="Times New Roman" w:hAnsi="Times New Roman"/>
          <w:lang w:val="en-HK"/>
        </w:rPr>
        <w:t>: Constructive delivery severed the seller’s possession.</w:t>
      </w:r>
    </w:p>
    <w:p w14:paraId="21AD4D41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lastRenderedPageBreak/>
        <w:t>Implication</w:t>
      </w:r>
      <w:r w:rsidRPr="00C6274F">
        <w:rPr>
          <w:rFonts w:ascii="Times New Roman" w:hAnsi="Times New Roman"/>
          <w:lang w:val="en-HK"/>
        </w:rPr>
        <w:t xml:space="preserve">: Contrasts with </w:t>
      </w:r>
      <w:r w:rsidRPr="00C6274F">
        <w:rPr>
          <w:rFonts w:ascii="Times New Roman" w:hAnsi="Times New Roman"/>
          <w:i/>
          <w:iCs/>
          <w:lang w:val="en-HK"/>
        </w:rPr>
        <w:t>Mitchell</w:t>
      </w:r>
      <w:r w:rsidRPr="00C6274F">
        <w:rPr>
          <w:rFonts w:ascii="Times New Roman" w:hAnsi="Times New Roman"/>
          <w:lang w:val="en-HK"/>
        </w:rPr>
        <w:t>, emphasizing the relevance of constructive possession.</w:t>
      </w:r>
    </w:p>
    <w:p w14:paraId="10796DB0" w14:textId="77777777" w:rsidR="00C6274F" w:rsidRPr="00C6274F" w:rsidRDefault="00C6274F" w:rsidP="00263268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Pacific Motor Auctions Pty Ltd v. Motor Credits (1965)</w:t>
      </w:r>
      <w:r w:rsidRPr="00C6274F">
        <w:rPr>
          <w:rFonts w:ascii="Times New Roman" w:hAnsi="Times New Roman"/>
          <w:lang w:val="en-HK"/>
        </w:rPr>
        <w:t>:</w:t>
      </w:r>
    </w:p>
    <w:p w14:paraId="1D71BFD2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Facts</w:t>
      </w:r>
      <w:r w:rsidRPr="00C6274F">
        <w:rPr>
          <w:rFonts w:ascii="Times New Roman" w:hAnsi="Times New Roman"/>
          <w:lang w:val="en-HK"/>
        </w:rPr>
        <w:t>: A display agreement let a garage retain possession of cars for sale after initial purchase.</w:t>
      </w:r>
    </w:p>
    <w:p w14:paraId="2FD8AEB0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Held</w:t>
      </w:r>
      <w:r w:rsidRPr="00C6274F">
        <w:rPr>
          <w:rFonts w:ascii="Times New Roman" w:hAnsi="Times New Roman"/>
          <w:lang w:val="en-HK"/>
        </w:rPr>
        <w:t>: Continuous physical possession sufficed, irrespective of constructive delivery.</w:t>
      </w:r>
    </w:p>
    <w:p w14:paraId="26B24FC9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Implication</w:t>
      </w:r>
      <w:r w:rsidRPr="00C6274F">
        <w:rPr>
          <w:rFonts w:ascii="Times New Roman" w:hAnsi="Times New Roman"/>
          <w:lang w:val="en-HK"/>
        </w:rPr>
        <w:t xml:space="preserve">: Overruled </w:t>
      </w:r>
      <w:r w:rsidRPr="00C6274F">
        <w:rPr>
          <w:rFonts w:ascii="Times New Roman" w:hAnsi="Times New Roman"/>
          <w:i/>
          <w:iCs/>
          <w:lang w:val="en-HK"/>
        </w:rPr>
        <w:t>Staffs Motor</w:t>
      </w:r>
      <w:r w:rsidRPr="00C6274F">
        <w:rPr>
          <w:rFonts w:ascii="Times New Roman" w:hAnsi="Times New Roman"/>
          <w:lang w:val="en-HK"/>
        </w:rPr>
        <w:t xml:space="preserve"> and redefined "continuing possession."</w:t>
      </w:r>
    </w:p>
    <w:p w14:paraId="21AB8E30" w14:textId="77777777" w:rsidR="00C6274F" w:rsidRPr="00C6274F" w:rsidRDefault="00C6274F" w:rsidP="00263268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Michael Gerson (Leasing) Ltd v. Wilkinson (2001)</w:t>
      </w:r>
      <w:r w:rsidRPr="00C6274F">
        <w:rPr>
          <w:rFonts w:ascii="Times New Roman" w:hAnsi="Times New Roman"/>
          <w:lang w:val="en-HK"/>
        </w:rPr>
        <w:t>:</w:t>
      </w:r>
    </w:p>
    <w:p w14:paraId="4D7A9BCE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Facts</w:t>
      </w:r>
      <w:r w:rsidRPr="00C6274F">
        <w:rPr>
          <w:rFonts w:ascii="Times New Roman" w:hAnsi="Times New Roman"/>
          <w:lang w:val="en-HK"/>
        </w:rPr>
        <w:t>: Equipment sold and leased back was resold by the seller to a second buyer.</w:t>
      </w:r>
    </w:p>
    <w:p w14:paraId="73B81BE7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Held</w:t>
      </w:r>
      <w:r w:rsidRPr="00C6274F">
        <w:rPr>
          <w:rFonts w:ascii="Times New Roman" w:hAnsi="Times New Roman"/>
          <w:lang w:val="en-HK"/>
        </w:rPr>
        <w:t>: Constructive delivery allowed the second buyer to acquire title under Section 24.</w:t>
      </w:r>
    </w:p>
    <w:p w14:paraId="79136699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Implication</w:t>
      </w:r>
      <w:r w:rsidRPr="00C6274F">
        <w:rPr>
          <w:rFonts w:ascii="Times New Roman" w:hAnsi="Times New Roman"/>
          <w:lang w:val="en-HK"/>
        </w:rPr>
        <w:t>: Reconciles commercial needs with legal constructs of delivery and possession.</w:t>
      </w:r>
    </w:p>
    <w:p w14:paraId="7853FB2F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Judicial and Scholarly Opinions:</w:t>
      </w:r>
    </w:p>
    <w:p w14:paraId="48D820CD" w14:textId="77777777" w:rsidR="00C6274F" w:rsidRPr="00C6274F" w:rsidRDefault="00C6274F" w:rsidP="00263268">
      <w:pPr>
        <w:numPr>
          <w:ilvl w:val="0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R. Goode (Commercial Law)</w:t>
      </w:r>
      <w:r w:rsidRPr="00C6274F">
        <w:rPr>
          <w:rFonts w:ascii="Times New Roman" w:hAnsi="Times New Roman"/>
          <w:lang w:val="en-HK"/>
        </w:rPr>
        <w:t>: Notes the inconsistency in courts’ interpretations of Section 24, urging rationalization of its application.</w:t>
      </w:r>
    </w:p>
    <w:p w14:paraId="266F3383" w14:textId="77777777" w:rsidR="00C6274F" w:rsidRPr="00C6274F" w:rsidRDefault="00C6274F" w:rsidP="00263268">
      <w:pPr>
        <w:numPr>
          <w:ilvl w:val="0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M. Bridge (</w:t>
      </w:r>
      <w:r w:rsidRPr="00C6274F">
        <w:rPr>
          <w:rFonts w:ascii="Times New Roman" w:hAnsi="Times New Roman"/>
          <w:b/>
          <w:bCs/>
          <w:i/>
          <w:iCs/>
          <w:lang w:val="en-HK"/>
        </w:rPr>
        <w:t>Personal Property Law</w:t>
      </w:r>
      <w:r w:rsidRPr="00C6274F">
        <w:rPr>
          <w:rFonts w:ascii="Times New Roman" w:hAnsi="Times New Roman"/>
          <w:b/>
          <w:bCs/>
          <w:lang w:val="en-HK"/>
        </w:rPr>
        <w:t>)</w:t>
      </w:r>
      <w:r w:rsidRPr="00C6274F">
        <w:rPr>
          <w:rFonts w:ascii="Times New Roman" w:hAnsi="Times New Roman"/>
          <w:lang w:val="en-HK"/>
        </w:rPr>
        <w:t>: Highlights the trade-policy rationale behind Section 24, emphasizing its departure from strict logic to support commerce.</w:t>
      </w:r>
    </w:p>
    <w:p w14:paraId="4BD350CB" w14:textId="77777777" w:rsidR="00C6274F" w:rsidRPr="00C6274F" w:rsidRDefault="00C6274F" w:rsidP="00263268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4. Buyer in Possession of Goods (Section 25 SGA 1979)</w:t>
      </w:r>
    </w:p>
    <w:p w14:paraId="04CF50B8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Overview of Section 25</w:t>
      </w:r>
    </w:p>
    <w:p w14:paraId="77D79AC0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Section 25(1) SGA 1979 allows a buyer who has obtained possession of goods with the seller’s consent to pass good title to a third party, even if the buyer has not yet acquired title themselves.</w:t>
      </w:r>
    </w:p>
    <w:p w14:paraId="2558BA5A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It applies in cases where the buyer resells goods prematurely, without having legal ownership.</w:t>
      </w:r>
    </w:p>
    <w:p w14:paraId="57F1D93F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Interpretation of Possession</w:t>
      </w:r>
    </w:p>
    <w:p w14:paraId="74283BD2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The outlined issues correctly mirror the interpretation questions in Section 24:</w:t>
      </w:r>
    </w:p>
    <w:p w14:paraId="468BE3BF" w14:textId="77777777" w:rsidR="00C6274F" w:rsidRPr="00C6274F" w:rsidRDefault="00C6274F" w:rsidP="00263268">
      <w:pPr>
        <w:numPr>
          <w:ilvl w:val="0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lastRenderedPageBreak/>
        <w:t>Possession as a Buyer</w:t>
      </w:r>
      <w:r w:rsidRPr="00C6274F">
        <w:rPr>
          <w:rFonts w:ascii="Times New Roman" w:hAnsi="Times New Roman"/>
          <w:lang w:val="en-HK"/>
        </w:rPr>
        <w:t>: Must the buyer obtain possession in their role as a buyer?</w:t>
      </w:r>
    </w:p>
    <w:p w14:paraId="7FACE4FC" w14:textId="77777777" w:rsidR="00C6274F" w:rsidRPr="00C6274F" w:rsidRDefault="00C6274F" w:rsidP="00263268">
      <w:pPr>
        <w:numPr>
          <w:ilvl w:val="0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Connection to the Sale</w:t>
      </w:r>
      <w:r w:rsidRPr="00C6274F">
        <w:rPr>
          <w:rFonts w:ascii="Times New Roman" w:hAnsi="Times New Roman"/>
          <w:lang w:val="en-HK"/>
        </w:rPr>
        <w:t>: Must possession relate directly to the sale agreement?</w:t>
      </w:r>
    </w:p>
    <w:p w14:paraId="26D98625" w14:textId="77777777" w:rsidR="00C6274F" w:rsidRPr="00C6274F" w:rsidRDefault="00EF21E3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EF21E3">
        <w:rPr>
          <w:rFonts w:ascii="Times New Roman" w:hAnsi="Times New Roman"/>
          <w:noProof/>
          <w:lang w:val="en-HK"/>
          <w14:ligatures w14:val="standardContextual"/>
        </w:rPr>
        <w:pict w14:anchorId="5506B5E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1FBF0D1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Key Cases</w:t>
      </w:r>
    </w:p>
    <w:p w14:paraId="39523E52" w14:textId="77777777" w:rsidR="00C6274F" w:rsidRPr="00C6274F" w:rsidRDefault="00C6274F" w:rsidP="00263268">
      <w:pPr>
        <w:numPr>
          <w:ilvl w:val="0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Langmead v. Thyer Rubber Co. Ltd (1947)</w:t>
      </w:r>
      <w:r w:rsidRPr="00C6274F">
        <w:rPr>
          <w:rFonts w:ascii="Times New Roman" w:hAnsi="Times New Roman"/>
          <w:lang w:val="en-HK"/>
        </w:rPr>
        <w:t>:</w:t>
      </w:r>
    </w:p>
    <w:p w14:paraId="232D92B4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Facts</w:t>
      </w:r>
      <w:r w:rsidRPr="00C6274F">
        <w:rPr>
          <w:rFonts w:ascii="Times New Roman" w:hAnsi="Times New Roman"/>
          <w:lang w:val="en-HK"/>
        </w:rPr>
        <w:t>: A buyer initially had possession of a car (to paint it) before purchasing it. The buyer then sold the car to a third party.</w:t>
      </w:r>
    </w:p>
    <w:p w14:paraId="2661D5BD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Held</w:t>
      </w:r>
      <w:r w:rsidRPr="00C6274F">
        <w:rPr>
          <w:rFonts w:ascii="Times New Roman" w:hAnsi="Times New Roman"/>
          <w:lang w:val="en-HK"/>
        </w:rPr>
        <w:t>: The third party acquired good title because the buyer’s possession was causally linked to the sale agreement.</w:t>
      </w:r>
    </w:p>
    <w:p w14:paraId="12517F0B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Judgment</w:t>
      </w:r>
      <w:r w:rsidRPr="00C6274F">
        <w:rPr>
          <w:rFonts w:ascii="Times New Roman" w:hAnsi="Times New Roman"/>
          <w:lang w:val="en-HK"/>
        </w:rPr>
        <w:t>: Chief Justice Napier emphasized that possession must stem from or relate to the sale agreement, rejecting broader interpretations where possession is for unrelated purposes.</w:t>
      </w:r>
    </w:p>
    <w:p w14:paraId="5B837221" w14:textId="77777777" w:rsidR="00C6274F" w:rsidRPr="00C6274F" w:rsidRDefault="00C6274F" w:rsidP="00263268">
      <w:pPr>
        <w:numPr>
          <w:ilvl w:val="0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Marten v. Whale (1917)</w:t>
      </w:r>
      <w:r w:rsidRPr="00C6274F">
        <w:rPr>
          <w:rFonts w:ascii="Times New Roman" w:hAnsi="Times New Roman"/>
          <w:lang w:val="en-HK"/>
        </w:rPr>
        <w:t>:</w:t>
      </w:r>
    </w:p>
    <w:p w14:paraId="5CBE5179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Facts</w:t>
      </w:r>
      <w:r w:rsidRPr="00C6274F">
        <w:rPr>
          <w:rFonts w:ascii="Times New Roman" w:hAnsi="Times New Roman"/>
          <w:lang w:val="en-HK"/>
        </w:rPr>
        <w:t>: Goods were loaned to a buyer temporarily before the completion of a sale.</w:t>
      </w:r>
    </w:p>
    <w:p w14:paraId="0C4887F8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Held</w:t>
      </w:r>
      <w:r w:rsidRPr="00C6274F">
        <w:rPr>
          <w:rFonts w:ascii="Times New Roman" w:hAnsi="Times New Roman"/>
          <w:lang w:val="en-HK"/>
        </w:rPr>
        <w:t>: The court found that Section 25 applied, as the buyer had consent-based possession, even though the connection to the sale was less thoroughly examined.</w:t>
      </w:r>
    </w:p>
    <w:p w14:paraId="5594F5FB" w14:textId="77777777" w:rsidR="00C6274F" w:rsidRPr="00C6274F" w:rsidRDefault="00EF21E3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EF21E3">
        <w:rPr>
          <w:rFonts w:ascii="Times New Roman" w:hAnsi="Times New Roman"/>
          <w:noProof/>
          <w:lang w:val="en-HK"/>
          <w14:ligatures w14:val="standardContextual"/>
        </w:rPr>
        <w:pict w14:anchorId="7D7DC5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EAD8390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Scholarly Opinions</w:t>
      </w:r>
    </w:p>
    <w:p w14:paraId="719CFBEF" w14:textId="77777777" w:rsidR="00C6274F" w:rsidRPr="00C6274F" w:rsidRDefault="00C6274F" w:rsidP="00263268">
      <w:pPr>
        <w:numPr>
          <w:ilvl w:val="0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M. Bridge</w:t>
      </w:r>
      <w:r w:rsidRPr="00C6274F">
        <w:rPr>
          <w:rFonts w:ascii="Times New Roman" w:hAnsi="Times New Roman"/>
          <w:lang w:val="en-HK"/>
        </w:rPr>
        <w:t>:</w:t>
      </w:r>
    </w:p>
    <w:p w14:paraId="2E79EAC0" w14:textId="77777777" w:rsidR="00C6274F" w:rsidRPr="00C6274F" w:rsidRDefault="00C6274F" w:rsidP="00263268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Advocates that possession must be tied to the sale contract to maintain coherence with Section 24.</w:t>
      </w:r>
    </w:p>
    <w:p w14:paraId="162F8305" w14:textId="77777777" w:rsidR="00C6274F" w:rsidRPr="00C6274F" w:rsidRDefault="00C6274F" w:rsidP="00263268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Opposes broader readings of Section 25 that would undermine its intent.</w:t>
      </w:r>
    </w:p>
    <w:p w14:paraId="37C2244B" w14:textId="77777777" w:rsidR="00C6274F" w:rsidRPr="00C6274F" w:rsidRDefault="00C6274F" w:rsidP="00263268">
      <w:pPr>
        <w:numPr>
          <w:ilvl w:val="0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 xml:space="preserve">A.G. Guest (in </w:t>
      </w:r>
      <w:r w:rsidRPr="00C6274F">
        <w:rPr>
          <w:rFonts w:ascii="Times New Roman" w:hAnsi="Times New Roman"/>
          <w:b/>
          <w:bCs/>
          <w:i/>
          <w:iCs/>
          <w:lang w:val="en-HK"/>
        </w:rPr>
        <w:t>Benjamin’s Sale of Goods</w:t>
      </w:r>
      <w:r w:rsidRPr="00C6274F">
        <w:rPr>
          <w:rFonts w:ascii="Times New Roman" w:hAnsi="Times New Roman"/>
          <w:b/>
          <w:bCs/>
          <w:lang w:val="en-HK"/>
        </w:rPr>
        <w:t>)</w:t>
      </w:r>
      <w:r w:rsidRPr="00C6274F">
        <w:rPr>
          <w:rFonts w:ascii="Times New Roman" w:hAnsi="Times New Roman"/>
          <w:lang w:val="en-HK"/>
        </w:rPr>
        <w:t>:</w:t>
      </w:r>
    </w:p>
    <w:p w14:paraId="2DF7240B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Argues that allowing possession unrelated to the sale weakens the legal principles underpinning priority in property law.</w:t>
      </w:r>
    </w:p>
    <w:p w14:paraId="7D2E88D1" w14:textId="77777777" w:rsidR="00C6274F" w:rsidRPr="00C6274F" w:rsidRDefault="00EF21E3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EF21E3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5D13490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D43BD6C" w14:textId="77777777" w:rsidR="00C6274F" w:rsidRPr="00C6274F" w:rsidRDefault="00C6274F" w:rsidP="00263268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5. Broader Implications and Critique</w:t>
      </w:r>
    </w:p>
    <w:p w14:paraId="2AC6D00C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 xml:space="preserve">Policy Issues in </w:t>
      </w:r>
      <w:r w:rsidRPr="00C6274F">
        <w:rPr>
          <w:rFonts w:ascii="Times New Roman" w:hAnsi="Times New Roman"/>
          <w:b/>
          <w:bCs/>
          <w:i/>
          <w:iCs/>
          <w:lang w:val="en-HK"/>
        </w:rPr>
        <w:t>Nemo Dat</w:t>
      </w:r>
      <w:r w:rsidRPr="00C6274F">
        <w:rPr>
          <w:rFonts w:ascii="Times New Roman" w:hAnsi="Times New Roman"/>
          <w:b/>
          <w:bCs/>
          <w:lang w:val="en-HK"/>
        </w:rPr>
        <w:t xml:space="preserve"> Exceptions</w:t>
      </w:r>
    </w:p>
    <w:p w14:paraId="282820EC" w14:textId="77777777" w:rsidR="00C6274F" w:rsidRPr="00C6274F" w:rsidRDefault="00C6274F" w:rsidP="00263268">
      <w:pPr>
        <w:numPr>
          <w:ilvl w:val="0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Tension in Legal Consistency</w:t>
      </w:r>
      <w:r w:rsidRPr="00C6274F">
        <w:rPr>
          <w:rFonts w:ascii="Times New Roman" w:hAnsi="Times New Roman"/>
          <w:lang w:val="en-HK"/>
        </w:rPr>
        <w:t>:</w:t>
      </w:r>
    </w:p>
    <w:p w14:paraId="2683B8EE" w14:textId="77777777" w:rsidR="00C6274F" w:rsidRPr="00C6274F" w:rsidRDefault="00C6274F" w:rsidP="00263268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Exceptions like Sections 24 and 25 balance protecting innocent third parties with upholding the priority of ownership.</w:t>
      </w:r>
    </w:p>
    <w:p w14:paraId="265A48F8" w14:textId="77777777" w:rsidR="00C6274F" w:rsidRPr="00C6274F" w:rsidRDefault="00C6274F" w:rsidP="00263268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Scholars note inconsistencies:</w:t>
      </w:r>
    </w:p>
    <w:p w14:paraId="70AE2902" w14:textId="77777777" w:rsidR="00C6274F" w:rsidRPr="00C6274F" w:rsidRDefault="00C6274F" w:rsidP="00263268">
      <w:pPr>
        <w:numPr>
          <w:ilvl w:val="2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R. Goode</w:t>
      </w:r>
      <w:r w:rsidRPr="00C6274F">
        <w:rPr>
          <w:rFonts w:ascii="Times New Roman" w:hAnsi="Times New Roman"/>
          <w:lang w:val="en-HK"/>
        </w:rPr>
        <w:t>: Criticizes statutory exceptions for their ad hoc development, describing them as "neither rational nor cohesive."</w:t>
      </w:r>
    </w:p>
    <w:p w14:paraId="6468268A" w14:textId="77777777" w:rsidR="00C6274F" w:rsidRPr="00C6274F" w:rsidRDefault="00C6274F" w:rsidP="00263268">
      <w:pPr>
        <w:numPr>
          <w:ilvl w:val="2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M. Bridge</w:t>
      </w:r>
      <w:r w:rsidRPr="00C6274F">
        <w:rPr>
          <w:rFonts w:ascii="Times New Roman" w:hAnsi="Times New Roman"/>
          <w:lang w:val="en-HK"/>
        </w:rPr>
        <w:t>: Highlights the conflict between commercial expediency and strict legal principles.</w:t>
      </w:r>
    </w:p>
    <w:p w14:paraId="0A9B5CDE" w14:textId="77777777" w:rsidR="00C6274F" w:rsidRPr="00C6274F" w:rsidRDefault="00C6274F" w:rsidP="00263268">
      <w:pPr>
        <w:numPr>
          <w:ilvl w:val="0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Judicial Commentary</w:t>
      </w:r>
      <w:r w:rsidRPr="00C6274F">
        <w:rPr>
          <w:rFonts w:ascii="Times New Roman" w:hAnsi="Times New Roman"/>
          <w:lang w:val="en-HK"/>
        </w:rPr>
        <w:t>:</w:t>
      </w:r>
    </w:p>
    <w:p w14:paraId="0546773C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Lord Pearce</w:t>
      </w:r>
      <w:r w:rsidRPr="00C6274F">
        <w:rPr>
          <w:rFonts w:ascii="Times New Roman" w:hAnsi="Times New Roman"/>
          <w:lang w:val="en-HK"/>
        </w:rPr>
        <w:t xml:space="preserve"> (in </w:t>
      </w:r>
      <w:r w:rsidRPr="00C6274F">
        <w:rPr>
          <w:rFonts w:ascii="Times New Roman" w:hAnsi="Times New Roman"/>
          <w:i/>
          <w:iCs/>
          <w:lang w:val="en-HK"/>
        </w:rPr>
        <w:t>Pacific Motor Auctions Pty Ltd v. Motor Credits</w:t>
      </w:r>
      <w:r w:rsidRPr="00C6274F">
        <w:rPr>
          <w:rFonts w:ascii="Times New Roman" w:hAnsi="Times New Roman"/>
          <w:lang w:val="en-HK"/>
        </w:rPr>
        <w:t>):</w:t>
      </w:r>
    </w:p>
    <w:p w14:paraId="7B58F051" w14:textId="083DE291" w:rsidR="00C6274F" w:rsidRPr="00263268" w:rsidRDefault="00C6274F" w:rsidP="00263268">
      <w:pPr>
        <w:pStyle w:val="ListParagraph"/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263268">
        <w:rPr>
          <w:rFonts w:ascii="Times New Roman" w:hAnsi="Times New Roman"/>
          <w:lang w:val="en-HK"/>
        </w:rPr>
        <w:t>Advocated for a broad interpretation of "physical possession" under Section 24.</w:t>
      </w:r>
    </w:p>
    <w:p w14:paraId="1E08441F" w14:textId="699234E9" w:rsidR="00C6274F" w:rsidRPr="00263268" w:rsidRDefault="00C6274F" w:rsidP="00263268">
      <w:pPr>
        <w:pStyle w:val="ListParagraph"/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263268">
        <w:rPr>
          <w:rFonts w:ascii="Times New Roman" w:hAnsi="Times New Roman"/>
          <w:lang w:val="en-HK"/>
        </w:rPr>
        <w:t>Emphasized protecting innocent purchasers deceived by the seller’s apparent authority.</w:t>
      </w:r>
    </w:p>
    <w:p w14:paraId="3E2A13EE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Chief Justice Napier</w:t>
      </w:r>
      <w:r w:rsidRPr="00C6274F">
        <w:rPr>
          <w:rFonts w:ascii="Times New Roman" w:hAnsi="Times New Roman"/>
          <w:lang w:val="en-HK"/>
        </w:rPr>
        <w:t xml:space="preserve"> (in </w:t>
      </w:r>
      <w:r w:rsidRPr="00C6274F">
        <w:rPr>
          <w:rFonts w:ascii="Times New Roman" w:hAnsi="Times New Roman"/>
          <w:i/>
          <w:iCs/>
          <w:lang w:val="en-HK"/>
        </w:rPr>
        <w:t>Langmead v. Thyer Rubber</w:t>
      </w:r>
      <w:r w:rsidRPr="00C6274F">
        <w:rPr>
          <w:rFonts w:ascii="Times New Roman" w:hAnsi="Times New Roman"/>
          <w:lang w:val="en-HK"/>
        </w:rPr>
        <w:t>):</w:t>
      </w:r>
    </w:p>
    <w:p w14:paraId="6F4B73EA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Focused on the importance of a causal link between possession and the sale agreement to ensure clarity and consistency.</w:t>
      </w:r>
    </w:p>
    <w:p w14:paraId="3CAACBC6" w14:textId="77777777" w:rsidR="00C6274F" w:rsidRPr="00C6274F" w:rsidRDefault="00EF21E3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EF21E3">
        <w:rPr>
          <w:rFonts w:ascii="Times New Roman" w:hAnsi="Times New Roman"/>
          <w:noProof/>
          <w:lang w:val="en-HK"/>
          <w14:ligatures w14:val="standardContextual"/>
        </w:rPr>
        <w:pict w14:anchorId="47E4F9A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F5836D4" w14:textId="77777777" w:rsidR="00C6274F" w:rsidRPr="00C6274F" w:rsidRDefault="00C6274F" w:rsidP="00263268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6. Conclusion: Challenges and Recommendations</w:t>
      </w:r>
    </w:p>
    <w:p w14:paraId="763C634A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Judicial Inconsistencies</w:t>
      </w:r>
    </w:p>
    <w:p w14:paraId="05BA0CE4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Courts have inconsistently interpreted the concepts of "possession" and "delivery":</w:t>
      </w:r>
    </w:p>
    <w:p w14:paraId="4D8D35CF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There is ambiguity about whether constructive delivery terminates possession under Section 24 or establishes it under Section 25.</w:t>
      </w:r>
    </w:p>
    <w:p w14:paraId="3D561BC5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lastRenderedPageBreak/>
        <w:t>Scholarly Proposals</w:t>
      </w:r>
    </w:p>
    <w:p w14:paraId="2B7418AE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Louise Merrett (author)</w:t>
      </w:r>
      <w:r w:rsidRPr="00C6274F">
        <w:rPr>
          <w:rFonts w:ascii="Times New Roman" w:hAnsi="Times New Roman"/>
          <w:lang w:val="en-HK"/>
        </w:rPr>
        <w:t>:</w:t>
      </w:r>
    </w:p>
    <w:p w14:paraId="1FE382F6" w14:textId="77777777" w:rsidR="00C6274F" w:rsidRPr="00C6274F" w:rsidRDefault="00C6274F" w:rsidP="00263268">
      <w:pPr>
        <w:numPr>
          <w:ilvl w:val="1"/>
          <w:numId w:val="1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Argues that exceptions should be tied to the conduct of the original owner or buyer, specifically whether their actions led the seller or buyer to appear as having authority.</w:t>
      </w:r>
    </w:p>
    <w:p w14:paraId="7623D03C" w14:textId="77777777" w:rsidR="00C6274F" w:rsidRPr="00C6274F" w:rsidRDefault="00C6274F" w:rsidP="00263268">
      <w:pPr>
        <w:numPr>
          <w:ilvl w:val="1"/>
          <w:numId w:val="1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lang w:val="en-HK"/>
        </w:rPr>
        <w:t>Advocates distinguishing between constructive and actual possession to avoid inequitable results.</w:t>
      </w:r>
    </w:p>
    <w:p w14:paraId="56F888D4" w14:textId="77777777" w:rsidR="00C6274F" w:rsidRPr="00C6274F" w:rsidRDefault="00EF21E3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EF21E3">
        <w:rPr>
          <w:rFonts w:ascii="Times New Roman" w:hAnsi="Times New Roman"/>
          <w:noProof/>
          <w:lang w:val="en-HK"/>
          <w14:ligatures w14:val="standardContextual"/>
        </w:rPr>
        <w:pict w14:anchorId="3649E49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7A61099" w14:textId="77777777" w:rsidR="00C6274F" w:rsidRPr="00C6274F" w:rsidRDefault="00C6274F" w:rsidP="00263268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Key Cases for Future Directions</w:t>
      </w:r>
    </w:p>
    <w:p w14:paraId="58D7806B" w14:textId="77777777" w:rsidR="00C6274F" w:rsidRPr="00C6274F" w:rsidRDefault="00C6274F" w:rsidP="00263268">
      <w:pPr>
        <w:numPr>
          <w:ilvl w:val="0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Michael Gerson (Leasing) Ltd v. Wilkinson (2001)</w:t>
      </w:r>
      <w:r w:rsidRPr="00C6274F">
        <w:rPr>
          <w:rFonts w:ascii="Times New Roman" w:hAnsi="Times New Roman"/>
          <w:lang w:val="en-HK"/>
        </w:rPr>
        <w:t>:</w:t>
      </w:r>
    </w:p>
    <w:p w14:paraId="5E66639C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Facts</w:t>
      </w:r>
      <w:r w:rsidRPr="00C6274F">
        <w:rPr>
          <w:rFonts w:ascii="Times New Roman" w:hAnsi="Times New Roman"/>
          <w:lang w:val="en-HK"/>
        </w:rPr>
        <w:t>: A seller engaged in a double sale and leaseback of equipment to two buyers. The seller retained physical possession throughout.</w:t>
      </w:r>
    </w:p>
    <w:p w14:paraId="1908303D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Held</w:t>
      </w:r>
      <w:r w:rsidRPr="00C6274F">
        <w:rPr>
          <w:rFonts w:ascii="Times New Roman" w:hAnsi="Times New Roman"/>
          <w:lang w:val="en-HK"/>
        </w:rPr>
        <w:t>: The second buyer acquired good title under Section 24 due to the seller’s "continued possession."</w:t>
      </w:r>
    </w:p>
    <w:p w14:paraId="6A2F6275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Implications</w:t>
      </w:r>
      <w:r w:rsidRPr="00C6274F">
        <w:rPr>
          <w:rFonts w:ascii="Times New Roman" w:hAnsi="Times New Roman"/>
          <w:lang w:val="en-HK"/>
        </w:rPr>
        <w:t>: The case highlights difficulties in reconciling competing claims when possession remains ambiguous.</w:t>
      </w:r>
    </w:p>
    <w:p w14:paraId="36E11B97" w14:textId="77777777" w:rsidR="00C6274F" w:rsidRPr="00C6274F" w:rsidRDefault="00C6274F" w:rsidP="00263268">
      <w:pPr>
        <w:numPr>
          <w:ilvl w:val="0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Pacific Motor Auctions Pty Ltd v. Motor Credits (1965)</w:t>
      </w:r>
      <w:r w:rsidRPr="00C6274F">
        <w:rPr>
          <w:rFonts w:ascii="Times New Roman" w:hAnsi="Times New Roman"/>
          <w:lang w:val="en-HK"/>
        </w:rPr>
        <w:t>:</w:t>
      </w:r>
    </w:p>
    <w:p w14:paraId="74EC37B5" w14:textId="77777777" w:rsidR="00C6274F" w:rsidRPr="00263268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263268">
        <w:rPr>
          <w:rFonts w:ascii="Times New Roman" w:hAnsi="Times New Roman"/>
          <w:b/>
          <w:bCs/>
          <w:lang w:val="en-HK"/>
        </w:rPr>
        <w:t>Facts</w:t>
      </w:r>
      <w:r w:rsidRPr="00263268">
        <w:rPr>
          <w:rFonts w:ascii="Times New Roman" w:hAnsi="Times New Roman"/>
          <w:lang w:val="en-HK"/>
        </w:rPr>
        <w:t>: A seller retained cars under a display agreement after selling them and later resold them to a third party.</w:t>
      </w:r>
    </w:p>
    <w:p w14:paraId="25222260" w14:textId="77777777" w:rsidR="00C6274F" w:rsidRPr="00C6274F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Held</w:t>
      </w:r>
      <w:r w:rsidRPr="00C6274F">
        <w:rPr>
          <w:rFonts w:ascii="Times New Roman" w:hAnsi="Times New Roman"/>
          <w:lang w:val="en-HK"/>
        </w:rPr>
        <w:t xml:space="preserve">: Physical possession alone was sufficient to invoke Section 24, disapproving stricter interpretations like </w:t>
      </w:r>
      <w:r w:rsidRPr="00C6274F">
        <w:rPr>
          <w:rFonts w:ascii="Times New Roman" w:hAnsi="Times New Roman"/>
          <w:i/>
          <w:iCs/>
          <w:lang w:val="en-HK"/>
        </w:rPr>
        <w:t>Staffs Motor Guarantee Ltd v. British Wagon Co Ltd</w:t>
      </w:r>
      <w:r w:rsidRPr="00C6274F">
        <w:rPr>
          <w:rFonts w:ascii="Times New Roman" w:hAnsi="Times New Roman"/>
          <w:lang w:val="en-HK"/>
        </w:rPr>
        <w:t>.</w:t>
      </w:r>
    </w:p>
    <w:p w14:paraId="115D5842" w14:textId="6E4F47C6" w:rsidR="00CD39F1" w:rsidRPr="00263268" w:rsidRDefault="00C6274F" w:rsidP="00263268">
      <w:pPr>
        <w:spacing w:before="240" w:after="240" w:line="360" w:lineRule="auto"/>
        <w:rPr>
          <w:rFonts w:ascii="Times New Roman" w:hAnsi="Times New Roman"/>
          <w:lang w:val="en-HK"/>
        </w:rPr>
      </w:pPr>
      <w:r w:rsidRPr="00C6274F">
        <w:rPr>
          <w:rFonts w:ascii="Times New Roman" w:hAnsi="Times New Roman"/>
          <w:b/>
          <w:bCs/>
          <w:lang w:val="en-HK"/>
        </w:rPr>
        <w:t>Judgment by Lord Pearce</w:t>
      </w:r>
      <w:r w:rsidRPr="00C6274F">
        <w:rPr>
          <w:rFonts w:ascii="Times New Roman" w:hAnsi="Times New Roman"/>
          <w:lang w:val="en-HK"/>
        </w:rPr>
        <w:t xml:space="preserve">: Prioritized protecting commerce over strict adherence to the </w:t>
      </w:r>
      <w:r w:rsidRPr="00C6274F">
        <w:rPr>
          <w:rFonts w:ascii="Times New Roman" w:hAnsi="Times New Roman"/>
          <w:i/>
          <w:iCs/>
          <w:lang w:val="en-HK"/>
        </w:rPr>
        <w:t xml:space="preserve">nemo </w:t>
      </w:r>
      <w:proofErr w:type="spellStart"/>
      <w:r w:rsidRPr="00C6274F">
        <w:rPr>
          <w:rFonts w:ascii="Times New Roman" w:hAnsi="Times New Roman"/>
          <w:i/>
          <w:iCs/>
          <w:lang w:val="en-HK"/>
        </w:rPr>
        <w:t>dat</w:t>
      </w:r>
      <w:proofErr w:type="spellEnd"/>
      <w:r w:rsidRPr="00C6274F">
        <w:rPr>
          <w:rFonts w:ascii="Times New Roman" w:hAnsi="Times New Roman"/>
          <w:lang w:val="en-HK"/>
        </w:rPr>
        <w:t xml:space="preserve"> principle.</w:t>
      </w:r>
    </w:p>
    <w:sectPr w:rsidR="00CD39F1" w:rsidRPr="00263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5659D"/>
    <w:multiLevelType w:val="multilevel"/>
    <w:tmpl w:val="012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D3D28"/>
    <w:multiLevelType w:val="multilevel"/>
    <w:tmpl w:val="AC4ECD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9F205C"/>
    <w:multiLevelType w:val="multilevel"/>
    <w:tmpl w:val="37F4D3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A2C81"/>
    <w:multiLevelType w:val="multilevel"/>
    <w:tmpl w:val="A050C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AA21C1"/>
    <w:multiLevelType w:val="multilevel"/>
    <w:tmpl w:val="58C042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B035BD5"/>
    <w:multiLevelType w:val="multilevel"/>
    <w:tmpl w:val="65C0F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C1C7B4D"/>
    <w:multiLevelType w:val="multilevel"/>
    <w:tmpl w:val="009E12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64F445C"/>
    <w:multiLevelType w:val="multilevel"/>
    <w:tmpl w:val="E224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091FE6"/>
    <w:multiLevelType w:val="multilevel"/>
    <w:tmpl w:val="21FAE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206E1"/>
    <w:multiLevelType w:val="multilevel"/>
    <w:tmpl w:val="2AB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7185E"/>
    <w:multiLevelType w:val="multilevel"/>
    <w:tmpl w:val="E224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9E5A0B"/>
    <w:multiLevelType w:val="multilevel"/>
    <w:tmpl w:val="225EC2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EC917C0"/>
    <w:multiLevelType w:val="multilevel"/>
    <w:tmpl w:val="21FAE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929F6"/>
    <w:multiLevelType w:val="multilevel"/>
    <w:tmpl w:val="FD5C36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6435529"/>
    <w:multiLevelType w:val="multilevel"/>
    <w:tmpl w:val="D8BEA7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A5312"/>
    <w:multiLevelType w:val="multilevel"/>
    <w:tmpl w:val="2F16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A0F26"/>
    <w:multiLevelType w:val="multilevel"/>
    <w:tmpl w:val="21FAE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98631915">
    <w:abstractNumId w:val="12"/>
  </w:num>
  <w:num w:numId="2" w16cid:durableId="876503626">
    <w:abstractNumId w:val="16"/>
  </w:num>
  <w:num w:numId="3" w16cid:durableId="1055620364">
    <w:abstractNumId w:val="0"/>
  </w:num>
  <w:num w:numId="4" w16cid:durableId="1633365342">
    <w:abstractNumId w:val="1"/>
  </w:num>
  <w:num w:numId="5" w16cid:durableId="1427850145">
    <w:abstractNumId w:val="4"/>
  </w:num>
  <w:num w:numId="6" w16cid:durableId="1156144246">
    <w:abstractNumId w:val="8"/>
  </w:num>
  <w:num w:numId="7" w16cid:durableId="1194995612">
    <w:abstractNumId w:val="13"/>
  </w:num>
  <w:num w:numId="8" w16cid:durableId="1239249568">
    <w:abstractNumId w:val="2"/>
  </w:num>
  <w:num w:numId="9" w16cid:durableId="1285191720">
    <w:abstractNumId w:val="5"/>
  </w:num>
  <w:num w:numId="10" w16cid:durableId="345791641">
    <w:abstractNumId w:val="11"/>
  </w:num>
  <w:num w:numId="11" w16cid:durableId="661737232">
    <w:abstractNumId w:val="3"/>
  </w:num>
  <w:num w:numId="12" w16cid:durableId="244724290">
    <w:abstractNumId w:val="14"/>
  </w:num>
  <w:num w:numId="13" w16cid:durableId="1894733780">
    <w:abstractNumId w:val="9"/>
  </w:num>
  <w:num w:numId="14" w16cid:durableId="1838378906">
    <w:abstractNumId w:val="7"/>
  </w:num>
  <w:num w:numId="15" w16cid:durableId="1257792373">
    <w:abstractNumId w:val="6"/>
  </w:num>
  <w:num w:numId="16" w16cid:durableId="1158961413">
    <w:abstractNumId w:val="10"/>
  </w:num>
  <w:num w:numId="17" w16cid:durableId="399325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A8"/>
    <w:rsid w:val="000147A9"/>
    <w:rsid w:val="000344A8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3268"/>
    <w:rsid w:val="0026510F"/>
    <w:rsid w:val="00291F37"/>
    <w:rsid w:val="00297C6E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A553E"/>
    <w:rsid w:val="004B1048"/>
    <w:rsid w:val="004D01FE"/>
    <w:rsid w:val="004D5B1A"/>
    <w:rsid w:val="004E458E"/>
    <w:rsid w:val="004F0E12"/>
    <w:rsid w:val="004F5A36"/>
    <w:rsid w:val="00542B57"/>
    <w:rsid w:val="00557B52"/>
    <w:rsid w:val="0058416B"/>
    <w:rsid w:val="00595357"/>
    <w:rsid w:val="005B34ED"/>
    <w:rsid w:val="005B61CD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B48C2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92844"/>
    <w:rsid w:val="00BC4186"/>
    <w:rsid w:val="00BC5F25"/>
    <w:rsid w:val="00BD7714"/>
    <w:rsid w:val="00BD7C9B"/>
    <w:rsid w:val="00C072F8"/>
    <w:rsid w:val="00C17D79"/>
    <w:rsid w:val="00C24A8A"/>
    <w:rsid w:val="00C54722"/>
    <w:rsid w:val="00C6274F"/>
    <w:rsid w:val="00C65F70"/>
    <w:rsid w:val="00C96A36"/>
    <w:rsid w:val="00CA350B"/>
    <w:rsid w:val="00CA3F60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EF21E3"/>
    <w:rsid w:val="00EF3EF4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EA43"/>
  <w15:chartTrackingRefBased/>
  <w15:docId w15:val="{6F320D45-717B-1045-A07C-FE643B0E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4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44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A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A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344A8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344A8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A8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A8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A8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A8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A8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34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A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344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A8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03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A8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344A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27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274F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C627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29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2024-12-07T14:01:00Z</dcterms:created>
  <dcterms:modified xsi:type="dcterms:W3CDTF">2024-12-07T14:23:00Z</dcterms:modified>
</cp:coreProperties>
</file>