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27D93F" w14:textId="77777777" w:rsidR="00823094" w:rsidRPr="00823094" w:rsidRDefault="00823094" w:rsidP="00823094">
      <w:pPr>
        <w:spacing w:before="100" w:beforeAutospacing="1" w:after="100" w:afterAutospacing="1" w:line="360" w:lineRule="auto"/>
        <w:outlineLvl w:val="2"/>
        <w:rPr>
          <w:rFonts w:ascii="Times New Roman" w:hAnsi="Times New Roman"/>
          <w:b/>
          <w:bCs/>
          <w:lang w:val="en-HK"/>
        </w:rPr>
      </w:pPr>
      <w:r w:rsidRPr="00823094">
        <w:rPr>
          <w:rFonts w:ascii="Times New Roman" w:hAnsi="Times New Roman"/>
          <w:b/>
          <w:bCs/>
          <w:lang w:val="en-HK"/>
        </w:rPr>
        <w:t>Summary of Roles</w:t>
      </w:r>
    </w:p>
    <w:p w14:paraId="75C6263E" w14:textId="77777777" w:rsidR="00823094" w:rsidRPr="00823094" w:rsidRDefault="00823094" w:rsidP="00823094">
      <w:pPr>
        <w:numPr>
          <w:ilvl w:val="0"/>
          <w:numId w:val="56"/>
        </w:num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Section 23</w:t>
      </w:r>
      <w:r w:rsidRPr="00823094">
        <w:rPr>
          <w:rFonts w:ascii="Times New Roman" w:hAnsi="Times New Roman"/>
          <w:lang w:val="en-HK"/>
        </w:rPr>
        <w:t xml:space="preserve">: Focuses on protecting the </w:t>
      </w:r>
      <w:r w:rsidRPr="00823094">
        <w:rPr>
          <w:rFonts w:ascii="Times New Roman" w:hAnsi="Times New Roman"/>
          <w:b/>
          <w:bCs/>
          <w:lang w:val="en-HK"/>
        </w:rPr>
        <w:t>original owner</w:t>
      </w:r>
      <w:r w:rsidRPr="00823094">
        <w:rPr>
          <w:rFonts w:ascii="Times New Roman" w:hAnsi="Times New Roman"/>
          <w:lang w:val="en-HK"/>
        </w:rPr>
        <w:t xml:space="preserve"> if they avoid a voidable title in time.</w:t>
      </w:r>
    </w:p>
    <w:p w14:paraId="4DB61FFE" w14:textId="77777777" w:rsidR="00823094" w:rsidRPr="00823094" w:rsidRDefault="00823094" w:rsidP="00823094">
      <w:pPr>
        <w:numPr>
          <w:ilvl w:val="0"/>
          <w:numId w:val="56"/>
        </w:num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Section 24</w:t>
      </w:r>
      <w:r w:rsidRPr="00823094">
        <w:rPr>
          <w:rFonts w:ascii="Times New Roman" w:hAnsi="Times New Roman"/>
          <w:lang w:val="en-HK"/>
        </w:rPr>
        <w:t xml:space="preserve">: Protects the </w:t>
      </w:r>
      <w:r w:rsidRPr="00823094">
        <w:rPr>
          <w:rFonts w:ascii="Times New Roman" w:hAnsi="Times New Roman"/>
          <w:b/>
          <w:bCs/>
          <w:lang w:val="en-HK"/>
        </w:rPr>
        <w:t>new purchaser</w:t>
      </w:r>
      <w:r w:rsidRPr="00823094">
        <w:rPr>
          <w:rFonts w:ascii="Times New Roman" w:hAnsi="Times New Roman"/>
          <w:lang w:val="en-HK"/>
        </w:rPr>
        <w:t xml:space="preserve"> when the </w:t>
      </w:r>
      <w:r w:rsidRPr="00823094">
        <w:rPr>
          <w:rFonts w:ascii="Times New Roman" w:hAnsi="Times New Roman"/>
          <w:b/>
          <w:bCs/>
          <w:lang w:val="en-HK"/>
        </w:rPr>
        <w:t>seller</w:t>
      </w:r>
      <w:r w:rsidRPr="00823094">
        <w:rPr>
          <w:rFonts w:ascii="Times New Roman" w:hAnsi="Times New Roman"/>
          <w:lang w:val="en-HK"/>
        </w:rPr>
        <w:t xml:space="preserve"> (who still has possession) resells the goods.</w:t>
      </w:r>
    </w:p>
    <w:p w14:paraId="01D7AD81" w14:textId="74684861" w:rsidR="00823094" w:rsidRPr="00823094" w:rsidRDefault="00823094" w:rsidP="00823094">
      <w:pPr>
        <w:numPr>
          <w:ilvl w:val="0"/>
          <w:numId w:val="56"/>
        </w:num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Section 25(1)</w:t>
      </w:r>
      <w:r w:rsidRPr="00823094">
        <w:rPr>
          <w:rFonts w:ascii="Times New Roman" w:hAnsi="Times New Roman"/>
          <w:lang w:val="en-HK"/>
        </w:rPr>
        <w:t xml:space="preserve">: Protects the </w:t>
      </w:r>
      <w:r w:rsidRPr="00823094">
        <w:rPr>
          <w:rFonts w:ascii="Times New Roman" w:hAnsi="Times New Roman"/>
          <w:b/>
          <w:bCs/>
          <w:lang w:val="en-HK"/>
        </w:rPr>
        <w:t>new purchaser</w:t>
      </w:r>
      <w:r w:rsidRPr="00823094">
        <w:rPr>
          <w:rFonts w:ascii="Times New Roman" w:hAnsi="Times New Roman"/>
          <w:lang w:val="en-HK"/>
        </w:rPr>
        <w:t xml:space="preserve"> when the </w:t>
      </w:r>
      <w:r w:rsidRPr="00823094">
        <w:rPr>
          <w:rFonts w:ascii="Times New Roman" w:hAnsi="Times New Roman"/>
          <w:b/>
          <w:bCs/>
          <w:lang w:val="en-HK"/>
        </w:rPr>
        <w:t>buyer in possession</w:t>
      </w:r>
      <w:r w:rsidRPr="00823094">
        <w:rPr>
          <w:rFonts w:ascii="Times New Roman" w:hAnsi="Times New Roman"/>
          <w:lang w:val="en-HK"/>
        </w:rPr>
        <w:t xml:space="preserve"> resells before completing their purchase.</w:t>
      </w:r>
    </w:p>
    <w:p w14:paraId="62105246" w14:textId="6E8866AB" w:rsidR="00823094" w:rsidRPr="00823094" w:rsidRDefault="00823094" w:rsidP="00823094">
      <w:pPr>
        <w:spacing w:before="100" w:beforeAutospacing="1" w:after="100" w:afterAutospacing="1" w:line="360" w:lineRule="auto"/>
        <w:outlineLvl w:val="2"/>
        <w:rPr>
          <w:rFonts w:ascii="Times New Roman" w:hAnsi="Times New Roman"/>
          <w:b/>
          <w:bCs/>
          <w:lang w:val="en-HK"/>
        </w:rPr>
      </w:pPr>
      <w:r w:rsidRPr="00823094">
        <w:rPr>
          <w:rFonts w:ascii="Times New Roman" w:hAnsi="Times New Roman"/>
          <w:b/>
          <w:bCs/>
          <w:lang w:val="en-HK"/>
        </w:rPr>
        <w:t>Section 23 (Protects the Original Owner’s Rights)</w:t>
      </w:r>
    </w:p>
    <w:p w14:paraId="2731217F" w14:textId="77777777" w:rsidR="00823094" w:rsidRPr="00823094" w:rsidRDefault="00823094" w:rsidP="00823094">
      <w:pPr>
        <w:numPr>
          <w:ilvl w:val="0"/>
          <w:numId w:val="53"/>
        </w:num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Purpose</w:t>
      </w:r>
      <w:r w:rsidRPr="00823094">
        <w:rPr>
          <w:rFonts w:ascii="Times New Roman" w:hAnsi="Times New Roman"/>
          <w:lang w:val="en-HK"/>
        </w:rPr>
        <w:t xml:space="preserve">: Allows the </w:t>
      </w:r>
      <w:r w:rsidRPr="00823094">
        <w:rPr>
          <w:rFonts w:ascii="Times New Roman" w:hAnsi="Times New Roman"/>
          <w:b/>
          <w:bCs/>
          <w:lang w:val="en-HK"/>
        </w:rPr>
        <w:t>original owner</w:t>
      </w:r>
      <w:r w:rsidRPr="00823094">
        <w:rPr>
          <w:rFonts w:ascii="Times New Roman" w:hAnsi="Times New Roman"/>
          <w:lang w:val="en-HK"/>
        </w:rPr>
        <w:t xml:space="preserve"> to recover goods if the seller’s title is voidable (e.g., obtained through fraud).</w:t>
      </w:r>
    </w:p>
    <w:p w14:paraId="22DEC55A" w14:textId="77777777" w:rsidR="00823094" w:rsidRPr="00823094" w:rsidRDefault="00823094" w:rsidP="00823094">
      <w:pPr>
        <w:numPr>
          <w:ilvl w:val="0"/>
          <w:numId w:val="53"/>
        </w:num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Limitation</w:t>
      </w:r>
      <w:r w:rsidRPr="00823094">
        <w:rPr>
          <w:rFonts w:ascii="Times New Roman" w:hAnsi="Times New Roman"/>
          <w:lang w:val="en-HK"/>
        </w:rPr>
        <w:t xml:space="preserve">: If the original owner doesn’t act to avoid the title </w:t>
      </w:r>
      <w:r w:rsidRPr="00823094">
        <w:rPr>
          <w:rFonts w:ascii="Times New Roman" w:hAnsi="Times New Roman"/>
          <w:b/>
          <w:bCs/>
          <w:lang w:val="en-HK"/>
        </w:rPr>
        <w:t>before the goods are resold</w:t>
      </w:r>
      <w:r w:rsidRPr="00823094">
        <w:rPr>
          <w:rFonts w:ascii="Times New Roman" w:hAnsi="Times New Roman"/>
          <w:lang w:val="en-HK"/>
        </w:rPr>
        <w:t xml:space="preserve">, the good faith </w:t>
      </w:r>
      <w:r w:rsidRPr="00823094">
        <w:rPr>
          <w:rFonts w:ascii="Times New Roman" w:hAnsi="Times New Roman"/>
          <w:b/>
          <w:bCs/>
          <w:lang w:val="en-HK"/>
        </w:rPr>
        <w:t>new purchaser</w:t>
      </w:r>
      <w:r w:rsidRPr="00823094">
        <w:rPr>
          <w:rFonts w:ascii="Times New Roman" w:hAnsi="Times New Roman"/>
          <w:lang w:val="en-HK"/>
        </w:rPr>
        <w:t xml:space="preserve"> gets good title.</w:t>
      </w:r>
    </w:p>
    <w:p w14:paraId="5745DAB8" w14:textId="77777777" w:rsidR="00823094" w:rsidRPr="00823094" w:rsidRDefault="002B59B5" w:rsidP="00823094">
      <w:pPr>
        <w:spacing w:line="360" w:lineRule="auto"/>
        <w:rPr>
          <w:rFonts w:ascii="Times New Roman" w:hAnsi="Times New Roman"/>
          <w:lang w:val="en-HK"/>
        </w:rPr>
      </w:pPr>
      <w:r w:rsidRPr="002B59B5">
        <w:rPr>
          <w:rFonts w:ascii="Times New Roman" w:hAnsi="Times New Roman"/>
          <w:noProof/>
          <w:lang w:val="en-HK"/>
          <w14:ligatures w14:val="standardContextual"/>
        </w:rPr>
        <w:pict w14:anchorId="688B60A6">
          <v:rect id="_x0000_i1049" alt="" style="width:451.3pt;height:.05pt;mso-width-percent:0;mso-height-percent:0;mso-width-percent:0;mso-height-percent:0" o:hralign="center" o:hrstd="t" o:hr="t" fillcolor="#a0a0a0" stroked="f"/>
        </w:pict>
      </w:r>
    </w:p>
    <w:p w14:paraId="2DE4BA8F" w14:textId="77777777" w:rsidR="00823094" w:rsidRPr="00823094" w:rsidRDefault="00823094" w:rsidP="00823094">
      <w:pPr>
        <w:spacing w:before="100" w:beforeAutospacing="1" w:after="100" w:afterAutospacing="1" w:line="360" w:lineRule="auto"/>
        <w:outlineLvl w:val="2"/>
        <w:rPr>
          <w:rFonts w:ascii="Times New Roman" w:hAnsi="Times New Roman"/>
          <w:b/>
          <w:bCs/>
          <w:lang w:val="en-HK"/>
        </w:rPr>
      </w:pPr>
      <w:r w:rsidRPr="00823094">
        <w:rPr>
          <w:rFonts w:ascii="Times New Roman" w:hAnsi="Times New Roman"/>
          <w:b/>
          <w:bCs/>
          <w:lang w:val="en-HK"/>
        </w:rPr>
        <w:t>Section 24 (Protects the Seller Who Resells)</w:t>
      </w:r>
    </w:p>
    <w:p w14:paraId="3AD5C123" w14:textId="77777777" w:rsidR="00823094" w:rsidRPr="00823094" w:rsidRDefault="00823094" w:rsidP="00823094">
      <w:pPr>
        <w:numPr>
          <w:ilvl w:val="0"/>
          <w:numId w:val="54"/>
        </w:num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Purpose</w:t>
      </w:r>
      <w:r w:rsidRPr="00823094">
        <w:rPr>
          <w:rFonts w:ascii="Times New Roman" w:hAnsi="Times New Roman"/>
          <w:lang w:val="en-HK"/>
        </w:rPr>
        <w:t xml:space="preserve">: Protects a </w:t>
      </w:r>
      <w:r w:rsidRPr="00823094">
        <w:rPr>
          <w:rFonts w:ascii="Times New Roman" w:hAnsi="Times New Roman"/>
          <w:b/>
          <w:bCs/>
          <w:lang w:val="en-HK"/>
        </w:rPr>
        <w:t>good faith purchaser</w:t>
      </w:r>
      <w:r w:rsidRPr="00823094">
        <w:rPr>
          <w:rFonts w:ascii="Times New Roman" w:hAnsi="Times New Roman"/>
          <w:lang w:val="en-HK"/>
        </w:rPr>
        <w:t xml:space="preserve"> when the </w:t>
      </w:r>
      <w:r w:rsidRPr="00823094">
        <w:rPr>
          <w:rFonts w:ascii="Times New Roman" w:hAnsi="Times New Roman"/>
          <w:b/>
          <w:bCs/>
          <w:lang w:val="en-HK"/>
        </w:rPr>
        <w:t>seller</w:t>
      </w:r>
      <w:r w:rsidRPr="00823094">
        <w:rPr>
          <w:rFonts w:ascii="Times New Roman" w:hAnsi="Times New Roman"/>
          <w:lang w:val="en-HK"/>
        </w:rPr>
        <w:t>, who keeps possession of the goods after the first sale, resells the goods.</w:t>
      </w:r>
    </w:p>
    <w:p w14:paraId="355F369B" w14:textId="77777777" w:rsidR="00823094" w:rsidRPr="00823094" w:rsidRDefault="00823094" w:rsidP="00823094">
      <w:pPr>
        <w:numPr>
          <w:ilvl w:val="0"/>
          <w:numId w:val="54"/>
        </w:num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Focus</w:t>
      </w:r>
      <w:r w:rsidRPr="00823094">
        <w:rPr>
          <w:rFonts w:ascii="Times New Roman" w:hAnsi="Times New Roman"/>
          <w:lang w:val="en-HK"/>
        </w:rPr>
        <w:t>: Seller retains possession and passes good title to the new buyer despite having already sold the goods.</w:t>
      </w:r>
    </w:p>
    <w:p w14:paraId="20BE9873" w14:textId="77777777" w:rsidR="00823094" w:rsidRPr="00823094" w:rsidRDefault="002B59B5" w:rsidP="00823094">
      <w:pPr>
        <w:spacing w:line="360" w:lineRule="auto"/>
        <w:rPr>
          <w:rFonts w:ascii="Times New Roman" w:hAnsi="Times New Roman"/>
          <w:lang w:val="en-HK"/>
        </w:rPr>
      </w:pPr>
      <w:r w:rsidRPr="002B59B5">
        <w:rPr>
          <w:rFonts w:ascii="Times New Roman" w:hAnsi="Times New Roman"/>
          <w:noProof/>
          <w:lang w:val="en-HK"/>
          <w14:ligatures w14:val="standardContextual"/>
        </w:rPr>
        <w:pict w14:anchorId="4607A42F">
          <v:rect id="_x0000_i1048" alt="" style="width:451.3pt;height:.05pt;mso-width-percent:0;mso-height-percent:0;mso-width-percent:0;mso-height-percent:0" o:hralign="center" o:hrstd="t" o:hr="t" fillcolor="#a0a0a0" stroked="f"/>
        </w:pict>
      </w:r>
    </w:p>
    <w:p w14:paraId="4AEB39D6" w14:textId="77777777" w:rsidR="00823094" w:rsidRPr="00823094" w:rsidRDefault="00823094" w:rsidP="00823094">
      <w:pPr>
        <w:spacing w:before="100" w:beforeAutospacing="1" w:after="100" w:afterAutospacing="1" w:line="360" w:lineRule="auto"/>
        <w:outlineLvl w:val="2"/>
        <w:rPr>
          <w:rFonts w:ascii="Times New Roman" w:hAnsi="Times New Roman"/>
          <w:b/>
          <w:bCs/>
          <w:lang w:val="en-HK"/>
        </w:rPr>
      </w:pPr>
      <w:r w:rsidRPr="00823094">
        <w:rPr>
          <w:rFonts w:ascii="Times New Roman" w:hAnsi="Times New Roman"/>
          <w:b/>
          <w:bCs/>
          <w:lang w:val="en-HK"/>
        </w:rPr>
        <w:t>Section 25(1) (Protects the New Buyer in Possession)</w:t>
      </w:r>
    </w:p>
    <w:p w14:paraId="3D169A36" w14:textId="77777777" w:rsidR="00823094" w:rsidRPr="00823094" w:rsidRDefault="00823094" w:rsidP="00823094">
      <w:pPr>
        <w:numPr>
          <w:ilvl w:val="0"/>
          <w:numId w:val="55"/>
        </w:num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Purpose</w:t>
      </w:r>
      <w:r w:rsidRPr="00823094">
        <w:rPr>
          <w:rFonts w:ascii="Times New Roman" w:hAnsi="Times New Roman"/>
          <w:lang w:val="en-HK"/>
        </w:rPr>
        <w:t xml:space="preserve">: Protects a </w:t>
      </w:r>
      <w:r w:rsidRPr="00823094">
        <w:rPr>
          <w:rFonts w:ascii="Times New Roman" w:hAnsi="Times New Roman"/>
          <w:b/>
          <w:bCs/>
          <w:lang w:val="en-HK"/>
        </w:rPr>
        <w:t>good faith purchaser</w:t>
      </w:r>
      <w:r w:rsidRPr="00823094">
        <w:rPr>
          <w:rFonts w:ascii="Times New Roman" w:hAnsi="Times New Roman"/>
          <w:lang w:val="en-HK"/>
        </w:rPr>
        <w:t xml:space="preserve"> when a </w:t>
      </w:r>
      <w:r w:rsidRPr="00823094">
        <w:rPr>
          <w:rFonts w:ascii="Times New Roman" w:hAnsi="Times New Roman"/>
          <w:b/>
          <w:bCs/>
          <w:lang w:val="en-HK"/>
        </w:rPr>
        <w:t>buyer in possession</w:t>
      </w:r>
      <w:r w:rsidRPr="00823094">
        <w:rPr>
          <w:rFonts w:ascii="Times New Roman" w:hAnsi="Times New Roman"/>
          <w:lang w:val="en-HK"/>
        </w:rPr>
        <w:t xml:space="preserve"> (who hasn’t fully paid or fulfilled obligations) resells the goods.</w:t>
      </w:r>
    </w:p>
    <w:p w14:paraId="2726F0CC" w14:textId="77777777" w:rsidR="00823094" w:rsidRDefault="00823094" w:rsidP="00823094">
      <w:pPr>
        <w:numPr>
          <w:ilvl w:val="0"/>
          <w:numId w:val="55"/>
        </w:num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Focus</w:t>
      </w:r>
      <w:r w:rsidRPr="00823094">
        <w:rPr>
          <w:rFonts w:ascii="Times New Roman" w:hAnsi="Times New Roman"/>
          <w:lang w:val="en-HK"/>
        </w:rPr>
        <w:t>: New buyer’s rights prevail, even if the original seller hasn’t been fully paid by the first buyer.</w:t>
      </w:r>
    </w:p>
    <w:p w14:paraId="48E89026" w14:textId="1C657BD5" w:rsidR="00146F54" w:rsidRPr="00823094" w:rsidRDefault="00146F54" w:rsidP="00146F54">
      <w:pPr>
        <w:spacing w:before="100" w:beforeAutospacing="1" w:after="100" w:afterAutospacing="1" w:line="360" w:lineRule="auto"/>
        <w:rPr>
          <w:rFonts w:ascii="Times New Roman" w:hAnsi="Times New Roman"/>
          <w:lang w:val="en-HK"/>
        </w:rPr>
      </w:pPr>
      <w:r w:rsidRPr="00146F54">
        <w:rPr>
          <w:rFonts w:ascii="Times New Roman" w:hAnsi="Times New Roman"/>
          <w:lang w:val="en-HK"/>
        </w:rPr>
        <w:lastRenderedPageBreak/>
        <w:drawing>
          <wp:inline distT="0" distB="0" distL="0" distR="0" wp14:anchorId="7C4C5DA0" wp14:editId="4576B875">
            <wp:extent cx="5731510" cy="2739390"/>
            <wp:effectExtent l="0" t="0" r="0" b="3810"/>
            <wp:docPr id="7793764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7649" name="Picture 1" descr="A screenshot of a computer screen&#10;&#10;Description automatically generated"/>
                    <pic:cNvPicPr/>
                  </pic:nvPicPr>
                  <pic:blipFill>
                    <a:blip r:embed="rId5"/>
                    <a:stretch>
                      <a:fillRect/>
                    </a:stretch>
                  </pic:blipFill>
                  <pic:spPr>
                    <a:xfrm>
                      <a:off x="0" y="0"/>
                      <a:ext cx="5731510" cy="2739390"/>
                    </a:xfrm>
                    <a:prstGeom prst="rect">
                      <a:avLst/>
                    </a:prstGeom>
                  </pic:spPr>
                </pic:pic>
              </a:graphicData>
            </a:graphic>
          </wp:inline>
        </w:drawing>
      </w:r>
    </w:p>
    <w:p w14:paraId="1BF07A29" w14:textId="77777777" w:rsidR="00823094" w:rsidRPr="00823094" w:rsidRDefault="002B59B5" w:rsidP="00823094">
      <w:pPr>
        <w:spacing w:line="360" w:lineRule="auto"/>
        <w:rPr>
          <w:rFonts w:ascii="Times New Roman" w:hAnsi="Times New Roman"/>
          <w:lang w:val="en-HK"/>
        </w:rPr>
      </w:pPr>
      <w:r w:rsidRPr="002B59B5">
        <w:rPr>
          <w:rFonts w:ascii="Times New Roman" w:hAnsi="Times New Roman"/>
          <w:noProof/>
          <w:lang w:val="en-HK"/>
          <w14:ligatures w14:val="standardContextual"/>
        </w:rPr>
        <w:pict w14:anchorId="2E327DC9">
          <v:rect id="_x0000_i1047" alt="" style="width:451.3pt;height:.05pt;mso-width-percent:0;mso-height-percent:0;mso-width-percent:0;mso-height-percent:0" o:hralign="center" o:hrstd="t" o:hr="t" fillcolor="#a0a0a0" stroked="f"/>
        </w:pict>
      </w:r>
    </w:p>
    <w:p w14:paraId="004D3F10" w14:textId="4498723A" w:rsidR="007B4F66" w:rsidRPr="00823094" w:rsidRDefault="007B4F66" w:rsidP="00823094">
      <w:pPr>
        <w:spacing w:before="100" w:beforeAutospacing="1" w:after="100" w:afterAutospacing="1" w:line="360" w:lineRule="auto"/>
        <w:outlineLvl w:val="2"/>
        <w:rPr>
          <w:rFonts w:ascii="Times New Roman" w:hAnsi="Times New Roman"/>
          <w:b/>
          <w:bCs/>
          <w:lang w:val="en-US"/>
        </w:rPr>
      </w:pPr>
      <w:r w:rsidRPr="00823094">
        <w:rPr>
          <w:rFonts w:ascii="Times New Roman" w:hAnsi="Times New Roman"/>
          <w:b/>
          <w:bCs/>
          <w:lang w:val="en-HK"/>
        </w:rPr>
        <w:t>Abstract</w:t>
      </w:r>
    </w:p>
    <w:p w14:paraId="2E790A14" w14:textId="77777777" w:rsidR="007B4F66" w:rsidRPr="00823094" w:rsidRDefault="007B4F66"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 xml:space="preserve">The article examines the legal framework when goods are sold by a non-owner without sufficient authority. It critiques the fairness of balancing the rights between the true owner and the good faith purchaser under the </w:t>
      </w:r>
      <w:r w:rsidRPr="00823094">
        <w:rPr>
          <w:rFonts w:ascii="Times New Roman" w:hAnsi="Times New Roman"/>
          <w:b/>
          <w:bCs/>
          <w:lang w:val="en-HK"/>
        </w:rPr>
        <w:t>Sale of Goods Act 1979 (SGA)</w:t>
      </w:r>
      <w:r w:rsidRPr="00823094">
        <w:rPr>
          <w:rFonts w:ascii="Times New Roman" w:hAnsi="Times New Roman"/>
          <w:lang w:val="en-HK"/>
        </w:rPr>
        <w:t>. The author advocates reforms emphasizing relative culpability and broader contextual approaches, particularly regarding estoppel.</w:t>
      </w:r>
    </w:p>
    <w:p w14:paraId="74845CC2" w14:textId="77777777" w:rsidR="007B4F66" w:rsidRPr="00823094" w:rsidRDefault="002B59B5" w:rsidP="00823094">
      <w:pPr>
        <w:spacing w:line="360" w:lineRule="auto"/>
        <w:rPr>
          <w:rFonts w:ascii="Times New Roman" w:hAnsi="Times New Roman"/>
          <w:lang w:val="en-HK"/>
        </w:rPr>
      </w:pPr>
      <w:r w:rsidRPr="002B59B5">
        <w:rPr>
          <w:rFonts w:ascii="Times New Roman" w:hAnsi="Times New Roman"/>
          <w:noProof/>
          <w:lang w:val="en-HK"/>
          <w14:ligatures w14:val="standardContextual"/>
        </w:rPr>
        <w:pict w14:anchorId="5B3AF81C">
          <v:rect id="_x0000_i1046" alt="" style="width:451.3pt;height:.05pt;mso-width-percent:0;mso-height-percent:0;mso-width-percent:0;mso-height-percent:0" o:hralign="center" o:hrstd="t" o:hr="t" fillcolor="#a0a0a0" stroked="f"/>
        </w:pict>
      </w:r>
    </w:p>
    <w:p w14:paraId="14E76F3F" w14:textId="77777777" w:rsidR="007B4F66" w:rsidRPr="00823094" w:rsidRDefault="007B4F66" w:rsidP="00823094">
      <w:pPr>
        <w:spacing w:before="100" w:beforeAutospacing="1" w:after="100" w:afterAutospacing="1" w:line="360" w:lineRule="auto"/>
        <w:outlineLvl w:val="2"/>
        <w:rPr>
          <w:rFonts w:ascii="Times New Roman" w:hAnsi="Times New Roman"/>
          <w:b/>
          <w:bCs/>
          <w:lang w:val="en-HK"/>
        </w:rPr>
      </w:pPr>
      <w:r w:rsidRPr="00823094">
        <w:rPr>
          <w:rFonts w:ascii="Times New Roman" w:hAnsi="Times New Roman"/>
          <w:b/>
          <w:bCs/>
          <w:lang w:val="en-HK"/>
        </w:rPr>
        <w:t>I. Introduction</w:t>
      </w:r>
    </w:p>
    <w:p w14:paraId="0DA3859A" w14:textId="77777777" w:rsidR="007B4F66" w:rsidRPr="00823094" w:rsidRDefault="007B4F66"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Conflict in Law:</w:t>
      </w:r>
      <w:r w:rsidRPr="00823094">
        <w:rPr>
          <w:rFonts w:ascii="Times New Roman" w:hAnsi="Times New Roman"/>
          <w:lang w:val="en-HK"/>
        </w:rPr>
        <w:t xml:space="preserve"> Balancing the nemo </w:t>
      </w:r>
      <w:proofErr w:type="spellStart"/>
      <w:r w:rsidRPr="00823094">
        <w:rPr>
          <w:rFonts w:ascii="Times New Roman" w:hAnsi="Times New Roman"/>
          <w:lang w:val="en-HK"/>
        </w:rPr>
        <w:t>dat</w:t>
      </w:r>
      <w:proofErr w:type="spellEnd"/>
      <w:r w:rsidRPr="00823094">
        <w:rPr>
          <w:rFonts w:ascii="Times New Roman" w:hAnsi="Times New Roman"/>
          <w:lang w:val="en-HK"/>
        </w:rPr>
        <w:t xml:space="preserve"> principle ("no one can give what they do not have") with commercial certainty for good faith purchasers.</w:t>
      </w:r>
    </w:p>
    <w:p w14:paraId="554923E2" w14:textId="77777777" w:rsidR="007B4F66" w:rsidRPr="00823094" w:rsidRDefault="007B4F66"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SGA Framework:</w:t>
      </w:r>
      <w:r w:rsidRPr="00823094">
        <w:rPr>
          <w:rFonts w:ascii="Times New Roman" w:hAnsi="Times New Roman"/>
          <w:lang w:val="en-HK"/>
        </w:rPr>
        <w:t xml:space="preserve"> While the nemo </w:t>
      </w:r>
      <w:proofErr w:type="spellStart"/>
      <w:r w:rsidRPr="00823094">
        <w:rPr>
          <w:rFonts w:ascii="Times New Roman" w:hAnsi="Times New Roman"/>
          <w:lang w:val="en-HK"/>
        </w:rPr>
        <w:t>dat</w:t>
      </w:r>
      <w:proofErr w:type="spellEnd"/>
      <w:r w:rsidRPr="00823094">
        <w:rPr>
          <w:rFonts w:ascii="Times New Roman" w:hAnsi="Times New Roman"/>
          <w:lang w:val="en-HK"/>
        </w:rPr>
        <w:t xml:space="preserve"> principle protects property rights, statutory exceptions prioritize commercial transactions in specific contexts.</w:t>
      </w:r>
    </w:p>
    <w:p w14:paraId="71F2851E" w14:textId="77777777" w:rsidR="007B4F66" w:rsidRPr="00823094" w:rsidRDefault="007B4F66"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Challenges:</w:t>
      </w:r>
      <w:r w:rsidRPr="00823094">
        <w:rPr>
          <w:rFonts w:ascii="Times New Roman" w:hAnsi="Times New Roman"/>
          <w:lang w:val="en-HK"/>
        </w:rPr>
        <w:t xml:space="preserve"> The law requires an "all-or-nothing" approach, rejecting proportional loss apportionment for its impracticality.</w:t>
      </w:r>
    </w:p>
    <w:p w14:paraId="506EB60F" w14:textId="265DAFAF" w:rsidR="00520D5A" w:rsidRPr="00823094" w:rsidRDefault="002B59B5" w:rsidP="00823094">
      <w:pPr>
        <w:spacing w:before="100" w:beforeAutospacing="1" w:after="100" w:afterAutospacing="1" w:line="360" w:lineRule="auto"/>
        <w:rPr>
          <w:rFonts w:ascii="Times New Roman" w:hAnsi="Times New Roman"/>
          <w:lang w:val="en-HK"/>
        </w:rPr>
      </w:pPr>
      <w:r w:rsidRPr="002B59B5">
        <w:rPr>
          <w:rFonts w:ascii="Times New Roman" w:hAnsi="Times New Roman"/>
          <w:noProof/>
          <w:lang w:val="en-HK"/>
          <w14:ligatures w14:val="standardContextual"/>
        </w:rPr>
        <w:pict w14:anchorId="732995C7">
          <v:rect id="_x0000_i1045" alt="" style="width:451.3pt;height:.05pt;mso-width-percent:0;mso-height-percent:0;mso-width-percent:0;mso-height-percent:0" o:hralign="center" o:hrstd="t" o:hr="t" fillcolor="#a0a0a0" stroked="f"/>
        </w:pict>
      </w:r>
    </w:p>
    <w:p w14:paraId="7A24588B" w14:textId="77777777" w:rsidR="005002F7" w:rsidRPr="00823094" w:rsidRDefault="005002F7" w:rsidP="00823094">
      <w:pPr>
        <w:spacing w:before="100" w:beforeAutospacing="1" w:after="100" w:afterAutospacing="1" w:line="360" w:lineRule="auto"/>
        <w:outlineLvl w:val="2"/>
        <w:rPr>
          <w:rFonts w:ascii="Times New Roman" w:hAnsi="Times New Roman"/>
          <w:b/>
          <w:bCs/>
          <w:lang w:val="en-HK"/>
        </w:rPr>
      </w:pPr>
      <w:r w:rsidRPr="00823094">
        <w:rPr>
          <w:rFonts w:ascii="Times New Roman" w:hAnsi="Times New Roman"/>
          <w:b/>
          <w:bCs/>
          <w:lang w:val="en-HK"/>
        </w:rPr>
        <w:lastRenderedPageBreak/>
        <w:t>II. Estoppel</w:t>
      </w:r>
    </w:p>
    <w:p w14:paraId="5F65B53F" w14:textId="77777777" w:rsidR="005002F7" w:rsidRPr="00823094" w:rsidRDefault="005002F7" w:rsidP="00823094">
      <w:pPr>
        <w:spacing w:before="100" w:beforeAutospacing="1" w:after="100" w:afterAutospacing="1" w:line="360" w:lineRule="auto"/>
        <w:outlineLvl w:val="3"/>
        <w:rPr>
          <w:rFonts w:ascii="Times New Roman" w:hAnsi="Times New Roman"/>
          <w:b/>
          <w:bCs/>
          <w:lang w:val="en-HK"/>
        </w:rPr>
      </w:pPr>
      <w:r w:rsidRPr="00823094">
        <w:rPr>
          <w:rFonts w:ascii="Times New Roman" w:hAnsi="Times New Roman"/>
          <w:b/>
          <w:bCs/>
          <w:lang w:val="en-HK"/>
        </w:rPr>
        <w:t>Overview of Estoppel in the Nemo Dat Context</w:t>
      </w:r>
    </w:p>
    <w:p w14:paraId="5BE7092D" w14:textId="77777777" w:rsidR="005002F7" w:rsidRPr="00823094" w:rsidRDefault="005002F7" w:rsidP="00823094">
      <w:pPr>
        <w:numPr>
          <w:ilvl w:val="0"/>
          <w:numId w:val="2"/>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 xml:space="preserve">Estoppel negates the nemo </w:t>
      </w:r>
      <w:proofErr w:type="spellStart"/>
      <w:r w:rsidRPr="00823094">
        <w:rPr>
          <w:rFonts w:ascii="Times New Roman" w:hAnsi="Times New Roman"/>
          <w:lang w:val="en-HK"/>
        </w:rPr>
        <w:t>dat</w:t>
      </w:r>
      <w:proofErr w:type="spellEnd"/>
      <w:r w:rsidRPr="00823094">
        <w:rPr>
          <w:rFonts w:ascii="Times New Roman" w:hAnsi="Times New Roman"/>
          <w:lang w:val="en-HK"/>
        </w:rPr>
        <w:t xml:space="preserve"> rule when the owner's conduct makes it inequitable to deny the seller’s authority to sell.</w:t>
      </w:r>
    </w:p>
    <w:p w14:paraId="4957F4A4" w14:textId="77777777" w:rsidR="005002F7" w:rsidRPr="00823094" w:rsidRDefault="005002F7" w:rsidP="00823094">
      <w:pPr>
        <w:numPr>
          <w:ilvl w:val="0"/>
          <w:numId w:val="2"/>
        </w:num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Doctrine of Estoppel</w:t>
      </w:r>
      <w:r w:rsidRPr="00823094">
        <w:rPr>
          <w:rFonts w:ascii="Times New Roman" w:hAnsi="Times New Roman"/>
          <w:lang w:val="en-HK"/>
        </w:rPr>
        <w:t xml:space="preserve"> provides the purchaser with good title, not merely a personal remedy.</w:t>
      </w:r>
    </w:p>
    <w:p w14:paraId="4E5103A1" w14:textId="77777777" w:rsidR="005002F7" w:rsidRPr="00823094" w:rsidRDefault="005002F7" w:rsidP="00823094">
      <w:pPr>
        <w:spacing w:before="100" w:beforeAutospacing="1" w:after="100" w:afterAutospacing="1" w:line="360" w:lineRule="auto"/>
        <w:outlineLvl w:val="3"/>
        <w:rPr>
          <w:rFonts w:ascii="Times New Roman" w:hAnsi="Times New Roman"/>
          <w:b/>
          <w:bCs/>
          <w:lang w:val="en-HK"/>
        </w:rPr>
      </w:pPr>
      <w:r w:rsidRPr="00823094">
        <w:rPr>
          <w:rFonts w:ascii="Times New Roman" w:hAnsi="Times New Roman"/>
          <w:b/>
          <w:bCs/>
          <w:lang w:val="en-HK"/>
        </w:rPr>
        <w:t>Types of Estoppel</w:t>
      </w:r>
    </w:p>
    <w:p w14:paraId="15051F58" w14:textId="77777777" w:rsidR="005002F7" w:rsidRPr="00823094" w:rsidRDefault="005002F7" w:rsidP="00823094">
      <w:pPr>
        <w:numPr>
          <w:ilvl w:val="0"/>
          <w:numId w:val="3"/>
        </w:num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Estoppel by Representation</w:t>
      </w:r>
      <w:r w:rsidRPr="00823094">
        <w:rPr>
          <w:rFonts w:ascii="Times New Roman" w:hAnsi="Times New Roman"/>
          <w:lang w:val="en-HK"/>
        </w:rPr>
        <w:t>:</w:t>
      </w:r>
    </w:p>
    <w:p w14:paraId="00901D02"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Arises when the owner's representation, by words or conduct, induces the belief that the seller is authorized to dispose of goods.</w:t>
      </w:r>
    </w:p>
    <w:p w14:paraId="33B58562"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Key Case: Henderson &amp; Co v Williams [1895] 1 QB 521 (CA):</w:t>
      </w:r>
    </w:p>
    <w:p w14:paraId="55CAC829"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Facts: G, the true owner, was induced by fraud to transfer goods to a rogue (F). F sold to an innocent purchaser.</w:t>
      </w:r>
    </w:p>
    <w:p w14:paraId="5F6D9DC7"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Lord Halsbury</w:t>
      </w:r>
      <w:r w:rsidRPr="00823094">
        <w:rPr>
          <w:rFonts w:ascii="Times New Roman" w:hAnsi="Times New Roman"/>
          <w:lang w:val="en-HK"/>
        </w:rPr>
        <w:t>: G was estopped from denying F's authority because G’s actions created the "indicia of property" in F, misleading the purchaser.</w:t>
      </w:r>
    </w:p>
    <w:p w14:paraId="0B4ACB77" w14:textId="77777777" w:rsidR="005002F7" w:rsidRPr="00823094" w:rsidRDefault="005002F7" w:rsidP="00823094">
      <w:pPr>
        <w:numPr>
          <w:ilvl w:val="0"/>
          <w:numId w:val="3"/>
        </w:num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Estoppel by Negligence</w:t>
      </w:r>
      <w:r w:rsidRPr="00823094">
        <w:rPr>
          <w:rFonts w:ascii="Times New Roman" w:hAnsi="Times New Roman"/>
          <w:lang w:val="en-HK"/>
        </w:rPr>
        <w:t>:</w:t>
      </w:r>
    </w:p>
    <w:p w14:paraId="4F6C447C"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Arises when the owner’s negligence facilitates unauthorized sales.</w:t>
      </w:r>
    </w:p>
    <w:p w14:paraId="078C21FE"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 xml:space="preserve">Key Case: Moorgate Mercantile Co Ltd v </w:t>
      </w:r>
      <w:proofErr w:type="spellStart"/>
      <w:r w:rsidRPr="00823094">
        <w:rPr>
          <w:rFonts w:ascii="Times New Roman" w:hAnsi="Times New Roman"/>
          <w:b/>
          <w:bCs/>
          <w:lang w:val="en-HK"/>
        </w:rPr>
        <w:t>Twitchings</w:t>
      </w:r>
      <w:proofErr w:type="spellEnd"/>
      <w:r w:rsidRPr="00823094">
        <w:rPr>
          <w:rFonts w:ascii="Times New Roman" w:hAnsi="Times New Roman"/>
          <w:b/>
          <w:bCs/>
          <w:lang w:val="en-HK"/>
        </w:rPr>
        <w:t xml:space="preserve"> [1977] AC 890 (HL):</w:t>
      </w:r>
    </w:p>
    <w:p w14:paraId="2600B1B1"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Facts: Claimant failed to register its hire purchase interest with Hire Purchase Information (HPI). The rogue sold the vehicle to a good faith purchaser.</w:t>
      </w:r>
    </w:p>
    <w:p w14:paraId="03AD916C"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Court of Appeal: Found estoppel based on claimant’s negligence in not registering.</w:t>
      </w:r>
    </w:p>
    <w:p w14:paraId="34B07F9A"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House of Lords: Rejected estoppel, ruling that no legal duty required HPI registration. This outcome was criticized as unfair.</w:t>
      </w:r>
    </w:p>
    <w:p w14:paraId="721C0697" w14:textId="77777777" w:rsidR="005002F7" w:rsidRPr="00823094" w:rsidRDefault="005002F7" w:rsidP="00823094">
      <w:pPr>
        <w:numPr>
          <w:ilvl w:val="0"/>
          <w:numId w:val="3"/>
        </w:num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lastRenderedPageBreak/>
        <w:t xml:space="preserve">Estoppel Per Rem </w:t>
      </w:r>
      <w:proofErr w:type="spellStart"/>
      <w:r w:rsidRPr="00823094">
        <w:rPr>
          <w:rFonts w:ascii="Times New Roman" w:hAnsi="Times New Roman"/>
          <w:b/>
          <w:bCs/>
          <w:lang w:val="en-HK"/>
        </w:rPr>
        <w:t>Judicatam</w:t>
      </w:r>
      <w:proofErr w:type="spellEnd"/>
      <w:r w:rsidRPr="00823094">
        <w:rPr>
          <w:rFonts w:ascii="Times New Roman" w:hAnsi="Times New Roman"/>
          <w:lang w:val="en-HK"/>
        </w:rPr>
        <w:t>:</w:t>
      </w:r>
    </w:p>
    <w:p w14:paraId="3835D248"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Limited to parties in litigation and does not bind the world. It’s less relevant in practical property disputes.</w:t>
      </w:r>
    </w:p>
    <w:p w14:paraId="03D0DE90" w14:textId="77777777" w:rsidR="005002F7" w:rsidRPr="00823094" w:rsidRDefault="002B59B5" w:rsidP="00823094">
      <w:pPr>
        <w:spacing w:line="360" w:lineRule="auto"/>
        <w:rPr>
          <w:rFonts w:ascii="Times New Roman" w:hAnsi="Times New Roman"/>
          <w:lang w:val="en-HK"/>
        </w:rPr>
      </w:pPr>
      <w:r w:rsidRPr="002B59B5">
        <w:rPr>
          <w:rFonts w:ascii="Times New Roman" w:hAnsi="Times New Roman"/>
          <w:noProof/>
          <w:lang w:val="en-HK"/>
          <w14:ligatures w14:val="standardContextual"/>
        </w:rPr>
        <w:pict w14:anchorId="3C4B965A">
          <v:rect id="_x0000_i1044" alt="" style="width:451.3pt;height:.05pt;mso-width-percent:0;mso-height-percent:0;mso-width-percent:0;mso-height-percent:0" o:hralign="center" o:hrstd="t" o:hr="t" fillcolor="#a0a0a0" stroked="f"/>
        </w:pict>
      </w:r>
    </w:p>
    <w:p w14:paraId="7EF6FBF2" w14:textId="77777777" w:rsidR="005002F7" w:rsidRPr="00823094" w:rsidRDefault="005002F7" w:rsidP="00823094">
      <w:pPr>
        <w:spacing w:before="100" w:beforeAutospacing="1" w:after="100" w:afterAutospacing="1" w:line="360" w:lineRule="auto"/>
        <w:outlineLvl w:val="3"/>
        <w:rPr>
          <w:rFonts w:ascii="Times New Roman" w:hAnsi="Times New Roman"/>
          <w:b/>
          <w:bCs/>
          <w:lang w:val="en-HK"/>
        </w:rPr>
      </w:pPr>
      <w:r w:rsidRPr="00823094">
        <w:rPr>
          <w:rFonts w:ascii="Times New Roman" w:hAnsi="Times New Roman"/>
          <w:b/>
          <w:bCs/>
          <w:lang w:val="en-HK"/>
        </w:rPr>
        <w:t>Scholarly Opinions and Critiques</w:t>
      </w:r>
    </w:p>
    <w:p w14:paraId="642C779C" w14:textId="7BE2C153" w:rsidR="005002F7" w:rsidRPr="00823094" w:rsidRDefault="00662C03"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 xml:space="preserve">1. </w:t>
      </w:r>
      <w:r w:rsidR="005002F7" w:rsidRPr="00823094">
        <w:rPr>
          <w:rFonts w:ascii="Times New Roman" w:hAnsi="Times New Roman"/>
          <w:b/>
          <w:bCs/>
          <w:lang w:val="en-HK"/>
        </w:rPr>
        <w:t>Michael Bridge</w:t>
      </w:r>
      <w:r w:rsidRPr="00823094">
        <w:rPr>
          <w:rFonts w:ascii="Times New Roman" w:hAnsi="Times New Roman"/>
          <w:lang w:val="en-HK"/>
        </w:rPr>
        <w:t xml:space="preserve">: </w:t>
      </w:r>
    </w:p>
    <w:p w14:paraId="18F58FE3"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Argues for a broader application of estoppel to protect innocent purchasers better.</w:t>
      </w:r>
    </w:p>
    <w:p w14:paraId="258FE93A" w14:textId="77777777" w:rsidR="00AF5541" w:rsidRPr="00823094" w:rsidRDefault="00AF5541" w:rsidP="00823094">
      <w:pPr>
        <w:spacing w:before="100" w:beforeAutospacing="1" w:after="100" w:afterAutospacing="1" w:line="360" w:lineRule="auto"/>
        <w:outlineLvl w:val="2"/>
        <w:rPr>
          <w:rFonts w:ascii="Times New Roman" w:hAnsi="Times New Roman"/>
          <w:b/>
          <w:bCs/>
          <w:lang w:val="en-HK"/>
        </w:rPr>
      </w:pPr>
      <w:r w:rsidRPr="00823094">
        <w:rPr>
          <w:rFonts w:ascii="Times New Roman" w:hAnsi="Times New Roman"/>
          <w:b/>
          <w:bCs/>
          <w:lang w:val="en-HK"/>
        </w:rPr>
        <w:t>How Broad Should Estoppel Be According to Bridge’s Views?</w:t>
      </w:r>
    </w:p>
    <w:p w14:paraId="1CF316E3" w14:textId="77777777" w:rsidR="00AF5541" w:rsidRPr="00823094" w:rsidRDefault="00AF5541" w:rsidP="00823094">
      <w:pPr>
        <w:spacing w:before="100" w:beforeAutospacing="1" w:after="100" w:afterAutospacing="1" w:line="360" w:lineRule="auto"/>
        <w:outlineLvl w:val="3"/>
        <w:rPr>
          <w:rFonts w:ascii="Times New Roman" w:hAnsi="Times New Roman"/>
          <w:b/>
          <w:bCs/>
          <w:lang w:val="en-HK"/>
        </w:rPr>
      </w:pPr>
      <w:r w:rsidRPr="00823094">
        <w:rPr>
          <w:rFonts w:ascii="Times New Roman" w:hAnsi="Times New Roman"/>
          <w:b/>
          <w:bCs/>
          <w:lang w:val="en-HK"/>
        </w:rPr>
        <w:t>1. Recognition of Implied Conduct as Representation</w:t>
      </w:r>
    </w:p>
    <w:p w14:paraId="34C1BA83" w14:textId="77777777" w:rsidR="00AF5541" w:rsidRPr="00823094" w:rsidRDefault="00AF5541"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Bridge’s Argument:</w:t>
      </w:r>
      <w:r w:rsidRPr="00823094">
        <w:rPr>
          <w:rFonts w:ascii="Times New Roman" w:hAnsi="Times New Roman"/>
          <w:lang w:val="en-HK"/>
        </w:rPr>
        <w:t xml:space="preserve"> The courts currently require explicit representations (e.g., words or formal conduct) by the owner for estoppel by representation to apply. This overly restrictive view excludes cases where the owner’s </w:t>
      </w:r>
      <w:r w:rsidRPr="00823094">
        <w:rPr>
          <w:rFonts w:ascii="Times New Roman" w:hAnsi="Times New Roman"/>
          <w:b/>
          <w:bCs/>
          <w:lang w:val="en-HK"/>
        </w:rPr>
        <w:t>implied actions or omissions</w:t>
      </w:r>
      <w:r w:rsidRPr="00823094">
        <w:rPr>
          <w:rFonts w:ascii="Times New Roman" w:hAnsi="Times New Roman"/>
          <w:lang w:val="en-HK"/>
        </w:rPr>
        <w:t xml:space="preserve"> lead a third party to believe a rogue has authority to sell.</w:t>
      </w:r>
    </w:p>
    <w:p w14:paraId="071D0856" w14:textId="77777777" w:rsidR="00AF5541" w:rsidRPr="00823094" w:rsidRDefault="00AF5541"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Proposed Broader Approach:</w:t>
      </w:r>
    </w:p>
    <w:p w14:paraId="7FD58F6C" w14:textId="77777777" w:rsidR="00AF5541" w:rsidRPr="00823094" w:rsidRDefault="00AF5541"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Courts should consider all actions or omissions by the owner that reasonably convey the indicia of title to the rogue.</w:t>
      </w:r>
    </w:p>
    <w:p w14:paraId="3EEC2DAD" w14:textId="77777777" w:rsidR="00AF5541" w:rsidRPr="00823094" w:rsidRDefault="00AF5541"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 xml:space="preserve">Example: In </w:t>
      </w:r>
      <w:r w:rsidRPr="00823094">
        <w:rPr>
          <w:rFonts w:ascii="Times New Roman" w:hAnsi="Times New Roman"/>
          <w:i/>
          <w:iCs/>
          <w:lang w:val="en-HK"/>
        </w:rPr>
        <w:t>Henderson &amp; Co v Williams [1895]</w:t>
      </w:r>
      <w:r w:rsidRPr="00823094">
        <w:rPr>
          <w:rFonts w:ascii="Times New Roman" w:hAnsi="Times New Roman"/>
          <w:lang w:val="en-HK"/>
        </w:rPr>
        <w:t>, the court upheld estoppel based on the owner’s implied conduct (attorning to the rogue’s authority). Bridge supports such contextual recognition of conduct.</w:t>
      </w:r>
    </w:p>
    <w:p w14:paraId="05A1210A" w14:textId="77777777" w:rsidR="00AF5541" w:rsidRPr="00823094" w:rsidRDefault="00AF5541" w:rsidP="00823094">
      <w:pPr>
        <w:spacing w:before="100" w:beforeAutospacing="1" w:after="100" w:afterAutospacing="1" w:line="360" w:lineRule="auto"/>
        <w:outlineLvl w:val="3"/>
        <w:rPr>
          <w:rFonts w:ascii="Times New Roman" w:hAnsi="Times New Roman"/>
          <w:b/>
          <w:bCs/>
          <w:lang w:val="en-HK"/>
        </w:rPr>
      </w:pPr>
      <w:r w:rsidRPr="00823094">
        <w:rPr>
          <w:rFonts w:ascii="Times New Roman" w:hAnsi="Times New Roman"/>
          <w:b/>
          <w:bCs/>
          <w:lang w:val="en-HK"/>
        </w:rPr>
        <w:t>2. Inclusion of Negligent Omissions</w:t>
      </w:r>
    </w:p>
    <w:p w14:paraId="117D3249" w14:textId="77777777" w:rsidR="00AF5541" w:rsidRPr="00823094" w:rsidRDefault="00AF5541"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Bridge’s Argument:</w:t>
      </w:r>
      <w:r w:rsidRPr="00823094">
        <w:rPr>
          <w:rFonts w:ascii="Times New Roman" w:hAnsi="Times New Roman"/>
          <w:lang w:val="en-HK"/>
        </w:rPr>
        <w:t xml:space="preserve"> Estoppel by negligence is too narrowly applied, focusing primarily on explicit failures, such as signing blank documents or failing to safeguard property. This excludes subtler forms of negligence.</w:t>
      </w:r>
    </w:p>
    <w:p w14:paraId="0AFED019" w14:textId="77777777" w:rsidR="00AF5541" w:rsidRPr="00823094" w:rsidRDefault="00AF5541"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Proposed Broader Approach:</w:t>
      </w:r>
    </w:p>
    <w:p w14:paraId="6C81FDAF" w14:textId="77777777" w:rsidR="00AF5541" w:rsidRPr="00823094" w:rsidRDefault="00AF5541"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lastRenderedPageBreak/>
        <w:t>Estoppel should extend to circumstances where owners negligently enable rogues to gain possession or appear as authorized sellers, even if there is no direct representation.</w:t>
      </w:r>
    </w:p>
    <w:p w14:paraId="51EE2207" w14:textId="77777777" w:rsidR="00AF5541" w:rsidRPr="00823094" w:rsidRDefault="00AF5541"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 xml:space="preserve">Example: In </w:t>
      </w:r>
      <w:r w:rsidRPr="00823094">
        <w:rPr>
          <w:rFonts w:ascii="Times New Roman" w:hAnsi="Times New Roman"/>
          <w:i/>
          <w:iCs/>
          <w:lang w:val="en-HK"/>
        </w:rPr>
        <w:t xml:space="preserve">Moorgate Mercantile Co v </w:t>
      </w:r>
      <w:proofErr w:type="spellStart"/>
      <w:r w:rsidRPr="00823094">
        <w:rPr>
          <w:rFonts w:ascii="Times New Roman" w:hAnsi="Times New Roman"/>
          <w:i/>
          <w:iCs/>
          <w:lang w:val="en-HK"/>
        </w:rPr>
        <w:t>Twitchings</w:t>
      </w:r>
      <w:proofErr w:type="spellEnd"/>
      <w:r w:rsidRPr="00823094">
        <w:rPr>
          <w:rFonts w:ascii="Times New Roman" w:hAnsi="Times New Roman"/>
          <w:i/>
          <w:iCs/>
          <w:lang w:val="en-HK"/>
        </w:rPr>
        <w:t xml:space="preserve"> [1977]</w:t>
      </w:r>
      <w:r w:rsidRPr="00823094">
        <w:rPr>
          <w:rFonts w:ascii="Times New Roman" w:hAnsi="Times New Roman"/>
          <w:lang w:val="en-HK"/>
        </w:rPr>
        <w:t xml:space="preserve">, the claimant’s failure to register the hire purchase agreement with Hire Purchase Information (HPI) was arguably negligent. Bridge critiques the House of Lords’ rejection of estoppel, suggesting that such omissions should give rise to liability in </w:t>
      </w:r>
      <w:proofErr w:type="spellStart"/>
      <w:r w:rsidRPr="00823094">
        <w:rPr>
          <w:rFonts w:ascii="Times New Roman" w:hAnsi="Times New Roman"/>
          <w:lang w:val="en-HK"/>
        </w:rPr>
        <w:t>favor</w:t>
      </w:r>
      <w:proofErr w:type="spellEnd"/>
      <w:r w:rsidRPr="00823094">
        <w:rPr>
          <w:rFonts w:ascii="Times New Roman" w:hAnsi="Times New Roman"/>
          <w:lang w:val="en-HK"/>
        </w:rPr>
        <w:t xml:space="preserve"> of the good faith purchaser.</w:t>
      </w:r>
    </w:p>
    <w:p w14:paraId="379C3F55" w14:textId="77777777" w:rsidR="00AF5541" w:rsidRPr="00823094" w:rsidRDefault="00AF5541" w:rsidP="00823094">
      <w:pPr>
        <w:spacing w:before="100" w:beforeAutospacing="1" w:after="100" w:afterAutospacing="1" w:line="360" w:lineRule="auto"/>
        <w:outlineLvl w:val="3"/>
        <w:rPr>
          <w:rFonts w:ascii="Times New Roman" w:hAnsi="Times New Roman"/>
          <w:b/>
          <w:bCs/>
          <w:lang w:val="en-HK"/>
        </w:rPr>
      </w:pPr>
      <w:r w:rsidRPr="00823094">
        <w:rPr>
          <w:rFonts w:ascii="Times New Roman" w:hAnsi="Times New Roman"/>
          <w:b/>
          <w:bCs/>
          <w:lang w:val="en-HK"/>
        </w:rPr>
        <w:t>3. Expanded Definition of ‘Indicia of Title’</w:t>
      </w:r>
    </w:p>
    <w:p w14:paraId="00368317" w14:textId="77777777" w:rsidR="00AF5541" w:rsidRPr="00823094" w:rsidRDefault="00AF5541"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Bridge’s Critique:</w:t>
      </w:r>
      <w:r w:rsidRPr="00823094">
        <w:rPr>
          <w:rFonts w:ascii="Times New Roman" w:hAnsi="Times New Roman"/>
          <w:lang w:val="en-HK"/>
        </w:rPr>
        <w:t xml:space="preserve"> Courts interpret "indicia of title" too narrowly, requiring overt representations of ownership or authority. This fails to account for how modern commercial practices often rely on subtler forms of authority or apparent possession.</w:t>
      </w:r>
    </w:p>
    <w:p w14:paraId="464FA95A" w14:textId="77777777" w:rsidR="00AF5541" w:rsidRPr="00823094" w:rsidRDefault="00AF5541"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Proposed Broader Approach:</w:t>
      </w:r>
    </w:p>
    <w:p w14:paraId="7920AAAC" w14:textId="77777777" w:rsidR="00AF5541" w:rsidRPr="00823094" w:rsidRDefault="00AF5541"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Courts should adopt a more flexible, contextual understanding of indicia of title, encompassing:</w:t>
      </w:r>
    </w:p>
    <w:p w14:paraId="754093EC" w14:textId="77777777" w:rsidR="00AF5541" w:rsidRPr="00823094" w:rsidRDefault="00AF5541" w:rsidP="00823094">
      <w:pPr>
        <w:numPr>
          <w:ilvl w:val="2"/>
          <w:numId w:val="30"/>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The rogue’s physical possession of goods.</w:t>
      </w:r>
    </w:p>
    <w:p w14:paraId="4977C649" w14:textId="77777777" w:rsidR="00AF5541" w:rsidRPr="00823094" w:rsidRDefault="00AF5541" w:rsidP="00823094">
      <w:pPr>
        <w:numPr>
          <w:ilvl w:val="2"/>
          <w:numId w:val="30"/>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The owner’s failure to monitor or restrict the rogue’s use of goods in a way that would suggest unauthorized dealings.</w:t>
      </w:r>
    </w:p>
    <w:p w14:paraId="12FEBA9C" w14:textId="77777777" w:rsidR="00AF5541" w:rsidRPr="00823094" w:rsidRDefault="00AF5541" w:rsidP="00823094">
      <w:pPr>
        <w:numPr>
          <w:ilvl w:val="2"/>
          <w:numId w:val="30"/>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The commercial practices of the relevant industry, where implied authority is common.</w:t>
      </w:r>
    </w:p>
    <w:p w14:paraId="5149AF37" w14:textId="77777777" w:rsidR="00AF5541" w:rsidRPr="00823094" w:rsidRDefault="00AF5541"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 xml:space="preserve">Example: In </w:t>
      </w:r>
      <w:r w:rsidRPr="00823094">
        <w:rPr>
          <w:rFonts w:ascii="Times New Roman" w:hAnsi="Times New Roman"/>
          <w:i/>
          <w:iCs/>
          <w:lang w:val="en-HK"/>
        </w:rPr>
        <w:t>Farquharson Bros v King &amp; Co [1902]</w:t>
      </w:r>
      <w:r w:rsidRPr="00823094">
        <w:rPr>
          <w:rFonts w:ascii="Times New Roman" w:hAnsi="Times New Roman"/>
          <w:lang w:val="en-HK"/>
        </w:rPr>
        <w:t xml:space="preserve">, the claimant’s prolonged inaction allowed the rogue to repeatedly sell timber fraudulently. Bridge would likely argue that the owner’s failure to detect the fraud created sufficient indicia of title to </w:t>
      </w:r>
      <w:proofErr w:type="spellStart"/>
      <w:r w:rsidRPr="00823094">
        <w:rPr>
          <w:rFonts w:ascii="Times New Roman" w:hAnsi="Times New Roman"/>
          <w:lang w:val="en-HK"/>
        </w:rPr>
        <w:t>estop</w:t>
      </w:r>
      <w:proofErr w:type="spellEnd"/>
      <w:r w:rsidRPr="00823094">
        <w:rPr>
          <w:rFonts w:ascii="Times New Roman" w:hAnsi="Times New Roman"/>
          <w:lang w:val="en-HK"/>
        </w:rPr>
        <w:t xml:space="preserve"> them from recovering the goods.</w:t>
      </w:r>
    </w:p>
    <w:p w14:paraId="12D3A1D5" w14:textId="77777777" w:rsidR="00AF5541" w:rsidRPr="00823094" w:rsidRDefault="00AF5541" w:rsidP="00823094">
      <w:pPr>
        <w:spacing w:before="100" w:beforeAutospacing="1" w:after="100" w:afterAutospacing="1" w:line="360" w:lineRule="auto"/>
        <w:outlineLvl w:val="3"/>
        <w:rPr>
          <w:rFonts w:ascii="Times New Roman" w:hAnsi="Times New Roman"/>
          <w:b/>
          <w:bCs/>
          <w:lang w:val="en-HK"/>
        </w:rPr>
      </w:pPr>
      <w:r w:rsidRPr="00823094">
        <w:rPr>
          <w:rFonts w:ascii="Times New Roman" w:hAnsi="Times New Roman"/>
          <w:b/>
          <w:bCs/>
          <w:lang w:val="en-HK"/>
        </w:rPr>
        <w:t>4. Greater Reliance on Commercial Context</w:t>
      </w:r>
    </w:p>
    <w:p w14:paraId="5BF41B7B" w14:textId="12EFFA65" w:rsidR="00AF5541" w:rsidRPr="00823094" w:rsidRDefault="00AF5541"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Bridge’s View:</w:t>
      </w:r>
      <w:r w:rsidRPr="00823094">
        <w:rPr>
          <w:rFonts w:ascii="Times New Roman" w:hAnsi="Times New Roman"/>
          <w:lang w:val="en-HK"/>
        </w:rPr>
        <w:t xml:space="preserve"> Estoppel should be applied with an understanding of commercial realities. This includes recognizing that innocent purchasers often rely on apparent authority in good faith.</w:t>
      </w:r>
    </w:p>
    <w:p w14:paraId="3ECF12E1" w14:textId="77777777" w:rsidR="00AF5541" w:rsidRPr="00823094" w:rsidRDefault="00AF5541"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Proposed Broader Approach:</w:t>
      </w:r>
    </w:p>
    <w:p w14:paraId="2914095F" w14:textId="77777777" w:rsidR="00AF5541" w:rsidRPr="00823094" w:rsidRDefault="00AF5541"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lastRenderedPageBreak/>
        <w:t>The doctrine should account for industry norms and commercial expectations, particularly in cases involving goods stored in warehouses, on consignment, or in showrooms.</w:t>
      </w:r>
    </w:p>
    <w:p w14:paraId="00B84DDE" w14:textId="77777777" w:rsidR="00AF5541" w:rsidRPr="00823094" w:rsidRDefault="00AF5541"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 xml:space="preserve">Example: In </w:t>
      </w:r>
      <w:r w:rsidRPr="00823094">
        <w:rPr>
          <w:rFonts w:ascii="Times New Roman" w:hAnsi="Times New Roman"/>
          <w:i/>
          <w:iCs/>
          <w:lang w:val="en-HK"/>
        </w:rPr>
        <w:t>Pacific Motor Auctions v Motor Credit (Hire Finance) [1965]</w:t>
      </w:r>
      <w:r w:rsidRPr="00823094">
        <w:rPr>
          <w:rFonts w:ascii="Times New Roman" w:hAnsi="Times New Roman"/>
          <w:lang w:val="en-HK"/>
        </w:rPr>
        <w:t>, leaving vehicles on display in a showroom arguably created the appearance of authority to sell. Bridge would advocate for estoppel to apply in such cases, as this aligns with reasonable commercial expectations.</w:t>
      </w:r>
    </w:p>
    <w:p w14:paraId="398FF4A6" w14:textId="77777777" w:rsidR="00AF5541" w:rsidRPr="00823094" w:rsidRDefault="00AF5541" w:rsidP="00823094">
      <w:pPr>
        <w:spacing w:before="100" w:beforeAutospacing="1" w:after="100" w:afterAutospacing="1" w:line="360" w:lineRule="auto"/>
        <w:outlineLvl w:val="3"/>
        <w:rPr>
          <w:rFonts w:ascii="Times New Roman" w:hAnsi="Times New Roman"/>
          <w:b/>
          <w:bCs/>
          <w:lang w:val="en-HK"/>
        </w:rPr>
      </w:pPr>
      <w:r w:rsidRPr="00823094">
        <w:rPr>
          <w:rFonts w:ascii="Times New Roman" w:hAnsi="Times New Roman"/>
          <w:b/>
          <w:bCs/>
          <w:lang w:val="en-HK"/>
        </w:rPr>
        <w:t>5. Presumption of Owner Culpability</w:t>
      </w:r>
    </w:p>
    <w:p w14:paraId="62A94438" w14:textId="77777777" w:rsidR="00AF5541" w:rsidRPr="00823094" w:rsidRDefault="00AF5541"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Bridge’s Suggestion:</w:t>
      </w:r>
      <w:r w:rsidRPr="00823094">
        <w:rPr>
          <w:rFonts w:ascii="Times New Roman" w:hAnsi="Times New Roman"/>
          <w:lang w:val="en-HK"/>
        </w:rPr>
        <w:t xml:space="preserve"> Courts should adopt a rebuttable presumption of owner culpability where their actions or inactions facilitated the rogue’s apparent authority. This shifts the focus from the nemo </w:t>
      </w:r>
      <w:proofErr w:type="spellStart"/>
      <w:r w:rsidRPr="00823094">
        <w:rPr>
          <w:rFonts w:ascii="Times New Roman" w:hAnsi="Times New Roman"/>
          <w:lang w:val="en-HK"/>
        </w:rPr>
        <w:t>dat</w:t>
      </w:r>
      <w:proofErr w:type="spellEnd"/>
      <w:r w:rsidRPr="00823094">
        <w:rPr>
          <w:rFonts w:ascii="Times New Roman" w:hAnsi="Times New Roman"/>
          <w:lang w:val="en-HK"/>
        </w:rPr>
        <w:t xml:space="preserve"> principle to a fairness-based approach that evaluates the relative positions of the owner and purchaser.</w:t>
      </w:r>
    </w:p>
    <w:p w14:paraId="12AAFB54" w14:textId="77777777" w:rsidR="00AF5541" w:rsidRPr="00823094" w:rsidRDefault="00AF5541"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Implementation:</w:t>
      </w:r>
    </w:p>
    <w:p w14:paraId="447876F8" w14:textId="77777777" w:rsidR="00AF5541" w:rsidRPr="00823094" w:rsidRDefault="00AF5541"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Require owners to demonstrate proactive measures taken to safeguard their goods or title.</w:t>
      </w:r>
    </w:p>
    <w:p w14:paraId="5C78DD70" w14:textId="77777777" w:rsidR="00AF5541" w:rsidRPr="00823094" w:rsidRDefault="00AF5541"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Broaden estoppel to cover cases where the owner’s passive conduct (e.g., failing to register an interest, monitor transactions, or verify possession) played a role in enabling fraud.</w:t>
      </w:r>
    </w:p>
    <w:p w14:paraId="23D3E742" w14:textId="77777777" w:rsidR="00AF5541" w:rsidRPr="00823094" w:rsidRDefault="002B59B5" w:rsidP="00823094">
      <w:pPr>
        <w:spacing w:line="360" w:lineRule="auto"/>
        <w:rPr>
          <w:rFonts w:ascii="Times New Roman" w:hAnsi="Times New Roman"/>
          <w:lang w:val="en-HK"/>
        </w:rPr>
      </w:pPr>
      <w:r w:rsidRPr="002B59B5">
        <w:rPr>
          <w:rFonts w:ascii="Times New Roman" w:hAnsi="Times New Roman"/>
          <w:noProof/>
          <w:lang w:val="en-HK"/>
          <w14:ligatures w14:val="standardContextual"/>
        </w:rPr>
        <w:pict w14:anchorId="6ADC6EB4">
          <v:rect id="_x0000_i1043" alt="" style="width:451.3pt;height:.05pt;mso-width-percent:0;mso-height-percent:0;mso-width-percent:0;mso-height-percent:0" o:hralign="center" o:hrstd="t" o:hr="t" fillcolor="#a0a0a0" stroked="f"/>
        </w:pict>
      </w:r>
    </w:p>
    <w:p w14:paraId="135B9317" w14:textId="77777777" w:rsidR="00AF5541" w:rsidRPr="00823094" w:rsidRDefault="00AF5541" w:rsidP="00823094">
      <w:pPr>
        <w:spacing w:before="100" w:beforeAutospacing="1" w:after="100" w:afterAutospacing="1" w:line="360" w:lineRule="auto"/>
        <w:outlineLvl w:val="2"/>
        <w:rPr>
          <w:rFonts w:ascii="Times New Roman" w:hAnsi="Times New Roman"/>
          <w:b/>
          <w:bCs/>
          <w:lang w:val="en-HK"/>
        </w:rPr>
      </w:pPr>
      <w:r w:rsidRPr="00823094">
        <w:rPr>
          <w:rFonts w:ascii="Times New Roman" w:hAnsi="Times New Roman"/>
          <w:b/>
          <w:bCs/>
          <w:lang w:val="en-HK"/>
        </w:rPr>
        <w:t>Bridge’s Ultimate Goal</w:t>
      </w:r>
    </w:p>
    <w:p w14:paraId="3B26911A" w14:textId="77777777" w:rsidR="00AF5541" w:rsidRPr="00823094" w:rsidRDefault="00AF5541"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 xml:space="preserve">Bridge’s overarching argument supports </w:t>
      </w:r>
      <w:r w:rsidRPr="00823094">
        <w:rPr>
          <w:rFonts w:ascii="Times New Roman" w:hAnsi="Times New Roman"/>
          <w:b/>
          <w:bCs/>
          <w:lang w:val="en-HK"/>
        </w:rPr>
        <w:t>a more equitable loss allocation between innocent purchasers and owners</w:t>
      </w:r>
      <w:r w:rsidRPr="00823094">
        <w:rPr>
          <w:rFonts w:ascii="Times New Roman" w:hAnsi="Times New Roman"/>
          <w:lang w:val="en-HK"/>
        </w:rPr>
        <w:t>:</w:t>
      </w:r>
    </w:p>
    <w:p w14:paraId="519971AE" w14:textId="77777777" w:rsidR="00AF5541" w:rsidRPr="00823094" w:rsidRDefault="00AF5541" w:rsidP="00823094">
      <w:pPr>
        <w:numPr>
          <w:ilvl w:val="1"/>
          <w:numId w:val="34"/>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Current law often penalizes good faith purchasers while overly protecting owners who may have contributed to the fraudulent appearance of authority.</w:t>
      </w:r>
    </w:p>
    <w:p w14:paraId="06AAF4E2" w14:textId="77777777" w:rsidR="00AF5541" w:rsidRPr="00823094" w:rsidRDefault="00AF5541" w:rsidP="00823094">
      <w:pPr>
        <w:numPr>
          <w:ilvl w:val="1"/>
          <w:numId w:val="34"/>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Broadening estoppel ensures outcomes that better reflect the practicalities of modern commerce while still upholding the principles of fairness and justice.</w:t>
      </w:r>
    </w:p>
    <w:p w14:paraId="1D1ACF89" w14:textId="4BE5720E" w:rsidR="00095BC2" w:rsidRPr="00823094" w:rsidRDefault="00AF5541"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 xml:space="preserve">Based on Riley’s interpretation of Bridge’s work, </w:t>
      </w:r>
      <w:r w:rsidRPr="00823094">
        <w:rPr>
          <w:rFonts w:ascii="Times New Roman" w:hAnsi="Times New Roman"/>
          <w:b/>
          <w:bCs/>
          <w:lang w:val="en-HK"/>
        </w:rPr>
        <w:t>estoppel should extend beyond explicit representations to include implied conduct, negligent omissions, and broader indicia of title within the context of commercial transactions.</w:t>
      </w:r>
      <w:r w:rsidRPr="00823094">
        <w:rPr>
          <w:rFonts w:ascii="Times New Roman" w:hAnsi="Times New Roman"/>
          <w:lang w:val="en-HK"/>
        </w:rPr>
        <w:t xml:space="preserve"> It should also incorporate commercial </w:t>
      </w:r>
      <w:r w:rsidRPr="00823094">
        <w:rPr>
          <w:rFonts w:ascii="Times New Roman" w:hAnsi="Times New Roman"/>
          <w:lang w:val="en-HK"/>
        </w:rPr>
        <w:lastRenderedPageBreak/>
        <w:t xml:space="preserve">realities, ensuring fairness while holding owners accountable for their role in creating fraudulent circumstances. This approach balances the nemo </w:t>
      </w:r>
      <w:proofErr w:type="spellStart"/>
      <w:r w:rsidRPr="00823094">
        <w:rPr>
          <w:rFonts w:ascii="Times New Roman" w:hAnsi="Times New Roman"/>
          <w:lang w:val="en-HK"/>
        </w:rPr>
        <w:t>dat</w:t>
      </w:r>
      <w:proofErr w:type="spellEnd"/>
      <w:r w:rsidRPr="00823094">
        <w:rPr>
          <w:rFonts w:ascii="Times New Roman" w:hAnsi="Times New Roman"/>
          <w:lang w:val="en-HK"/>
        </w:rPr>
        <w:t xml:space="preserve"> principle with equitable outcomes for innocent purchasers.</w:t>
      </w:r>
    </w:p>
    <w:p w14:paraId="1F9DC6BE" w14:textId="1C5B7AA8" w:rsidR="005002F7" w:rsidRPr="00823094" w:rsidRDefault="00662C03"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 xml:space="preserve">2. </w:t>
      </w:r>
      <w:r w:rsidR="005002F7" w:rsidRPr="00823094">
        <w:rPr>
          <w:rFonts w:ascii="Times New Roman" w:hAnsi="Times New Roman"/>
          <w:lang w:val="en-HK"/>
        </w:rPr>
        <w:t xml:space="preserve">Criticizes courts for excessive deference to nemo </w:t>
      </w:r>
      <w:proofErr w:type="spellStart"/>
      <w:r w:rsidR="005002F7" w:rsidRPr="00823094">
        <w:rPr>
          <w:rFonts w:ascii="Times New Roman" w:hAnsi="Times New Roman"/>
          <w:lang w:val="en-HK"/>
        </w:rPr>
        <w:t>dat</w:t>
      </w:r>
      <w:proofErr w:type="spellEnd"/>
      <w:r w:rsidR="005002F7" w:rsidRPr="00823094">
        <w:rPr>
          <w:rFonts w:ascii="Times New Roman" w:hAnsi="Times New Roman"/>
          <w:lang w:val="en-HK"/>
        </w:rPr>
        <w:t xml:space="preserve"> and a narrow view of "indicia of title."</w:t>
      </w:r>
    </w:p>
    <w:p w14:paraId="02DE213F"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 xml:space="preserve">Patrick </w:t>
      </w:r>
      <w:proofErr w:type="spellStart"/>
      <w:r w:rsidRPr="00823094">
        <w:rPr>
          <w:rFonts w:ascii="Times New Roman" w:hAnsi="Times New Roman"/>
          <w:b/>
          <w:bCs/>
          <w:lang w:val="en-HK"/>
        </w:rPr>
        <w:t>Atiyah</w:t>
      </w:r>
      <w:proofErr w:type="spellEnd"/>
      <w:r w:rsidRPr="00823094">
        <w:rPr>
          <w:rFonts w:ascii="Times New Roman" w:hAnsi="Times New Roman"/>
          <w:lang w:val="en-HK"/>
        </w:rPr>
        <w:t>:</w:t>
      </w:r>
    </w:p>
    <w:p w14:paraId="1EAE2689"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Supports integrating fairness and commercial reality into estoppel doctrines but acknowledges practical difficulties.</w:t>
      </w:r>
    </w:p>
    <w:p w14:paraId="1A09158A" w14:textId="77777777" w:rsidR="005002F7" w:rsidRPr="00823094" w:rsidRDefault="005002F7" w:rsidP="00823094">
      <w:pPr>
        <w:spacing w:before="100" w:beforeAutospacing="1" w:after="100" w:afterAutospacing="1" w:line="360" w:lineRule="auto"/>
        <w:outlineLvl w:val="3"/>
        <w:rPr>
          <w:rFonts w:ascii="Times New Roman" w:hAnsi="Times New Roman"/>
          <w:b/>
          <w:bCs/>
          <w:lang w:val="en-HK"/>
        </w:rPr>
      </w:pPr>
      <w:r w:rsidRPr="00823094">
        <w:rPr>
          <w:rFonts w:ascii="Times New Roman" w:hAnsi="Times New Roman"/>
          <w:b/>
          <w:bCs/>
          <w:lang w:val="en-HK"/>
        </w:rPr>
        <w:t>Comparative Analysis of Key Cases</w:t>
      </w:r>
    </w:p>
    <w:p w14:paraId="698C095A"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Henderson</w:t>
      </w:r>
      <w:r w:rsidRPr="00823094">
        <w:rPr>
          <w:rFonts w:ascii="Times New Roman" w:hAnsi="Times New Roman"/>
          <w:lang w:val="en-HK"/>
        </w:rPr>
        <w:t xml:space="preserve"> compared with </w:t>
      </w:r>
      <w:r w:rsidRPr="00823094">
        <w:rPr>
          <w:rFonts w:ascii="Times New Roman" w:hAnsi="Times New Roman"/>
          <w:b/>
          <w:bCs/>
          <w:lang w:val="en-HK"/>
        </w:rPr>
        <w:t>Farquharson Bros v King &amp; Co [1902] AC 325 (HL):</w:t>
      </w:r>
    </w:p>
    <w:p w14:paraId="3C4FA0B4"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 xml:space="preserve">In </w:t>
      </w:r>
      <w:r w:rsidRPr="00823094">
        <w:rPr>
          <w:rFonts w:ascii="Times New Roman" w:hAnsi="Times New Roman"/>
          <w:i/>
          <w:iCs/>
          <w:lang w:val="en-HK"/>
        </w:rPr>
        <w:t>Farquharson Bros</w:t>
      </w:r>
      <w:r w:rsidRPr="00823094">
        <w:rPr>
          <w:rFonts w:ascii="Times New Roman" w:hAnsi="Times New Roman"/>
          <w:lang w:val="en-HK"/>
        </w:rPr>
        <w:t>, a clerk fraudulently sold timber without authority. The House of Lords rejected estoppel, emphasizing nemo dat.</w:t>
      </w:r>
    </w:p>
    <w:p w14:paraId="55D4FF84"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Scholarly Criticism: The Court ignored the commercial realities, such as how timber is typically stored and traded, failing to account for the "indicia of property" created by the owner's conduct.</w:t>
      </w:r>
    </w:p>
    <w:p w14:paraId="675B5AE5" w14:textId="77777777" w:rsidR="005002F7" w:rsidRPr="00823094" w:rsidRDefault="005002F7" w:rsidP="00823094">
      <w:pPr>
        <w:spacing w:before="100" w:beforeAutospacing="1" w:after="100" w:afterAutospacing="1" w:line="360" w:lineRule="auto"/>
        <w:outlineLvl w:val="3"/>
        <w:rPr>
          <w:rFonts w:ascii="Times New Roman" w:hAnsi="Times New Roman"/>
          <w:b/>
          <w:bCs/>
          <w:lang w:val="en-HK"/>
        </w:rPr>
      </w:pPr>
      <w:r w:rsidRPr="00823094">
        <w:rPr>
          <w:rFonts w:ascii="Times New Roman" w:hAnsi="Times New Roman"/>
          <w:b/>
          <w:bCs/>
          <w:lang w:val="en-HK"/>
        </w:rPr>
        <w:t>Proposed Reforms</w:t>
      </w:r>
    </w:p>
    <w:p w14:paraId="36BAEB45" w14:textId="77777777" w:rsidR="005002F7" w:rsidRPr="00823094" w:rsidRDefault="005002F7" w:rsidP="00823094">
      <w:pPr>
        <w:numPr>
          <w:ilvl w:val="0"/>
          <w:numId w:val="6"/>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Broaden the estoppel doctrine to include owner conduct creating a reasonable appearance of ownership.</w:t>
      </w:r>
    </w:p>
    <w:p w14:paraId="3BE07502" w14:textId="77777777" w:rsidR="005002F7" w:rsidRPr="00823094" w:rsidRDefault="005002F7" w:rsidP="00823094">
      <w:pPr>
        <w:numPr>
          <w:ilvl w:val="0"/>
          <w:numId w:val="6"/>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Riley emphasizes culpability: If the owner’s actions contributed to the rogue’s apparent authority, fairness demands estoppel to protect the purchaser.</w:t>
      </w:r>
    </w:p>
    <w:p w14:paraId="2CF59762" w14:textId="77777777" w:rsidR="005002F7" w:rsidRPr="00823094" w:rsidRDefault="002B59B5" w:rsidP="00823094">
      <w:pPr>
        <w:spacing w:line="360" w:lineRule="auto"/>
        <w:rPr>
          <w:rFonts w:ascii="Times New Roman" w:hAnsi="Times New Roman"/>
          <w:lang w:val="en-HK"/>
        </w:rPr>
      </w:pPr>
      <w:r w:rsidRPr="002B59B5">
        <w:rPr>
          <w:rFonts w:ascii="Times New Roman" w:hAnsi="Times New Roman"/>
          <w:noProof/>
          <w:lang w:val="en-HK"/>
          <w14:ligatures w14:val="standardContextual"/>
        </w:rPr>
        <w:pict w14:anchorId="3AD3D9C8">
          <v:rect id="_x0000_i1042" alt="" style="width:451.3pt;height:.05pt;mso-width-percent:0;mso-height-percent:0;mso-width-percent:0;mso-height-percent:0" o:hralign="center" o:hrstd="t" o:hr="t" fillcolor="#a0a0a0" stroked="f"/>
        </w:pict>
      </w:r>
    </w:p>
    <w:p w14:paraId="64BD5348" w14:textId="77777777" w:rsidR="005002F7" w:rsidRPr="00823094" w:rsidRDefault="005002F7" w:rsidP="00823094">
      <w:pPr>
        <w:spacing w:before="100" w:beforeAutospacing="1" w:after="100" w:afterAutospacing="1" w:line="360" w:lineRule="auto"/>
        <w:outlineLvl w:val="2"/>
        <w:rPr>
          <w:rFonts w:ascii="Times New Roman" w:hAnsi="Times New Roman"/>
          <w:b/>
          <w:bCs/>
          <w:lang w:val="en-HK"/>
        </w:rPr>
      </w:pPr>
      <w:r w:rsidRPr="00823094">
        <w:rPr>
          <w:rFonts w:ascii="Times New Roman" w:hAnsi="Times New Roman"/>
          <w:b/>
          <w:bCs/>
          <w:lang w:val="en-HK"/>
        </w:rPr>
        <w:t>III. Mercantile Agents</w:t>
      </w:r>
    </w:p>
    <w:p w14:paraId="4E30D256" w14:textId="77777777" w:rsidR="005002F7" w:rsidRPr="00823094" w:rsidRDefault="005002F7" w:rsidP="00823094">
      <w:pPr>
        <w:spacing w:before="100" w:beforeAutospacing="1" w:after="100" w:afterAutospacing="1" w:line="360" w:lineRule="auto"/>
        <w:outlineLvl w:val="3"/>
        <w:rPr>
          <w:rFonts w:ascii="Times New Roman" w:hAnsi="Times New Roman"/>
          <w:b/>
          <w:bCs/>
          <w:lang w:val="en-HK"/>
        </w:rPr>
      </w:pPr>
      <w:r w:rsidRPr="00823094">
        <w:rPr>
          <w:rFonts w:ascii="Times New Roman" w:hAnsi="Times New Roman"/>
          <w:b/>
          <w:bCs/>
          <w:lang w:val="en-HK"/>
        </w:rPr>
        <w:t>Legal Framework</w:t>
      </w:r>
    </w:p>
    <w:p w14:paraId="42021DA3"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 xml:space="preserve">Sales by mercantile agents are exempted from nemo </w:t>
      </w:r>
      <w:proofErr w:type="spellStart"/>
      <w:r w:rsidRPr="00823094">
        <w:rPr>
          <w:rFonts w:ascii="Times New Roman" w:hAnsi="Times New Roman"/>
          <w:lang w:val="en-HK"/>
        </w:rPr>
        <w:t>dat</w:t>
      </w:r>
      <w:proofErr w:type="spellEnd"/>
      <w:r w:rsidRPr="00823094">
        <w:rPr>
          <w:rFonts w:ascii="Times New Roman" w:hAnsi="Times New Roman"/>
          <w:lang w:val="en-HK"/>
        </w:rPr>
        <w:t xml:space="preserve"> under:</w:t>
      </w:r>
    </w:p>
    <w:p w14:paraId="09533DAA" w14:textId="77777777" w:rsidR="00662C03"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lastRenderedPageBreak/>
        <w:t>Section 2(1) of the Factors Act 1889</w:t>
      </w:r>
      <w:r w:rsidRPr="00823094">
        <w:rPr>
          <w:rFonts w:ascii="Times New Roman" w:hAnsi="Times New Roman"/>
          <w:lang w:val="en-HK"/>
        </w:rPr>
        <w:t>:</w:t>
      </w:r>
    </w:p>
    <w:p w14:paraId="5598D09E" w14:textId="4F04E1B2" w:rsidR="00662C03" w:rsidRPr="00823094" w:rsidRDefault="00662C03" w:rsidP="00823094">
      <w:pPr>
        <w:spacing w:before="100" w:beforeAutospacing="1" w:after="100" w:afterAutospacing="1" w:line="360" w:lineRule="auto"/>
        <w:rPr>
          <w:rFonts w:ascii="Times New Roman" w:hAnsi="Times New Roman"/>
          <w:lang w:val="en-HK"/>
        </w:rPr>
      </w:pPr>
      <w:r w:rsidRPr="00823094">
        <w:rPr>
          <w:rFonts w:ascii="Times New Roman" w:hAnsi="Times New Roman"/>
        </w:rPr>
        <w:t xml:space="preserve">[W]here a mercantile agent is, with the consent of the owner, in possession of goods or of the documents of title to goods, any sale, pledge, or other disposition of the goods, made </w:t>
      </w:r>
      <w:r w:rsidRPr="00823094">
        <w:rPr>
          <w:rFonts w:ascii="Times New Roman" w:hAnsi="Times New Roman"/>
          <w:b/>
          <w:bCs/>
        </w:rPr>
        <w:t xml:space="preserve">by </w:t>
      </w:r>
      <w:r w:rsidRPr="00823094">
        <w:rPr>
          <w:rFonts w:ascii="Times New Roman" w:hAnsi="Times New Roman"/>
        </w:rPr>
        <w:t xml:space="preserve">him when acting in the ordinary course of business of a mercantile agent, shall, subject to the provisions of this Act, be as valid as if he were expressly authorised </w:t>
      </w:r>
      <w:r w:rsidRPr="00823094">
        <w:rPr>
          <w:rFonts w:ascii="Times New Roman" w:hAnsi="Times New Roman"/>
          <w:b/>
          <w:bCs/>
        </w:rPr>
        <w:t xml:space="preserve">by </w:t>
      </w:r>
      <w:r w:rsidRPr="00823094">
        <w:rPr>
          <w:rFonts w:ascii="Times New Roman" w:hAnsi="Times New Roman"/>
        </w:rPr>
        <w:t xml:space="preserve">the owner of the goods to make the same; provided that the person taking under the disposition acts in good faith, and has not at the time of the disposition notice that the person making the disposition has not authority to make the same. </w:t>
      </w:r>
    </w:p>
    <w:p w14:paraId="031C1E75" w14:textId="68BEDE8D" w:rsidR="005002F7" w:rsidRPr="00823094" w:rsidRDefault="00662C03"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 xml:space="preserve">1. </w:t>
      </w:r>
      <w:r w:rsidR="005002F7" w:rsidRPr="00823094">
        <w:rPr>
          <w:rFonts w:ascii="Times New Roman" w:hAnsi="Times New Roman"/>
          <w:lang w:val="en-HK"/>
        </w:rPr>
        <w:t>A mercantile agent, with the owner’s consent, can sell or dispose of goods in the ordinary course of business, binding the owner.</w:t>
      </w:r>
    </w:p>
    <w:p w14:paraId="68C9140A" w14:textId="41FE5DF4" w:rsidR="005002F7" w:rsidRPr="00823094" w:rsidRDefault="00662C03"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 xml:space="preserve">2. </w:t>
      </w:r>
      <w:r w:rsidR="005002F7" w:rsidRPr="00823094">
        <w:rPr>
          <w:rFonts w:ascii="Times New Roman" w:hAnsi="Times New Roman"/>
          <w:lang w:val="en-HK"/>
        </w:rPr>
        <w:t>The purchaser must act in good faith without notice of the agent’s lack of authority.</w:t>
      </w:r>
    </w:p>
    <w:p w14:paraId="0512C3EB"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Requirements:</w:t>
      </w:r>
    </w:p>
    <w:p w14:paraId="3BF2B14A" w14:textId="77777777" w:rsidR="005002F7" w:rsidRPr="00823094" w:rsidRDefault="005002F7" w:rsidP="00823094">
      <w:pPr>
        <w:numPr>
          <w:ilvl w:val="2"/>
          <w:numId w:val="7"/>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Agent must possess goods or title documents.</w:t>
      </w:r>
    </w:p>
    <w:p w14:paraId="68883015" w14:textId="77777777" w:rsidR="005002F7" w:rsidRPr="00823094" w:rsidRDefault="005002F7" w:rsidP="00823094">
      <w:pPr>
        <w:numPr>
          <w:ilvl w:val="2"/>
          <w:numId w:val="7"/>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Owner’s consent is presumed unless clearly rebutted.</w:t>
      </w:r>
    </w:p>
    <w:p w14:paraId="4BA98B6A" w14:textId="77777777" w:rsidR="005002F7" w:rsidRPr="00823094" w:rsidRDefault="005002F7" w:rsidP="00823094">
      <w:pPr>
        <w:numPr>
          <w:ilvl w:val="2"/>
          <w:numId w:val="7"/>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Disposition must occur in the ordinary course of the agent’s business.</w:t>
      </w:r>
    </w:p>
    <w:p w14:paraId="42565007" w14:textId="77777777" w:rsidR="005002F7" w:rsidRPr="00823094" w:rsidRDefault="002B59B5" w:rsidP="00823094">
      <w:pPr>
        <w:spacing w:line="360" w:lineRule="auto"/>
        <w:rPr>
          <w:rFonts w:ascii="Times New Roman" w:hAnsi="Times New Roman"/>
          <w:lang w:val="en-HK"/>
        </w:rPr>
      </w:pPr>
      <w:r w:rsidRPr="002B59B5">
        <w:rPr>
          <w:rFonts w:ascii="Times New Roman" w:hAnsi="Times New Roman"/>
          <w:noProof/>
          <w:lang w:val="en-HK"/>
          <w14:ligatures w14:val="standardContextual"/>
        </w:rPr>
        <w:pict w14:anchorId="6C569463">
          <v:rect id="_x0000_i1041" alt="" style="width:451.3pt;height:.05pt;mso-width-percent:0;mso-height-percent:0;mso-width-percent:0;mso-height-percent:0" o:hralign="center" o:hrstd="t" o:hr="t" fillcolor="#a0a0a0" stroked="f"/>
        </w:pict>
      </w:r>
    </w:p>
    <w:p w14:paraId="0448F350" w14:textId="77777777" w:rsidR="005002F7" w:rsidRPr="00823094" w:rsidRDefault="005002F7" w:rsidP="00823094">
      <w:pPr>
        <w:spacing w:before="100" w:beforeAutospacing="1" w:after="100" w:afterAutospacing="1" w:line="360" w:lineRule="auto"/>
        <w:outlineLvl w:val="3"/>
        <w:rPr>
          <w:rFonts w:ascii="Times New Roman" w:hAnsi="Times New Roman"/>
          <w:b/>
          <w:bCs/>
          <w:lang w:val="en-HK"/>
        </w:rPr>
      </w:pPr>
      <w:r w:rsidRPr="00823094">
        <w:rPr>
          <w:rFonts w:ascii="Times New Roman" w:hAnsi="Times New Roman"/>
          <w:b/>
          <w:bCs/>
          <w:lang w:val="en-HK"/>
        </w:rPr>
        <w:t>Key Cases and Analysis</w:t>
      </w:r>
    </w:p>
    <w:p w14:paraId="7DAB0493" w14:textId="77777777" w:rsidR="005002F7" w:rsidRPr="00823094" w:rsidRDefault="005002F7" w:rsidP="00823094">
      <w:pPr>
        <w:numPr>
          <w:ilvl w:val="0"/>
          <w:numId w:val="8"/>
        </w:num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Lowther v Harris [1927] 1 KB 393 (HC):</w:t>
      </w:r>
    </w:p>
    <w:p w14:paraId="24DB644E"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Facts: An agent with a shop sold goods without authority.</w:t>
      </w:r>
    </w:p>
    <w:p w14:paraId="0FA3C334"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Ruling: The agent was deemed a mercantile agent because he operated a trading business, even if selling was unauthorized.</w:t>
      </w:r>
    </w:p>
    <w:p w14:paraId="18846494"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Importance: Clarified the broad scope of mercantile agents, including those working for a single principal.</w:t>
      </w:r>
    </w:p>
    <w:p w14:paraId="2A134E92" w14:textId="77777777" w:rsidR="005002F7" w:rsidRPr="00823094" w:rsidRDefault="005002F7" w:rsidP="00823094">
      <w:pPr>
        <w:numPr>
          <w:ilvl w:val="0"/>
          <w:numId w:val="8"/>
        </w:num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Pearson v Rose &amp; Young [1951] 1 KB 275 (CA):</w:t>
      </w:r>
    </w:p>
    <w:p w14:paraId="41B9F17C"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lastRenderedPageBreak/>
        <w:t>Facts: A car dealer sold a vehicle without the owner's consent. The registration book was missing, and the purchaser failed to notice.</w:t>
      </w:r>
    </w:p>
    <w:p w14:paraId="1571EF9A"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Ruling: The dealer acted outside the "ordinary course of business." Denning LJ highlighted that owner consent must connect to the agent’s business as a mercantile agent.</w:t>
      </w:r>
    </w:p>
    <w:p w14:paraId="4F019A58"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Scholarly Commentary:</w:t>
      </w:r>
    </w:p>
    <w:p w14:paraId="0B8B130A"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Riley</w:t>
      </w:r>
      <w:r w:rsidRPr="00823094">
        <w:rPr>
          <w:rFonts w:ascii="Times New Roman" w:hAnsi="Times New Roman"/>
          <w:lang w:val="en-HK"/>
        </w:rPr>
        <w:t xml:space="preserve"> agrees that consent to possession should imply culpability if it enables fraud.</w:t>
      </w:r>
    </w:p>
    <w:p w14:paraId="71661DC7" w14:textId="77777777" w:rsidR="005002F7" w:rsidRPr="00823094" w:rsidRDefault="005002F7" w:rsidP="00823094">
      <w:pPr>
        <w:numPr>
          <w:ilvl w:val="0"/>
          <w:numId w:val="8"/>
        </w:num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Cole v North Western Bank (1874) LR 10 CP 354:</w:t>
      </w:r>
    </w:p>
    <w:p w14:paraId="75914F81"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Facts: A warehouseman (who occasionally acted as a mercantile agent) sold stored goods without authority.</w:t>
      </w:r>
    </w:p>
    <w:p w14:paraId="62A3FD93"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Ruling: The Factors Act did not apply because the owner did not consent to possession for sale purposes.</w:t>
      </w:r>
    </w:p>
    <w:p w14:paraId="4843D807" w14:textId="77777777" w:rsidR="005002F7" w:rsidRPr="00823094" w:rsidRDefault="005002F7" w:rsidP="00823094">
      <w:pPr>
        <w:numPr>
          <w:ilvl w:val="0"/>
          <w:numId w:val="8"/>
        </w:num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Jerome v Bentley [1952] 2 All ER 114 (HC):</w:t>
      </w:r>
    </w:p>
    <w:p w14:paraId="6DC36666"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Ruling: Non-commercial possession by a private individual excluded application of the Factors Act.</w:t>
      </w:r>
    </w:p>
    <w:p w14:paraId="7C3C396F" w14:textId="77777777" w:rsidR="005002F7" w:rsidRPr="00823094" w:rsidRDefault="002B59B5" w:rsidP="00823094">
      <w:pPr>
        <w:spacing w:line="360" w:lineRule="auto"/>
        <w:rPr>
          <w:rFonts w:ascii="Times New Roman" w:hAnsi="Times New Roman"/>
          <w:lang w:val="en-HK"/>
        </w:rPr>
      </w:pPr>
      <w:r w:rsidRPr="002B59B5">
        <w:rPr>
          <w:rFonts w:ascii="Times New Roman" w:hAnsi="Times New Roman"/>
          <w:noProof/>
          <w:lang w:val="en-HK"/>
          <w14:ligatures w14:val="standardContextual"/>
        </w:rPr>
        <w:pict w14:anchorId="508785C9">
          <v:rect id="_x0000_i1040" alt="" style="width:451.3pt;height:.05pt;mso-width-percent:0;mso-height-percent:0;mso-width-percent:0;mso-height-percent:0" o:hralign="center" o:hrstd="t" o:hr="t" fillcolor="#a0a0a0" stroked="f"/>
        </w:pict>
      </w:r>
    </w:p>
    <w:p w14:paraId="2D744432" w14:textId="77777777" w:rsidR="005002F7" w:rsidRPr="00823094" w:rsidRDefault="005002F7" w:rsidP="00823094">
      <w:pPr>
        <w:spacing w:before="100" w:beforeAutospacing="1" w:after="100" w:afterAutospacing="1" w:line="360" w:lineRule="auto"/>
        <w:outlineLvl w:val="3"/>
        <w:rPr>
          <w:rFonts w:ascii="Times New Roman" w:hAnsi="Times New Roman"/>
          <w:b/>
          <w:bCs/>
          <w:lang w:val="en-HK"/>
        </w:rPr>
      </w:pPr>
      <w:r w:rsidRPr="00823094">
        <w:rPr>
          <w:rFonts w:ascii="Times New Roman" w:hAnsi="Times New Roman"/>
          <w:b/>
          <w:bCs/>
          <w:lang w:val="en-HK"/>
        </w:rPr>
        <w:t>Scholarly Opinions</w:t>
      </w:r>
    </w:p>
    <w:p w14:paraId="60690927"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Riley views the mercantile agent exception as striking a fair balance between commercial certainty and owner rights. However:</w:t>
      </w:r>
    </w:p>
    <w:p w14:paraId="389118F3"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Criticism:</w:t>
      </w:r>
      <w:r w:rsidRPr="00823094">
        <w:rPr>
          <w:rFonts w:ascii="Times New Roman" w:hAnsi="Times New Roman"/>
          <w:lang w:val="en-HK"/>
        </w:rPr>
        <w:t xml:space="preserve"> The law is overly rigid, excluding nuanced cases where owners unintentionally create indicia of authority.</w:t>
      </w:r>
    </w:p>
    <w:p w14:paraId="3176FED1" w14:textId="77777777" w:rsidR="005002F7" w:rsidRPr="00823094" w:rsidRDefault="005002F7" w:rsidP="00823094">
      <w:pPr>
        <w:spacing w:before="100" w:beforeAutospacing="1" w:after="100" w:afterAutospacing="1" w:line="360" w:lineRule="auto"/>
        <w:outlineLvl w:val="3"/>
        <w:rPr>
          <w:rFonts w:ascii="Times New Roman" w:hAnsi="Times New Roman"/>
          <w:b/>
          <w:bCs/>
          <w:lang w:val="en-HK"/>
        </w:rPr>
      </w:pPr>
      <w:r w:rsidRPr="00823094">
        <w:rPr>
          <w:rFonts w:ascii="Times New Roman" w:hAnsi="Times New Roman"/>
          <w:b/>
          <w:bCs/>
          <w:lang w:val="en-HK"/>
        </w:rPr>
        <w:t>Points of Contention</w:t>
      </w:r>
    </w:p>
    <w:p w14:paraId="3D1A57EA" w14:textId="77777777" w:rsidR="005002F7" w:rsidRPr="00823094" w:rsidRDefault="005002F7" w:rsidP="00823094">
      <w:pPr>
        <w:numPr>
          <w:ilvl w:val="0"/>
          <w:numId w:val="10"/>
        </w:num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Presumption of Consent:</w:t>
      </w:r>
    </w:p>
    <w:p w14:paraId="36AB8A7E"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lastRenderedPageBreak/>
        <w:t xml:space="preserve">Section 2(4) presumes consent to possession, even if induced by fraud. This is seen as unfair in cases where owners are entirely </w:t>
      </w:r>
      <w:proofErr w:type="spellStart"/>
      <w:r w:rsidRPr="00823094">
        <w:rPr>
          <w:rFonts w:ascii="Times New Roman" w:hAnsi="Times New Roman"/>
          <w:lang w:val="en-HK"/>
        </w:rPr>
        <w:t>inculpable</w:t>
      </w:r>
      <w:proofErr w:type="spellEnd"/>
      <w:r w:rsidRPr="00823094">
        <w:rPr>
          <w:rFonts w:ascii="Times New Roman" w:hAnsi="Times New Roman"/>
          <w:lang w:val="en-HK"/>
        </w:rPr>
        <w:t>.</w:t>
      </w:r>
    </w:p>
    <w:p w14:paraId="6DECDF7C" w14:textId="77777777" w:rsidR="005002F7" w:rsidRPr="00823094" w:rsidRDefault="005002F7" w:rsidP="00823094">
      <w:pPr>
        <w:numPr>
          <w:ilvl w:val="0"/>
          <w:numId w:val="10"/>
        </w:num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Good Faith Requirement:</w:t>
      </w:r>
    </w:p>
    <w:p w14:paraId="33467E7A"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Purchasers must prove good faith under the Factors Act. Riley endorses this approach, as it is more practical than requiring owners to disprove good faith.</w:t>
      </w:r>
    </w:p>
    <w:p w14:paraId="326ECD7C" w14:textId="77777777" w:rsidR="005002F7" w:rsidRPr="00823094" w:rsidRDefault="005002F7" w:rsidP="00823094">
      <w:pPr>
        <w:spacing w:before="100" w:beforeAutospacing="1" w:after="100" w:afterAutospacing="1" w:line="360" w:lineRule="auto"/>
        <w:outlineLvl w:val="3"/>
        <w:rPr>
          <w:rFonts w:ascii="Times New Roman" w:hAnsi="Times New Roman"/>
          <w:b/>
          <w:bCs/>
          <w:lang w:val="en-HK"/>
        </w:rPr>
      </w:pPr>
      <w:r w:rsidRPr="00823094">
        <w:rPr>
          <w:rFonts w:ascii="Times New Roman" w:hAnsi="Times New Roman"/>
          <w:b/>
          <w:bCs/>
          <w:lang w:val="en-HK"/>
        </w:rPr>
        <w:t>Proposed Reforms</w:t>
      </w:r>
    </w:p>
    <w:p w14:paraId="5FCDEC9B" w14:textId="77777777" w:rsidR="005002F7" w:rsidRPr="00823094" w:rsidRDefault="005002F7" w:rsidP="00823094">
      <w:pPr>
        <w:numPr>
          <w:ilvl w:val="0"/>
          <w:numId w:val="11"/>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Expand "ordinary course of business" to include broader scenarios where purchasers reasonably rely on apparent authority.</w:t>
      </w:r>
    </w:p>
    <w:p w14:paraId="79FAD8FC" w14:textId="77777777" w:rsidR="005002F7" w:rsidRPr="00823094" w:rsidRDefault="005002F7" w:rsidP="00823094">
      <w:pPr>
        <w:numPr>
          <w:ilvl w:val="0"/>
          <w:numId w:val="11"/>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Align estoppel principles with the Factors Act to avoid inconsistent outcomes.</w:t>
      </w:r>
    </w:p>
    <w:p w14:paraId="60092F9F" w14:textId="17FB112F" w:rsidR="00662C03" w:rsidRPr="00823094" w:rsidRDefault="002B59B5" w:rsidP="00823094">
      <w:pPr>
        <w:spacing w:before="100" w:beforeAutospacing="1" w:after="100" w:afterAutospacing="1" w:line="360" w:lineRule="auto"/>
        <w:rPr>
          <w:rFonts w:ascii="Times New Roman" w:hAnsi="Times New Roman"/>
          <w:lang w:val="en-HK"/>
        </w:rPr>
      </w:pPr>
      <w:r w:rsidRPr="002B59B5">
        <w:rPr>
          <w:rFonts w:ascii="Times New Roman" w:hAnsi="Times New Roman"/>
          <w:noProof/>
          <w:lang w:val="en-HK"/>
          <w14:ligatures w14:val="standardContextual"/>
        </w:rPr>
        <w:pict w14:anchorId="15CEE9FB">
          <v:rect id="_x0000_i1039" alt="" style="width:451.3pt;height:.05pt;mso-width-percent:0;mso-height-percent:0;mso-width-percent:0;mso-height-percent:0" o:hralign="center" o:hrstd="t" o:hr="t" fillcolor="#a0a0a0" stroked="f"/>
        </w:pict>
      </w:r>
    </w:p>
    <w:p w14:paraId="1D5F8844" w14:textId="77777777" w:rsidR="005002F7" w:rsidRPr="00823094" w:rsidRDefault="005002F7" w:rsidP="00823094">
      <w:pPr>
        <w:spacing w:before="100" w:beforeAutospacing="1" w:after="100" w:afterAutospacing="1" w:line="360" w:lineRule="auto"/>
        <w:outlineLvl w:val="2"/>
        <w:rPr>
          <w:rFonts w:ascii="Times New Roman" w:hAnsi="Times New Roman"/>
          <w:b/>
          <w:bCs/>
          <w:lang w:val="en-HK"/>
        </w:rPr>
      </w:pPr>
      <w:r w:rsidRPr="00823094">
        <w:rPr>
          <w:rFonts w:ascii="Times New Roman" w:hAnsi="Times New Roman"/>
          <w:b/>
          <w:bCs/>
          <w:lang w:val="en-HK"/>
        </w:rPr>
        <w:t>IV. Voidable Title</w:t>
      </w:r>
    </w:p>
    <w:p w14:paraId="74FB5A43" w14:textId="77777777" w:rsidR="005002F7" w:rsidRPr="00823094" w:rsidRDefault="005002F7" w:rsidP="00823094">
      <w:pPr>
        <w:spacing w:before="100" w:beforeAutospacing="1" w:after="100" w:afterAutospacing="1" w:line="360" w:lineRule="auto"/>
        <w:outlineLvl w:val="3"/>
        <w:rPr>
          <w:rFonts w:ascii="Times New Roman" w:hAnsi="Times New Roman"/>
          <w:b/>
          <w:bCs/>
          <w:lang w:val="en-HK"/>
        </w:rPr>
      </w:pPr>
      <w:r w:rsidRPr="00823094">
        <w:rPr>
          <w:rFonts w:ascii="Times New Roman" w:hAnsi="Times New Roman"/>
          <w:b/>
          <w:bCs/>
          <w:lang w:val="en-HK"/>
        </w:rPr>
        <w:t>Legal Framework</w:t>
      </w:r>
    </w:p>
    <w:p w14:paraId="69C2BA11" w14:textId="77777777" w:rsidR="005002F7" w:rsidRPr="00823094" w:rsidRDefault="005002F7" w:rsidP="00823094">
      <w:pPr>
        <w:spacing w:before="100" w:beforeAutospacing="1" w:after="100" w:afterAutospacing="1" w:line="360" w:lineRule="auto"/>
        <w:rPr>
          <w:rFonts w:ascii="Times New Roman" w:hAnsi="Times New Roman"/>
          <w:color w:val="FF0000"/>
          <w:lang w:val="en-HK"/>
        </w:rPr>
      </w:pPr>
      <w:r w:rsidRPr="00823094">
        <w:rPr>
          <w:rFonts w:ascii="Times New Roman" w:hAnsi="Times New Roman"/>
          <w:b/>
          <w:bCs/>
          <w:color w:val="FF0000"/>
          <w:lang w:val="en-HK"/>
        </w:rPr>
        <w:t>Section 23 of the Sale of Goods Act 1979 (SGA):</w:t>
      </w:r>
    </w:p>
    <w:p w14:paraId="6E69166F" w14:textId="326BF88A" w:rsidR="005002F7" w:rsidRPr="00823094" w:rsidRDefault="005002F7" w:rsidP="00823094">
      <w:pPr>
        <w:spacing w:before="100" w:beforeAutospacing="1" w:after="100" w:afterAutospacing="1" w:line="360" w:lineRule="auto"/>
        <w:rPr>
          <w:rFonts w:ascii="Times New Roman" w:hAnsi="Times New Roman"/>
          <w:color w:val="000000" w:themeColor="text1"/>
          <w:lang w:val="en-HK"/>
        </w:rPr>
      </w:pPr>
      <w:r w:rsidRPr="00823094">
        <w:rPr>
          <w:rFonts w:ascii="Times New Roman" w:hAnsi="Times New Roman"/>
          <w:color w:val="000000" w:themeColor="text1"/>
          <w:lang w:val="en-HK"/>
        </w:rPr>
        <w:t xml:space="preserve">A good faith purchaser acquires good title to goods if the seller’s title is </w:t>
      </w:r>
      <w:r w:rsidRPr="00823094">
        <w:rPr>
          <w:rFonts w:ascii="Times New Roman" w:hAnsi="Times New Roman"/>
          <w:b/>
          <w:bCs/>
          <w:color w:val="000000" w:themeColor="text1"/>
          <w:lang w:val="en-HK"/>
        </w:rPr>
        <w:t>voidable</w:t>
      </w:r>
      <w:r w:rsidRPr="00823094">
        <w:rPr>
          <w:rFonts w:ascii="Times New Roman" w:hAnsi="Times New Roman"/>
          <w:color w:val="000000" w:themeColor="text1"/>
          <w:lang w:val="en-HK"/>
        </w:rPr>
        <w:t xml:space="preserve"> but has not been avoided at the time of sale.</w:t>
      </w:r>
    </w:p>
    <w:p w14:paraId="508E8E9E"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Example causes for voidable title: fraud, misrepresentation, duress, undue influence, or non-disclosure.</w:t>
      </w:r>
    </w:p>
    <w:p w14:paraId="71D34923" w14:textId="66AC412F" w:rsidR="001662AC" w:rsidRPr="00823094" w:rsidRDefault="001662AC" w:rsidP="00823094">
      <w:pPr>
        <w:spacing w:line="360" w:lineRule="auto"/>
        <w:rPr>
          <w:rFonts w:ascii="Times New Roman" w:hAnsi="Times New Roman"/>
          <w:lang w:val="en-HK"/>
        </w:rPr>
      </w:pPr>
      <w:r w:rsidRPr="00823094">
        <w:rPr>
          <w:rFonts w:ascii="Times New Roman" w:hAnsi="Times New Roman"/>
          <w:b/>
          <w:bCs/>
          <w:lang w:val="en-HK"/>
        </w:rPr>
        <w:t>1. Voidable Title:</w:t>
      </w:r>
      <w:r w:rsidRPr="00823094">
        <w:rPr>
          <w:rFonts w:ascii="Times New Roman" w:hAnsi="Times New Roman"/>
          <w:lang w:val="en-HK"/>
        </w:rPr>
        <w:t xml:space="preserve"> The seller has a legally defective title that could be </w:t>
      </w:r>
      <w:proofErr w:type="spellStart"/>
      <w:r w:rsidRPr="00823094">
        <w:rPr>
          <w:rFonts w:ascii="Times New Roman" w:hAnsi="Times New Roman"/>
          <w:lang w:val="en-HK"/>
        </w:rPr>
        <w:t>canceled</w:t>
      </w:r>
      <w:proofErr w:type="spellEnd"/>
      <w:r w:rsidRPr="00823094">
        <w:rPr>
          <w:rFonts w:ascii="Times New Roman" w:hAnsi="Times New Roman"/>
          <w:lang w:val="en-HK"/>
        </w:rPr>
        <w:t xml:space="preserve"> or avoided by the original owner. Examples include:</w:t>
      </w:r>
    </w:p>
    <w:p w14:paraId="51A9BE26" w14:textId="77777777" w:rsidR="001662AC" w:rsidRPr="00823094" w:rsidRDefault="001662AC" w:rsidP="00823094">
      <w:pPr>
        <w:numPr>
          <w:ilvl w:val="0"/>
          <w:numId w:val="45"/>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Fraud</w:t>
      </w:r>
    </w:p>
    <w:p w14:paraId="77F089FF" w14:textId="77777777" w:rsidR="001662AC" w:rsidRPr="00823094" w:rsidRDefault="001662AC" w:rsidP="00823094">
      <w:pPr>
        <w:numPr>
          <w:ilvl w:val="0"/>
          <w:numId w:val="45"/>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Misrepresentation</w:t>
      </w:r>
    </w:p>
    <w:p w14:paraId="61EB05CE" w14:textId="77777777" w:rsidR="001662AC" w:rsidRPr="00823094" w:rsidRDefault="001662AC" w:rsidP="00823094">
      <w:pPr>
        <w:numPr>
          <w:ilvl w:val="0"/>
          <w:numId w:val="45"/>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Duress</w:t>
      </w:r>
    </w:p>
    <w:p w14:paraId="104A8795" w14:textId="02E59EAD" w:rsidR="001662AC" w:rsidRPr="00823094" w:rsidRDefault="001662AC" w:rsidP="00823094">
      <w:pPr>
        <w:spacing w:line="360" w:lineRule="auto"/>
        <w:rPr>
          <w:rFonts w:ascii="Times New Roman" w:hAnsi="Times New Roman"/>
          <w:lang w:val="en-HK"/>
        </w:rPr>
      </w:pPr>
      <w:r w:rsidRPr="00823094">
        <w:rPr>
          <w:rFonts w:ascii="Times New Roman" w:hAnsi="Times New Roman"/>
          <w:b/>
          <w:bCs/>
          <w:lang w:val="en-HK"/>
        </w:rPr>
        <w:t>2. Good Title for Purchaser:</w:t>
      </w:r>
      <w:r w:rsidRPr="00823094">
        <w:rPr>
          <w:rFonts w:ascii="Times New Roman" w:hAnsi="Times New Roman"/>
          <w:lang w:val="en-HK"/>
        </w:rPr>
        <w:t xml:space="preserve"> If the original owner hasn’t acted to avoid the seller’s defective title before the goods are sold on, the new purchaser gets </w:t>
      </w:r>
      <w:r w:rsidRPr="00823094">
        <w:rPr>
          <w:rFonts w:ascii="Times New Roman" w:hAnsi="Times New Roman"/>
          <w:b/>
          <w:bCs/>
          <w:lang w:val="en-HK"/>
        </w:rPr>
        <w:t>good title</w:t>
      </w:r>
      <w:r w:rsidRPr="00823094">
        <w:rPr>
          <w:rFonts w:ascii="Times New Roman" w:hAnsi="Times New Roman"/>
          <w:lang w:val="en-HK"/>
        </w:rPr>
        <w:t>, provided:</w:t>
      </w:r>
    </w:p>
    <w:p w14:paraId="16400725" w14:textId="77777777" w:rsidR="001662AC" w:rsidRPr="00823094" w:rsidRDefault="001662AC" w:rsidP="00823094">
      <w:pPr>
        <w:numPr>
          <w:ilvl w:val="0"/>
          <w:numId w:val="46"/>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lastRenderedPageBreak/>
        <w:t xml:space="preserve">The purchaser acts in </w:t>
      </w:r>
      <w:r w:rsidRPr="00823094">
        <w:rPr>
          <w:rFonts w:ascii="Times New Roman" w:hAnsi="Times New Roman"/>
          <w:b/>
          <w:bCs/>
          <w:lang w:val="en-HK"/>
        </w:rPr>
        <w:t>good faith</w:t>
      </w:r>
      <w:r w:rsidRPr="00823094">
        <w:rPr>
          <w:rFonts w:ascii="Times New Roman" w:hAnsi="Times New Roman"/>
          <w:lang w:val="en-HK"/>
        </w:rPr>
        <w:t>.</w:t>
      </w:r>
    </w:p>
    <w:p w14:paraId="75694D49" w14:textId="7E74EC0D" w:rsidR="001662AC" w:rsidRPr="00823094" w:rsidRDefault="001662AC" w:rsidP="00823094">
      <w:pPr>
        <w:numPr>
          <w:ilvl w:val="0"/>
          <w:numId w:val="46"/>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 xml:space="preserve">The purchaser has </w:t>
      </w:r>
      <w:r w:rsidRPr="00823094">
        <w:rPr>
          <w:rFonts w:ascii="Times New Roman" w:hAnsi="Times New Roman"/>
          <w:b/>
          <w:bCs/>
          <w:lang w:val="en-HK"/>
        </w:rPr>
        <w:t>no knowledge</w:t>
      </w:r>
      <w:r w:rsidRPr="00823094">
        <w:rPr>
          <w:rFonts w:ascii="Times New Roman" w:hAnsi="Times New Roman"/>
          <w:lang w:val="en-HK"/>
        </w:rPr>
        <w:t xml:space="preserve"> of the seller's defective title.</w:t>
      </w:r>
    </w:p>
    <w:p w14:paraId="08022BA1" w14:textId="77777777" w:rsidR="005002F7" w:rsidRPr="00823094" w:rsidRDefault="005002F7" w:rsidP="00823094">
      <w:pPr>
        <w:spacing w:before="100" w:beforeAutospacing="1" w:after="100" w:afterAutospacing="1" w:line="360" w:lineRule="auto"/>
        <w:outlineLvl w:val="3"/>
        <w:rPr>
          <w:rFonts w:ascii="Times New Roman" w:hAnsi="Times New Roman"/>
          <w:b/>
          <w:bCs/>
          <w:lang w:val="en-HK"/>
        </w:rPr>
      </w:pPr>
      <w:r w:rsidRPr="00823094">
        <w:rPr>
          <w:rFonts w:ascii="Times New Roman" w:hAnsi="Times New Roman"/>
          <w:b/>
          <w:bCs/>
          <w:lang w:val="en-HK"/>
        </w:rPr>
        <w:t>Key Issues</w:t>
      </w:r>
    </w:p>
    <w:p w14:paraId="56506600"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Distinction Between Void and Voidable Title:</w:t>
      </w:r>
    </w:p>
    <w:p w14:paraId="6565F5C6"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Void title</w:t>
      </w:r>
      <w:r w:rsidRPr="00823094">
        <w:rPr>
          <w:rFonts w:ascii="Times New Roman" w:hAnsi="Times New Roman"/>
          <w:lang w:val="en-HK"/>
        </w:rPr>
        <w:t>: No legal effect; the original owner retains full rights.</w:t>
      </w:r>
    </w:p>
    <w:p w14:paraId="13929CBA"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Voidable title</w:t>
      </w:r>
      <w:r w:rsidRPr="00823094">
        <w:rPr>
          <w:rFonts w:ascii="Times New Roman" w:hAnsi="Times New Roman"/>
          <w:lang w:val="en-HK"/>
        </w:rPr>
        <w:t>: Can be affirmed or rescinded, allowing the purchaser to obtain good title if avoided too late.</w:t>
      </w:r>
    </w:p>
    <w:p w14:paraId="7A933F58"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Impact on Innocent Purchasers:</w:t>
      </w:r>
    </w:p>
    <w:p w14:paraId="7DF20083"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A fine balance exists between protecting original owners and ensuring commercial certainty for buyers.</w:t>
      </w:r>
    </w:p>
    <w:p w14:paraId="480A90DC" w14:textId="77777777" w:rsidR="005002F7" w:rsidRPr="00823094" w:rsidRDefault="002B59B5" w:rsidP="00823094">
      <w:pPr>
        <w:spacing w:line="360" w:lineRule="auto"/>
        <w:rPr>
          <w:rFonts w:ascii="Times New Roman" w:hAnsi="Times New Roman"/>
          <w:lang w:val="en-HK"/>
        </w:rPr>
      </w:pPr>
      <w:r w:rsidRPr="002B59B5">
        <w:rPr>
          <w:rFonts w:ascii="Times New Roman" w:hAnsi="Times New Roman"/>
          <w:noProof/>
          <w:lang w:val="en-HK"/>
          <w14:ligatures w14:val="standardContextual"/>
        </w:rPr>
        <w:pict w14:anchorId="3270B31C">
          <v:rect id="_x0000_i1038" alt="" style="width:451.3pt;height:.05pt;mso-width-percent:0;mso-height-percent:0;mso-width-percent:0;mso-height-percent:0" o:hralign="center" o:hrstd="t" o:hr="t" fillcolor="#a0a0a0" stroked="f"/>
        </w:pict>
      </w:r>
    </w:p>
    <w:p w14:paraId="586417B8" w14:textId="77777777" w:rsidR="005002F7" w:rsidRPr="00823094" w:rsidRDefault="005002F7" w:rsidP="00823094">
      <w:pPr>
        <w:spacing w:before="100" w:beforeAutospacing="1" w:after="100" w:afterAutospacing="1" w:line="360" w:lineRule="auto"/>
        <w:outlineLvl w:val="3"/>
        <w:rPr>
          <w:rFonts w:ascii="Times New Roman" w:hAnsi="Times New Roman"/>
          <w:b/>
          <w:bCs/>
          <w:lang w:val="en-HK"/>
        </w:rPr>
      </w:pPr>
      <w:r w:rsidRPr="00823094">
        <w:rPr>
          <w:rFonts w:ascii="Times New Roman" w:hAnsi="Times New Roman"/>
          <w:b/>
          <w:bCs/>
          <w:lang w:val="en-HK"/>
        </w:rPr>
        <w:t>Key Cases</w:t>
      </w:r>
    </w:p>
    <w:p w14:paraId="12EED8D8" w14:textId="77777777" w:rsidR="005002F7" w:rsidRPr="00823094" w:rsidRDefault="005002F7" w:rsidP="00823094">
      <w:pPr>
        <w:numPr>
          <w:ilvl w:val="0"/>
          <w:numId w:val="14"/>
        </w:num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Shogun Finance Ltd v Hudson [2004] 1 AC 919 (HL):</w:t>
      </w:r>
    </w:p>
    <w:p w14:paraId="700198A1"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Facts:</w:t>
      </w:r>
    </w:p>
    <w:p w14:paraId="0849413E" w14:textId="77777777" w:rsidR="005002F7" w:rsidRPr="00823094" w:rsidRDefault="005002F7" w:rsidP="00823094">
      <w:pPr>
        <w:numPr>
          <w:ilvl w:val="2"/>
          <w:numId w:val="14"/>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A rogue, using a false identity, entered a hire-purchase agreement with Shogun Finance and sold the vehicle to Hudson, a good faith purchaser.</w:t>
      </w:r>
    </w:p>
    <w:p w14:paraId="7D589873" w14:textId="77777777" w:rsidR="005002F7" w:rsidRPr="00823094" w:rsidRDefault="005002F7" w:rsidP="00823094">
      <w:pPr>
        <w:numPr>
          <w:ilvl w:val="2"/>
          <w:numId w:val="14"/>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The central issue was whether the rogue had void or voidable title.</w:t>
      </w:r>
    </w:p>
    <w:p w14:paraId="4ADD6512"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Decision:</w:t>
      </w:r>
    </w:p>
    <w:p w14:paraId="2A7B2F98" w14:textId="77777777" w:rsidR="005002F7" w:rsidRPr="00823094" w:rsidRDefault="005002F7" w:rsidP="00823094">
      <w:pPr>
        <w:numPr>
          <w:ilvl w:val="2"/>
          <w:numId w:val="14"/>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By a majority, the House of Lords held the contract void because the rogue misrepresented their identity via correspondence, not face-to-face.</w:t>
      </w:r>
    </w:p>
    <w:p w14:paraId="52DD9BB5" w14:textId="77777777" w:rsidR="005002F7" w:rsidRPr="00823094" w:rsidRDefault="005002F7" w:rsidP="00823094">
      <w:pPr>
        <w:numPr>
          <w:ilvl w:val="2"/>
          <w:numId w:val="14"/>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This denied Hudson good title.</w:t>
      </w:r>
    </w:p>
    <w:p w14:paraId="1AAB3F28"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Critique:</w:t>
      </w:r>
    </w:p>
    <w:p w14:paraId="36A29130" w14:textId="77777777" w:rsidR="005002F7" w:rsidRPr="00823094" w:rsidRDefault="005002F7" w:rsidP="00823094">
      <w:pPr>
        <w:numPr>
          <w:ilvl w:val="2"/>
          <w:numId w:val="14"/>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lastRenderedPageBreak/>
        <w:t>Lord Nicholls (dissenting) argued that the distinction between face-to-face and correspondence-based fraud is illogical and incentivizes fraudulent activity.</w:t>
      </w:r>
    </w:p>
    <w:p w14:paraId="15A8A5FF" w14:textId="77777777" w:rsidR="005002F7" w:rsidRPr="00823094" w:rsidRDefault="005002F7" w:rsidP="00823094">
      <w:pPr>
        <w:numPr>
          <w:ilvl w:val="2"/>
          <w:numId w:val="14"/>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Lord Millet also dissented, emphasizing that fairness required holding the finance company accountable for failing to detect the fraud.</w:t>
      </w:r>
    </w:p>
    <w:p w14:paraId="01F4ED06"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Scholarly Commentary:</w:t>
      </w:r>
    </w:p>
    <w:p w14:paraId="2C35BA4D" w14:textId="77777777" w:rsidR="005002F7" w:rsidRPr="00823094" w:rsidRDefault="005002F7" w:rsidP="00823094">
      <w:pPr>
        <w:numPr>
          <w:ilvl w:val="2"/>
          <w:numId w:val="14"/>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Riley views the majority decision as arbitrary, emphasizing that fraud should render contracts voidable irrespective of the medium (face-to-face or otherwise).</w:t>
      </w:r>
    </w:p>
    <w:p w14:paraId="2438DB84" w14:textId="77777777" w:rsidR="005002F7" w:rsidRPr="00823094" w:rsidRDefault="005002F7" w:rsidP="00823094">
      <w:pPr>
        <w:numPr>
          <w:ilvl w:val="2"/>
          <w:numId w:val="14"/>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Suggests reform to align all fraud-induced contracts under a voidable title framework for consistency.</w:t>
      </w:r>
    </w:p>
    <w:p w14:paraId="344A22A2" w14:textId="77777777" w:rsidR="005002F7" w:rsidRPr="00823094" w:rsidRDefault="005002F7" w:rsidP="00823094">
      <w:pPr>
        <w:numPr>
          <w:ilvl w:val="0"/>
          <w:numId w:val="14"/>
        </w:num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Lewis v Avery [1972] 1 QB 198 (CA):</w:t>
      </w:r>
    </w:p>
    <w:p w14:paraId="1B1F65DD"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Facts:</w:t>
      </w:r>
    </w:p>
    <w:p w14:paraId="1E938DED"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A rogue purchased a car from Lewis under a false name and sold it to Avery.</w:t>
      </w:r>
    </w:p>
    <w:p w14:paraId="1DB8913F"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The issue was whether the misrepresentation voided the contract.</w:t>
      </w:r>
    </w:p>
    <w:p w14:paraId="4CA8D0B0"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Decision:</w:t>
      </w:r>
    </w:p>
    <w:p w14:paraId="035ACFA0"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The Court of Appeal upheld that the contract was voidable, not void, allowing Avery to retain good title.</w:t>
      </w:r>
    </w:p>
    <w:p w14:paraId="4DDBDEE0"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Denning MR's Reasoning:</w:t>
      </w:r>
    </w:p>
    <w:p w14:paraId="07022898"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"When two parties have come to a contract—or what appears to be a contract—the mistaken identity does not negate the contract but makes it voidable."</w:t>
      </w:r>
    </w:p>
    <w:p w14:paraId="78DC144D"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Scholarly Analysis:</w:t>
      </w:r>
    </w:p>
    <w:p w14:paraId="2E03B9F2"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Riley</w:t>
      </w:r>
      <w:r w:rsidRPr="00823094">
        <w:rPr>
          <w:rFonts w:ascii="Times New Roman" w:hAnsi="Times New Roman"/>
          <w:lang w:val="en-HK"/>
        </w:rPr>
        <w:t xml:space="preserve"> supports Denning’s reasoning as pragmatic, balancing the interests of good faith purchasers with those of defrauded owners.</w:t>
      </w:r>
    </w:p>
    <w:p w14:paraId="60014903" w14:textId="77777777" w:rsidR="005002F7" w:rsidRPr="00823094" w:rsidRDefault="005002F7" w:rsidP="00823094">
      <w:pPr>
        <w:numPr>
          <w:ilvl w:val="0"/>
          <w:numId w:val="14"/>
        </w:num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Car and Universal Finance v Caldwell [1965] 1 QB 525 (CA):</w:t>
      </w:r>
    </w:p>
    <w:p w14:paraId="2C5AD899"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Facts:</w:t>
      </w:r>
    </w:p>
    <w:p w14:paraId="34343DA0"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lastRenderedPageBreak/>
        <w:t>Caldwell sold a car to a rogue, later attempting to rescind the contract before the car was sold on.</w:t>
      </w:r>
    </w:p>
    <w:p w14:paraId="532CE702"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Decision:</w:t>
      </w:r>
    </w:p>
    <w:p w14:paraId="7CA7274B"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The court held that Caldwell had avoided the contract by notifying authorities, despite not communicating directly with the rogue.</w:t>
      </w:r>
    </w:p>
    <w:p w14:paraId="339B53D8"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Critique:</w:t>
      </w:r>
    </w:p>
    <w:p w14:paraId="68EC5903"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While some criticize the decision for bypassing traditional notice requirements, Riley defends it as grounded in fairness and practicality.</w:t>
      </w:r>
    </w:p>
    <w:p w14:paraId="4E1FB63C" w14:textId="77777777" w:rsidR="005002F7" w:rsidRPr="00823094" w:rsidRDefault="002B59B5" w:rsidP="00823094">
      <w:pPr>
        <w:spacing w:line="360" w:lineRule="auto"/>
        <w:rPr>
          <w:rFonts w:ascii="Times New Roman" w:hAnsi="Times New Roman"/>
          <w:lang w:val="en-HK"/>
        </w:rPr>
      </w:pPr>
      <w:r w:rsidRPr="002B59B5">
        <w:rPr>
          <w:rFonts w:ascii="Times New Roman" w:hAnsi="Times New Roman"/>
          <w:noProof/>
          <w:lang w:val="en-HK"/>
          <w14:ligatures w14:val="standardContextual"/>
        </w:rPr>
        <w:pict w14:anchorId="28940D8B">
          <v:rect id="_x0000_i1037" alt="" style="width:451.3pt;height:.05pt;mso-width-percent:0;mso-height-percent:0;mso-width-percent:0;mso-height-percent:0" o:hralign="center" o:hrstd="t" o:hr="t" fillcolor="#a0a0a0" stroked="f"/>
        </w:pict>
      </w:r>
    </w:p>
    <w:p w14:paraId="319EF616" w14:textId="77777777" w:rsidR="005002F7" w:rsidRPr="00823094" w:rsidRDefault="005002F7" w:rsidP="00823094">
      <w:pPr>
        <w:spacing w:before="100" w:beforeAutospacing="1" w:after="100" w:afterAutospacing="1" w:line="360" w:lineRule="auto"/>
        <w:outlineLvl w:val="3"/>
        <w:rPr>
          <w:rFonts w:ascii="Times New Roman" w:hAnsi="Times New Roman"/>
          <w:b/>
          <w:bCs/>
          <w:lang w:val="en-HK"/>
        </w:rPr>
      </w:pPr>
      <w:r w:rsidRPr="00823094">
        <w:rPr>
          <w:rFonts w:ascii="Times New Roman" w:hAnsi="Times New Roman"/>
          <w:b/>
          <w:bCs/>
          <w:lang w:val="en-HK"/>
        </w:rPr>
        <w:t>Scholarly Critiques</w:t>
      </w:r>
    </w:p>
    <w:p w14:paraId="3A537F1D"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Riley</w:t>
      </w:r>
      <w:r w:rsidRPr="00823094">
        <w:rPr>
          <w:rFonts w:ascii="Times New Roman" w:hAnsi="Times New Roman"/>
          <w:lang w:val="en-HK"/>
        </w:rPr>
        <w:t xml:space="preserve"> critiques the </w:t>
      </w:r>
      <w:r w:rsidRPr="00823094">
        <w:rPr>
          <w:rFonts w:ascii="Times New Roman" w:hAnsi="Times New Roman"/>
          <w:b/>
          <w:bCs/>
          <w:lang w:val="en-HK"/>
        </w:rPr>
        <w:t>burden of proof</w:t>
      </w:r>
      <w:r w:rsidRPr="00823094">
        <w:rPr>
          <w:rFonts w:ascii="Times New Roman" w:hAnsi="Times New Roman"/>
          <w:lang w:val="en-HK"/>
        </w:rPr>
        <w:t xml:space="preserve"> under Section 23, where the owner must prove the buyer’s bad faith or notice of defect in title:</w:t>
      </w:r>
    </w:p>
    <w:p w14:paraId="30403C33"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Argues this rule unjustly disadvantages owners, who often lack the evidence to challenge purchasers' claims.</w:t>
      </w:r>
    </w:p>
    <w:p w14:paraId="2B524100"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 xml:space="preserve">Suggests reversing the burden of proof, requiring buyers to demonstrate good faith, as seen under the </w:t>
      </w:r>
      <w:r w:rsidRPr="00823094">
        <w:rPr>
          <w:rFonts w:ascii="Times New Roman" w:hAnsi="Times New Roman"/>
          <w:b/>
          <w:bCs/>
          <w:lang w:val="en-HK"/>
        </w:rPr>
        <w:t>Factors Act 1889.</w:t>
      </w:r>
    </w:p>
    <w:p w14:paraId="0D9479FD" w14:textId="77777777" w:rsidR="005002F7" w:rsidRPr="00823094" w:rsidRDefault="005002F7" w:rsidP="00823094">
      <w:pPr>
        <w:spacing w:before="100" w:beforeAutospacing="1" w:after="100" w:afterAutospacing="1" w:line="360" w:lineRule="auto"/>
        <w:outlineLvl w:val="3"/>
        <w:rPr>
          <w:rFonts w:ascii="Times New Roman" w:hAnsi="Times New Roman"/>
          <w:b/>
          <w:bCs/>
          <w:lang w:val="en-HK"/>
        </w:rPr>
      </w:pPr>
      <w:r w:rsidRPr="00823094">
        <w:rPr>
          <w:rFonts w:ascii="Times New Roman" w:hAnsi="Times New Roman"/>
          <w:b/>
          <w:bCs/>
          <w:lang w:val="en-HK"/>
        </w:rPr>
        <w:t>Proposed Reforms</w:t>
      </w:r>
    </w:p>
    <w:p w14:paraId="1418A259" w14:textId="77777777" w:rsidR="005002F7" w:rsidRPr="00823094" w:rsidRDefault="005002F7" w:rsidP="00823094">
      <w:pPr>
        <w:numPr>
          <w:ilvl w:val="0"/>
          <w:numId w:val="16"/>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Treat all fraud-induced contracts as voidable to eliminate arbitrary distinctions.</w:t>
      </w:r>
    </w:p>
    <w:p w14:paraId="1018F618" w14:textId="77777777" w:rsidR="005002F7" w:rsidRPr="00823094" w:rsidRDefault="005002F7" w:rsidP="00823094">
      <w:pPr>
        <w:numPr>
          <w:ilvl w:val="0"/>
          <w:numId w:val="16"/>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Reassess the burden of proof under Section 23 to protect innocent owners better.</w:t>
      </w:r>
    </w:p>
    <w:p w14:paraId="28A5AE51" w14:textId="77777777" w:rsidR="005002F7" w:rsidRPr="00823094" w:rsidRDefault="005002F7" w:rsidP="00823094">
      <w:pPr>
        <w:numPr>
          <w:ilvl w:val="0"/>
          <w:numId w:val="16"/>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Advocate for early avoidance of contracts to prevent the displacement of proprietary rights.</w:t>
      </w:r>
    </w:p>
    <w:p w14:paraId="771D2AB8" w14:textId="77777777" w:rsidR="005002F7" w:rsidRPr="00823094" w:rsidRDefault="002B59B5" w:rsidP="00823094">
      <w:pPr>
        <w:spacing w:line="360" w:lineRule="auto"/>
        <w:rPr>
          <w:rFonts w:ascii="Times New Roman" w:hAnsi="Times New Roman"/>
          <w:lang w:val="en-HK"/>
        </w:rPr>
      </w:pPr>
      <w:r w:rsidRPr="002B59B5">
        <w:rPr>
          <w:rFonts w:ascii="Times New Roman" w:hAnsi="Times New Roman"/>
          <w:noProof/>
          <w:lang w:val="en-HK"/>
          <w14:ligatures w14:val="standardContextual"/>
        </w:rPr>
        <w:pict w14:anchorId="52D85534">
          <v:rect id="_x0000_i1036" alt="" style="width:451.3pt;height:.05pt;mso-width-percent:0;mso-height-percent:0;mso-width-percent:0;mso-height-percent:0" o:hralign="center" o:hrstd="t" o:hr="t" fillcolor="#a0a0a0" stroked="f"/>
        </w:pict>
      </w:r>
    </w:p>
    <w:p w14:paraId="34FCD81E" w14:textId="77777777" w:rsidR="005002F7" w:rsidRPr="00823094" w:rsidRDefault="005002F7" w:rsidP="00823094">
      <w:pPr>
        <w:spacing w:before="100" w:beforeAutospacing="1" w:after="100" w:afterAutospacing="1" w:line="360" w:lineRule="auto"/>
        <w:outlineLvl w:val="2"/>
        <w:rPr>
          <w:rFonts w:ascii="Times New Roman" w:hAnsi="Times New Roman"/>
          <w:b/>
          <w:bCs/>
          <w:lang w:val="en-HK"/>
        </w:rPr>
      </w:pPr>
      <w:r w:rsidRPr="00823094">
        <w:rPr>
          <w:rFonts w:ascii="Times New Roman" w:hAnsi="Times New Roman"/>
          <w:b/>
          <w:bCs/>
          <w:lang w:val="en-HK"/>
        </w:rPr>
        <w:t>V. Seller or Buyer in Possession</w:t>
      </w:r>
    </w:p>
    <w:p w14:paraId="62FBD9BA" w14:textId="77777777" w:rsidR="005002F7" w:rsidRPr="00823094" w:rsidRDefault="005002F7" w:rsidP="00823094">
      <w:pPr>
        <w:spacing w:before="100" w:beforeAutospacing="1" w:after="100" w:afterAutospacing="1" w:line="360" w:lineRule="auto"/>
        <w:outlineLvl w:val="3"/>
        <w:rPr>
          <w:rFonts w:ascii="Times New Roman" w:hAnsi="Times New Roman"/>
          <w:b/>
          <w:bCs/>
          <w:lang w:val="en-HK"/>
        </w:rPr>
      </w:pPr>
      <w:r w:rsidRPr="00823094">
        <w:rPr>
          <w:rFonts w:ascii="Times New Roman" w:hAnsi="Times New Roman"/>
          <w:b/>
          <w:bCs/>
          <w:lang w:val="en-HK"/>
        </w:rPr>
        <w:t>Legal Framework</w:t>
      </w:r>
    </w:p>
    <w:p w14:paraId="1DC45C52" w14:textId="77777777" w:rsidR="007D6FEC" w:rsidRPr="00823094" w:rsidRDefault="007D6FEC" w:rsidP="00823094">
      <w:pPr>
        <w:spacing w:before="100" w:beforeAutospacing="1" w:after="100" w:afterAutospacing="1" w:line="360" w:lineRule="auto"/>
        <w:outlineLvl w:val="2"/>
        <w:rPr>
          <w:rFonts w:ascii="Times New Roman" w:hAnsi="Times New Roman"/>
          <w:b/>
          <w:bCs/>
          <w:lang w:val="en-HK"/>
        </w:rPr>
      </w:pPr>
      <w:r w:rsidRPr="00823094">
        <w:rPr>
          <w:rFonts w:ascii="Times New Roman" w:hAnsi="Times New Roman"/>
          <w:b/>
          <w:bCs/>
          <w:highlight w:val="yellow"/>
          <w:lang w:val="en-HK"/>
        </w:rPr>
        <w:lastRenderedPageBreak/>
        <w:t>1. Section 24 of the SGA</w:t>
      </w:r>
    </w:p>
    <w:p w14:paraId="11168511" w14:textId="77777777" w:rsidR="007D6FEC" w:rsidRPr="00823094" w:rsidRDefault="007D6FEC"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Textual Explanation:</w:t>
      </w:r>
    </w:p>
    <w:p w14:paraId="27FB9766" w14:textId="77777777" w:rsidR="007D6FEC" w:rsidRPr="00823094" w:rsidRDefault="007D6FEC"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w:t>
      </w:r>
      <w:r w:rsidRPr="00823094">
        <w:rPr>
          <w:rFonts w:ascii="Times New Roman" w:hAnsi="Times New Roman"/>
          <w:color w:val="FF0000"/>
          <w:lang w:val="en-HK"/>
        </w:rPr>
        <w:t>Where a person having sold goods continues or is in possession of the goods</w:t>
      </w:r>
      <w:r w:rsidRPr="00823094">
        <w:rPr>
          <w:rFonts w:ascii="Times New Roman" w:hAnsi="Times New Roman"/>
          <w:lang w:val="en-HK"/>
        </w:rPr>
        <w:t>, or of the documents of title to the goods, the delivery or transfer by that person, or by a mercantile agent acting for him, of the goods or documents of title under any sale, pledge, or other disposition thereof, to any person receiving the same in good faith and without notice of the previous sale, has the same effect as if the person making the delivery or transfer were expressly authorised by the owner of the goods to make the same</w:t>
      </w:r>
      <w:r w:rsidRPr="00823094">
        <w:rPr>
          <w:rFonts w:ascii="Times New Roman" w:hAnsi="Times New Roman"/>
          <w:color w:val="FF0000"/>
          <w:lang w:val="en-HK"/>
        </w:rPr>
        <w:t>."</w:t>
      </w:r>
    </w:p>
    <w:p w14:paraId="79EBDCB3" w14:textId="77777777" w:rsidR="007D6FEC" w:rsidRPr="00823094" w:rsidRDefault="007D6FEC"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Key Features:</w:t>
      </w:r>
    </w:p>
    <w:p w14:paraId="687EA527" w14:textId="77777777" w:rsidR="007D6FEC" w:rsidRPr="00823094" w:rsidRDefault="007D6FEC" w:rsidP="00823094">
      <w:pPr>
        <w:numPr>
          <w:ilvl w:val="1"/>
          <w:numId w:val="41"/>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 xml:space="preserve">Protects good faith purchasers in cases where the </w:t>
      </w:r>
      <w:r w:rsidRPr="00823094">
        <w:rPr>
          <w:rFonts w:ascii="Times New Roman" w:hAnsi="Times New Roman"/>
          <w:b/>
          <w:bCs/>
          <w:lang w:val="en-HK"/>
        </w:rPr>
        <w:t>seller retains possession</w:t>
      </w:r>
      <w:r w:rsidRPr="00823094">
        <w:rPr>
          <w:rFonts w:ascii="Times New Roman" w:hAnsi="Times New Roman"/>
          <w:lang w:val="en-HK"/>
        </w:rPr>
        <w:t xml:space="preserve"> of goods or title documents after a sale.</w:t>
      </w:r>
    </w:p>
    <w:p w14:paraId="5D92B92F" w14:textId="77777777" w:rsidR="007D6FEC" w:rsidRPr="00823094" w:rsidRDefault="007D6FEC" w:rsidP="00823094">
      <w:pPr>
        <w:numPr>
          <w:ilvl w:val="1"/>
          <w:numId w:val="41"/>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 xml:space="preserve">Applies </w:t>
      </w:r>
      <w:r w:rsidRPr="00823094">
        <w:rPr>
          <w:rFonts w:ascii="Times New Roman" w:hAnsi="Times New Roman"/>
          <w:b/>
          <w:bCs/>
          <w:lang w:val="en-HK"/>
        </w:rPr>
        <w:t>even if the title has already passed to another buyer</w:t>
      </w:r>
      <w:r w:rsidRPr="00823094">
        <w:rPr>
          <w:rFonts w:ascii="Times New Roman" w:hAnsi="Times New Roman"/>
          <w:lang w:val="en-HK"/>
        </w:rPr>
        <w:t xml:space="preserve"> in a prior transaction.</w:t>
      </w:r>
    </w:p>
    <w:p w14:paraId="60D72F1E" w14:textId="77777777" w:rsidR="007D6FEC" w:rsidRPr="00823094" w:rsidRDefault="007D6FEC" w:rsidP="00823094">
      <w:pPr>
        <w:numPr>
          <w:ilvl w:val="1"/>
          <w:numId w:val="41"/>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The section allows subsequent dispositions of goods to third parties in good faith, providing them with good title, subject to certain conditions.</w:t>
      </w:r>
    </w:p>
    <w:p w14:paraId="3A377315" w14:textId="77777777" w:rsidR="007D6FEC" w:rsidRPr="00823094" w:rsidRDefault="007D6FEC"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Relevant Cases:</w:t>
      </w:r>
    </w:p>
    <w:p w14:paraId="7C46B6A8" w14:textId="77777777" w:rsidR="007D6FEC" w:rsidRPr="00823094" w:rsidRDefault="007D6FEC" w:rsidP="00823094">
      <w:pPr>
        <w:spacing w:before="100" w:beforeAutospacing="1" w:after="100" w:afterAutospacing="1" w:line="360" w:lineRule="auto"/>
        <w:rPr>
          <w:rFonts w:ascii="Times New Roman" w:hAnsi="Times New Roman"/>
          <w:lang w:val="en-HK"/>
        </w:rPr>
      </w:pPr>
      <w:r w:rsidRPr="00823094">
        <w:rPr>
          <w:rFonts w:ascii="Times New Roman" w:hAnsi="Times New Roman"/>
          <w:i/>
          <w:iCs/>
          <w:lang w:val="en-HK"/>
        </w:rPr>
        <w:t>Pacific Motor Auctions v Motor Credit (Hire Finance) [1965] AC 867 (PC):</w:t>
      </w:r>
    </w:p>
    <w:p w14:paraId="3FDA368E" w14:textId="77777777" w:rsidR="007D6FEC" w:rsidRPr="00823094" w:rsidRDefault="007D6FEC"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Vehicles remained in a dealer's possession after the sale to the claimant. The dealer sold the vehicles again to a third party. Section 24 validated the second sale, prioritizing the good faith purchaser.</w:t>
      </w:r>
    </w:p>
    <w:p w14:paraId="316BB23D" w14:textId="77777777" w:rsidR="007D6FEC" w:rsidRPr="00823094" w:rsidRDefault="007D6FEC" w:rsidP="00823094">
      <w:pPr>
        <w:spacing w:before="100" w:beforeAutospacing="1" w:after="100" w:afterAutospacing="1" w:line="360" w:lineRule="auto"/>
        <w:rPr>
          <w:rFonts w:ascii="Times New Roman" w:hAnsi="Times New Roman"/>
          <w:lang w:val="en-HK"/>
        </w:rPr>
      </w:pPr>
      <w:r w:rsidRPr="00823094">
        <w:rPr>
          <w:rFonts w:ascii="Times New Roman" w:hAnsi="Times New Roman"/>
          <w:i/>
          <w:iCs/>
          <w:lang w:val="en-HK"/>
        </w:rPr>
        <w:t xml:space="preserve">City Fur Manufacturing v </w:t>
      </w:r>
      <w:proofErr w:type="spellStart"/>
      <w:r w:rsidRPr="00823094">
        <w:rPr>
          <w:rFonts w:ascii="Times New Roman" w:hAnsi="Times New Roman"/>
          <w:i/>
          <w:iCs/>
          <w:lang w:val="en-HK"/>
        </w:rPr>
        <w:t>Fureenbond</w:t>
      </w:r>
      <w:proofErr w:type="spellEnd"/>
      <w:r w:rsidRPr="00823094">
        <w:rPr>
          <w:rFonts w:ascii="Times New Roman" w:hAnsi="Times New Roman"/>
          <w:i/>
          <w:iCs/>
          <w:lang w:val="en-HK"/>
        </w:rPr>
        <w:t xml:space="preserve"> [1937] 1 All ER 799 (HC):</w:t>
      </w:r>
    </w:p>
    <w:p w14:paraId="0BA1A109" w14:textId="77777777" w:rsidR="007D6FEC" w:rsidRPr="00823094" w:rsidRDefault="007D6FEC"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Section 24 was applied to protect the rights of a good faith purchaser against the claims of the original buyer.</w:t>
      </w:r>
    </w:p>
    <w:p w14:paraId="52AB85B3" w14:textId="77777777" w:rsidR="007D6FEC" w:rsidRPr="00823094" w:rsidRDefault="007D6FEC"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Critique:</w:t>
      </w:r>
    </w:p>
    <w:p w14:paraId="1934FD0B" w14:textId="77777777" w:rsidR="007D6FEC" w:rsidRPr="00823094" w:rsidRDefault="007D6FEC"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 xml:space="preserve">Riley critiques the displacement of the nemo </w:t>
      </w:r>
      <w:proofErr w:type="spellStart"/>
      <w:r w:rsidRPr="00823094">
        <w:rPr>
          <w:rFonts w:ascii="Times New Roman" w:hAnsi="Times New Roman"/>
          <w:lang w:val="en-HK"/>
        </w:rPr>
        <w:t>dat</w:t>
      </w:r>
      <w:proofErr w:type="spellEnd"/>
      <w:r w:rsidRPr="00823094">
        <w:rPr>
          <w:rFonts w:ascii="Times New Roman" w:hAnsi="Times New Roman"/>
          <w:lang w:val="en-HK"/>
        </w:rPr>
        <w:t xml:space="preserve"> rule under Section 24 when the seller retains possession without the buyer’s explicit consent.</w:t>
      </w:r>
    </w:p>
    <w:p w14:paraId="20DC60BF" w14:textId="77777777" w:rsidR="007D6FEC" w:rsidRPr="00823094" w:rsidRDefault="007D6FEC"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lastRenderedPageBreak/>
        <w:t>Suggested Reform: Narrow the scope of Section 24 to cases where the original buyer knowingly assumes the risk of leaving the goods in the seller’s possession.</w:t>
      </w:r>
    </w:p>
    <w:p w14:paraId="41783962" w14:textId="77777777" w:rsidR="007D6FEC" w:rsidRPr="00823094" w:rsidRDefault="002B59B5" w:rsidP="00823094">
      <w:pPr>
        <w:spacing w:line="360" w:lineRule="auto"/>
        <w:rPr>
          <w:rFonts w:ascii="Times New Roman" w:hAnsi="Times New Roman"/>
          <w:lang w:val="en-HK"/>
        </w:rPr>
      </w:pPr>
      <w:r w:rsidRPr="002B59B5">
        <w:rPr>
          <w:rFonts w:ascii="Times New Roman" w:hAnsi="Times New Roman"/>
          <w:noProof/>
          <w:lang w:val="en-HK"/>
          <w14:ligatures w14:val="standardContextual"/>
        </w:rPr>
        <w:pict w14:anchorId="2F20F0D8">
          <v:rect id="_x0000_i1035" alt="" style="width:451.3pt;height:.05pt;mso-width-percent:0;mso-height-percent:0;mso-width-percent:0;mso-height-percent:0" o:hralign="center" o:hrstd="t" o:hr="t" fillcolor="#a0a0a0" stroked="f"/>
        </w:pict>
      </w:r>
    </w:p>
    <w:p w14:paraId="3C3E2EB5" w14:textId="77777777" w:rsidR="007D6FEC" w:rsidRPr="00823094" w:rsidRDefault="007D6FEC" w:rsidP="00823094">
      <w:pPr>
        <w:spacing w:before="100" w:beforeAutospacing="1" w:after="100" w:afterAutospacing="1" w:line="360" w:lineRule="auto"/>
        <w:outlineLvl w:val="2"/>
        <w:rPr>
          <w:rFonts w:ascii="Times New Roman" w:hAnsi="Times New Roman"/>
          <w:b/>
          <w:bCs/>
          <w:lang w:val="en-HK"/>
        </w:rPr>
      </w:pPr>
      <w:r w:rsidRPr="00823094">
        <w:rPr>
          <w:rFonts w:ascii="Times New Roman" w:hAnsi="Times New Roman"/>
          <w:b/>
          <w:bCs/>
          <w:highlight w:val="yellow"/>
          <w:lang w:val="en-HK"/>
        </w:rPr>
        <w:t>2. Section 25(1) of the SGA</w:t>
      </w:r>
    </w:p>
    <w:p w14:paraId="3892A1E2" w14:textId="77777777" w:rsidR="007D6FEC" w:rsidRPr="00823094" w:rsidRDefault="007D6FEC"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Textual Explanation:</w:t>
      </w:r>
    </w:p>
    <w:p w14:paraId="6C59238E" w14:textId="77777777" w:rsidR="007D6FEC" w:rsidRPr="00823094" w:rsidRDefault="007D6FEC"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 xml:space="preserve">"Where </w:t>
      </w:r>
      <w:r w:rsidRPr="00823094">
        <w:rPr>
          <w:rFonts w:ascii="Times New Roman" w:hAnsi="Times New Roman"/>
          <w:color w:val="FF0000"/>
          <w:lang w:val="en-HK"/>
        </w:rPr>
        <w:t xml:space="preserve">a person having bought or agreed to buy goods obtains, with the consent of the seller, </w:t>
      </w:r>
      <w:r w:rsidRPr="00823094">
        <w:rPr>
          <w:rFonts w:ascii="Times New Roman" w:hAnsi="Times New Roman"/>
          <w:lang w:val="en-HK"/>
        </w:rPr>
        <w:t>possession of the goods or the documents of title to the goods, the delivery or transfer by that person, or by a mercantile agent acting for him, of the goods or documents of title, under any sale, pledge, or other disposition thereof, to any person receiving the same in good faith and without notice of any lien or other right of the original seller in respect of the goods, has the same effect as if the person making the delivery or transfer were a mercantile agent in possession of the goods or documents of title with the consent of the owner."</w:t>
      </w:r>
    </w:p>
    <w:p w14:paraId="32B5F13A" w14:textId="77777777" w:rsidR="007D6FEC" w:rsidRPr="00823094" w:rsidRDefault="007D6FEC"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Key Features:</w:t>
      </w:r>
    </w:p>
    <w:p w14:paraId="08F41477" w14:textId="77777777" w:rsidR="007D6FEC" w:rsidRPr="00823094" w:rsidRDefault="007D6FEC" w:rsidP="00823094">
      <w:pPr>
        <w:pStyle w:val="ListParagraph"/>
        <w:numPr>
          <w:ilvl w:val="0"/>
          <w:numId w:val="42"/>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 xml:space="preserve">Protects good faith purchasers when the </w:t>
      </w:r>
      <w:r w:rsidRPr="00823094">
        <w:rPr>
          <w:rFonts w:ascii="Times New Roman" w:hAnsi="Times New Roman"/>
          <w:b/>
          <w:bCs/>
          <w:lang w:val="en-HK"/>
        </w:rPr>
        <w:t>buyer in possession</w:t>
      </w:r>
      <w:r w:rsidRPr="00823094">
        <w:rPr>
          <w:rFonts w:ascii="Times New Roman" w:hAnsi="Times New Roman"/>
          <w:lang w:val="en-HK"/>
        </w:rPr>
        <w:t>, with the seller's consent, resells or disposes of goods before fulfilling contractual obligations (e.g., paying the full price).</w:t>
      </w:r>
    </w:p>
    <w:p w14:paraId="16C1DD45" w14:textId="77777777" w:rsidR="007D6FEC" w:rsidRPr="00823094" w:rsidRDefault="007D6FEC" w:rsidP="00823094">
      <w:pPr>
        <w:pStyle w:val="ListParagraph"/>
        <w:numPr>
          <w:ilvl w:val="0"/>
          <w:numId w:val="42"/>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Applies to sales, pledges, or other dispositions conducted by the buyer or their agent.</w:t>
      </w:r>
    </w:p>
    <w:p w14:paraId="265250D9" w14:textId="77777777" w:rsidR="007D6FEC" w:rsidRPr="00823094" w:rsidRDefault="007D6FEC" w:rsidP="00823094">
      <w:pPr>
        <w:pStyle w:val="ListParagraph"/>
        <w:numPr>
          <w:ilvl w:val="0"/>
          <w:numId w:val="42"/>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Consent from the seller is required for the buyer to have possession, but fraudulently obtained consent does not invalidate the operation of Section 25(1).</w:t>
      </w:r>
    </w:p>
    <w:p w14:paraId="3EF451D3" w14:textId="77777777" w:rsidR="007D6FEC" w:rsidRPr="00823094" w:rsidRDefault="007D6FEC"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Relevant Cases:</w:t>
      </w:r>
    </w:p>
    <w:p w14:paraId="3DF3DFF2" w14:textId="77777777" w:rsidR="007D6FEC" w:rsidRPr="00823094" w:rsidRDefault="007D6FEC" w:rsidP="00823094">
      <w:pPr>
        <w:spacing w:before="100" w:beforeAutospacing="1" w:after="100" w:afterAutospacing="1" w:line="360" w:lineRule="auto"/>
        <w:rPr>
          <w:rFonts w:ascii="Times New Roman" w:hAnsi="Times New Roman"/>
          <w:lang w:val="en-HK"/>
        </w:rPr>
      </w:pPr>
      <w:r w:rsidRPr="00823094">
        <w:rPr>
          <w:rFonts w:ascii="Times New Roman" w:hAnsi="Times New Roman"/>
          <w:i/>
          <w:iCs/>
          <w:lang w:val="en-HK"/>
        </w:rPr>
        <w:t>Newtons of Wembley Ltd v Williams [1965] 1 QB 560 (CA):</w:t>
      </w:r>
    </w:p>
    <w:p w14:paraId="4FE32E04" w14:textId="77777777" w:rsidR="007D6FEC" w:rsidRPr="00823094" w:rsidRDefault="007D6FEC"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A rogue obtained goods fraudulently, and the original owner attempted to reclaim them after avoidance. The Court held that Section 25(1) gave good title to the subsequent good faith purchaser, despite the fraud.</w:t>
      </w:r>
    </w:p>
    <w:p w14:paraId="596926E5" w14:textId="77777777" w:rsidR="007D6FEC" w:rsidRPr="00823094" w:rsidRDefault="007D6FEC" w:rsidP="00823094">
      <w:pPr>
        <w:spacing w:before="100" w:beforeAutospacing="1" w:after="100" w:afterAutospacing="1" w:line="360" w:lineRule="auto"/>
        <w:rPr>
          <w:rFonts w:ascii="Times New Roman" w:hAnsi="Times New Roman"/>
          <w:lang w:val="en-HK"/>
        </w:rPr>
      </w:pPr>
      <w:r w:rsidRPr="00823094">
        <w:rPr>
          <w:rFonts w:ascii="Times New Roman" w:hAnsi="Times New Roman"/>
          <w:i/>
          <w:iCs/>
          <w:lang w:val="en-HK"/>
        </w:rPr>
        <w:t>Du Jardin v Beadman Brothers Ltd [1952] 2 QB 712 (HC):</w:t>
      </w:r>
    </w:p>
    <w:p w14:paraId="3205F80F" w14:textId="77777777" w:rsidR="007D6FEC" w:rsidRPr="00823094" w:rsidRDefault="007D6FEC"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lastRenderedPageBreak/>
        <w:t>Section 25(1) operated even where the buyer fraudulently obtained possession, provided the third-party purchaser acted in good faith and without notice of the fraud.</w:t>
      </w:r>
    </w:p>
    <w:p w14:paraId="2A0A1B43" w14:textId="77777777" w:rsidR="007D6FEC" w:rsidRPr="00823094" w:rsidRDefault="007D6FEC"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Critique:</w:t>
      </w:r>
    </w:p>
    <w:p w14:paraId="60C49B93" w14:textId="77777777" w:rsidR="007D6FEC" w:rsidRPr="00823094" w:rsidRDefault="007D6FEC"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 xml:space="preserve">Riley highlights the </w:t>
      </w:r>
      <w:r w:rsidRPr="00823094">
        <w:rPr>
          <w:rFonts w:ascii="Times New Roman" w:hAnsi="Times New Roman"/>
          <w:b/>
          <w:bCs/>
          <w:lang w:val="en-HK"/>
        </w:rPr>
        <w:t>primacy of commercial certainty</w:t>
      </w:r>
      <w:r w:rsidRPr="00823094">
        <w:rPr>
          <w:rFonts w:ascii="Times New Roman" w:hAnsi="Times New Roman"/>
          <w:lang w:val="en-HK"/>
        </w:rPr>
        <w:t xml:space="preserve"> under Section 25(1) but criticizes the displacement of nemo </w:t>
      </w:r>
      <w:proofErr w:type="spellStart"/>
      <w:r w:rsidRPr="00823094">
        <w:rPr>
          <w:rFonts w:ascii="Times New Roman" w:hAnsi="Times New Roman"/>
          <w:lang w:val="en-HK"/>
        </w:rPr>
        <w:t>dat</w:t>
      </w:r>
      <w:proofErr w:type="spellEnd"/>
      <w:r w:rsidRPr="00823094">
        <w:rPr>
          <w:rFonts w:ascii="Times New Roman" w:hAnsi="Times New Roman"/>
          <w:lang w:val="en-HK"/>
        </w:rPr>
        <w:t xml:space="preserve"> protections when fraud is involved.</w:t>
      </w:r>
    </w:p>
    <w:p w14:paraId="7191461E" w14:textId="77777777" w:rsidR="007D6FEC" w:rsidRPr="00823094" w:rsidRDefault="007D6FEC"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Suggested Reform: Align Section 25(1) with Section 23, prioritizing the protection of original owners in cases of fraudulent acquisition.</w:t>
      </w:r>
    </w:p>
    <w:p w14:paraId="333B5D71" w14:textId="4C28C409" w:rsidR="005002F7" w:rsidRPr="00823094" w:rsidRDefault="007F0156" w:rsidP="00823094">
      <w:pPr>
        <w:spacing w:line="360" w:lineRule="auto"/>
        <w:rPr>
          <w:rFonts w:ascii="Times New Roman" w:hAnsi="Times New Roman"/>
          <w:b/>
          <w:bCs/>
          <w:lang w:val="en-HK"/>
        </w:rPr>
      </w:pPr>
      <w:r w:rsidRPr="00823094">
        <w:rPr>
          <w:rFonts w:ascii="Times New Roman" w:hAnsi="Times New Roman"/>
          <w:b/>
          <w:bCs/>
          <w:highlight w:val="yellow"/>
          <w:lang w:val="en-HK"/>
        </w:rPr>
        <w:t>Simpler</w:t>
      </w:r>
      <w:r w:rsidRPr="00823094">
        <w:rPr>
          <w:rFonts w:ascii="Times New Roman" w:hAnsi="Times New Roman"/>
          <w:b/>
          <w:bCs/>
          <w:lang w:val="en-HK"/>
        </w:rPr>
        <w:t xml:space="preserve"> </w:t>
      </w:r>
    </w:p>
    <w:p w14:paraId="30B462D0" w14:textId="5E8494C3" w:rsidR="007F0156" w:rsidRPr="00823094" w:rsidRDefault="007F0156" w:rsidP="00823094">
      <w:pPr>
        <w:spacing w:line="360" w:lineRule="auto"/>
        <w:rPr>
          <w:rFonts w:ascii="Times New Roman" w:hAnsi="Times New Roman"/>
          <w:b/>
          <w:bCs/>
          <w:lang w:val="en-HK"/>
        </w:rPr>
      </w:pPr>
      <w:r w:rsidRPr="00823094">
        <w:rPr>
          <w:rFonts w:ascii="Times New Roman" w:hAnsi="Times New Roman"/>
        </w:rPr>
        <w:t xml:space="preserve">Both </w:t>
      </w:r>
      <w:r w:rsidRPr="00823094">
        <w:rPr>
          <w:rStyle w:val="Strong"/>
          <w:rFonts w:ascii="Times New Roman" w:eastAsiaTheme="majorEastAsia" w:hAnsi="Times New Roman"/>
        </w:rPr>
        <w:t>Section 24</w:t>
      </w:r>
      <w:r w:rsidRPr="00823094">
        <w:rPr>
          <w:rFonts w:ascii="Times New Roman" w:hAnsi="Times New Roman"/>
        </w:rPr>
        <w:t xml:space="preserve"> and </w:t>
      </w:r>
      <w:r w:rsidRPr="00823094">
        <w:rPr>
          <w:rStyle w:val="Strong"/>
          <w:rFonts w:ascii="Times New Roman" w:eastAsiaTheme="majorEastAsia" w:hAnsi="Times New Roman"/>
        </w:rPr>
        <w:t>Section 25(1)</w:t>
      </w:r>
      <w:r w:rsidRPr="00823094">
        <w:rPr>
          <w:rFonts w:ascii="Times New Roman" w:hAnsi="Times New Roman"/>
        </w:rPr>
        <w:t xml:space="preserve"> of the </w:t>
      </w:r>
      <w:r w:rsidRPr="00823094">
        <w:rPr>
          <w:rStyle w:val="Strong"/>
          <w:rFonts w:ascii="Times New Roman" w:eastAsiaTheme="majorEastAsia" w:hAnsi="Times New Roman"/>
        </w:rPr>
        <w:t>Sale of Goods Act 1979</w:t>
      </w:r>
      <w:r w:rsidRPr="00823094">
        <w:rPr>
          <w:rFonts w:ascii="Times New Roman" w:hAnsi="Times New Roman"/>
        </w:rPr>
        <w:t xml:space="preserve"> are designed to </w:t>
      </w:r>
      <w:r w:rsidRPr="00823094">
        <w:rPr>
          <w:rStyle w:val="Strong"/>
          <w:rFonts w:ascii="Times New Roman" w:eastAsiaTheme="majorEastAsia" w:hAnsi="Times New Roman"/>
        </w:rPr>
        <w:t>protect the new purchaser</w:t>
      </w:r>
      <w:r w:rsidRPr="00823094">
        <w:rPr>
          <w:rFonts w:ascii="Times New Roman" w:hAnsi="Times New Roman"/>
        </w:rPr>
        <w:t xml:space="preserve"> who buys in </w:t>
      </w:r>
      <w:r w:rsidRPr="00823094">
        <w:rPr>
          <w:rStyle w:val="Strong"/>
          <w:rFonts w:ascii="Times New Roman" w:eastAsiaTheme="majorEastAsia" w:hAnsi="Times New Roman"/>
        </w:rPr>
        <w:t>good faith</w:t>
      </w:r>
      <w:r w:rsidRPr="00823094">
        <w:rPr>
          <w:rFonts w:ascii="Times New Roman" w:hAnsi="Times New Roman"/>
        </w:rPr>
        <w:t xml:space="preserve"> and </w:t>
      </w:r>
      <w:r w:rsidRPr="00823094">
        <w:rPr>
          <w:rStyle w:val="Strong"/>
          <w:rFonts w:ascii="Times New Roman" w:eastAsiaTheme="majorEastAsia" w:hAnsi="Times New Roman"/>
        </w:rPr>
        <w:t>without knowledge of earlier claims</w:t>
      </w:r>
      <w:r w:rsidRPr="00823094">
        <w:rPr>
          <w:rFonts w:ascii="Times New Roman" w:hAnsi="Times New Roman"/>
        </w:rPr>
        <w:t>.</w:t>
      </w:r>
    </w:p>
    <w:p w14:paraId="4256F866" w14:textId="77777777" w:rsidR="007F0156" w:rsidRPr="00823094" w:rsidRDefault="007F0156" w:rsidP="00823094">
      <w:pPr>
        <w:spacing w:before="100" w:beforeAutospacing="1" w:after="100" w:afterAutospacing="1" w:line="360" w:lineRule="auto"/>
        <w:outlineLvl w:val="2"/>
        <w:rPr>
          <w:rFonts w:ascii="Times New Roman" w:hAnsi="Times New Roman"/>
          <w:b/>
          <w:bCs/>
          <w:lang w:val="en-HK"/>
        </w:rPr>
      </w:pPr>
      <w:r w:rsidRPr="00823094">
        <w:rPr>
          <w:rFonts w:ascii="Times New Roman" w:hAnsi="Times New Roman"/>
          <w:b/>
          <w:bCs/>
          <w:lang w:val="en-HK"/>
        </w:rPr>
        <w:t>Section 24:</w:t>
      </w:r>
    </w:p>
    <w:p w14:paraId="1D8437C0" w14:textId="77777777" w:rsidR="007F0156" w:rsidRPr="00823094" w:rsidRDefault="007F0156" w:rsidP="00823094">
      <w:pPr>
        <w:numPr>
          <w:ilvl w:val="0"/>
          <w:numId w:val="43"/>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 xml:space="preserve">If a </w:t>
      </w:r>
      <w:r w:rsidRPr="00823094">
        <w:rPr>
          <w:rFonts w:ascii="Times New Roman" w:hAnsi="Times New Roman"/>
          <w:b/>
          <w:bCs/>
          <w:lang w:val="en-HK"/>
        </w:rPr>
        <w:t>seller keeps possession</w:t>
      </w:r>
      <w:r w:rsidRPr="00823094">
        <w:rPr>
          <w:rFonts w:ascii="Times New Roman" w:hAnsi="Times New Roman"/>
          <w:lang w:val="en-HK"/>
        </w:rPr>
        <w:t xml:space="preserve"> of goods or their documents </w:t>
      </w:r>
      <w:r w:rsidRPr="00823094">
        <w:rPr>
          <w:rFonts w:ascii="Times New Roman" w:hAnsi="Times New Roman"/>
          <w:b/>
          <w:bCs/>
          <w:lang w:val="en-HK"/>
        </w:rPr>
        <w:t>after selling them</w:t>
      </w:r>
      <w:r w:rsidRPr="00823094">
        <w:rPr>
          <w:rFonts w:ascii="Times New Roman" w:hAnsi="Times New Roman"/>
          <w:lang w:val="en-HK"/>
        </w:rPr>
        <w:t>, they can still pass good title to a new buyer, as long as the new buyer:</w:t>
      </w:r>
    </w:p>
    <w:p w14:paraId="745B914C" w14:textId="77777777" w:rsidR="007F0156" w:rsidRPr="00823094" w:rsidRDefault="007F0156" w:rsidP="00823094">
      <w:pPr>
        <w:numPr>
          <w:ilvl w:val="1"/>
          <w:numId w:val="43"/>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 xml:space="preserve">Acts </w:t>
      </w:r>
      <w:r w:rsidRPr="00823094">
        <w:rPr>
          <w:rFonts w:ascii="Times New Roman" w:hAnsi="Times New Roman"/>
          <w:b/>
          <w:bCs/>
          <w:lang w:val="en-HK"/>
        </w:rPr>
        <w:t>in good faith</w:t>
      </w:r>
      <w:r w:rsidRPr="00823094">
        <w:rPr>
          <w:rFonts w:ascii="Times New Roman" w:hAnsi="Times New Roman"/>
          <w:lang w:val="en-HK"/>
        </w:rPr>
        <w:t>, and</w:t>
      </w:r>
    </w:p>
    <w:p w14:paraId="77E1F490" w14:textId="77777777" w:rsidR="007F0156" w:rsidRPr="00823094" w:rsidRDefault="007F0156" w:rsidP="00823094">
      <w:pPr>
        <w:numPr>
          <w:ilvl w:val="1"/>
          <w:numId w:val="43"/>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Has no knowledge of the earlier sale.</w:t>
      </w:r>
    </w:p>
    <w:p w14:paraId="32701DFE" w14:textId="77777777" w:rsidR="007F0156" w:rsidRPr="00823094" w:rsidRDefault="007F0156" w:rsidP="00823094">
      <w:pPr>
        <w:numPr>
          <w:ilvl w:val="0"/>
          <w:numId w:val="43"/>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Example: A car dealer sells a car to Buyer 1 but keeps the car in their showroom. The dealer then sells the same car to Buyer 2, who buys it in good faith. Buyer 2 gets good title.</w:t>
      </w:r>
    </w:p>
    <w:p w14:paraId="123B5F7C" w14:textId="77777777" w:rsidR="007F0156" w:rsidRPr="00823094" w:rsidRDefault="002B59B5" w:rsidP="00823094">
      <w:pPr>
        <w:spacing w:line="360" w:lineRule="auto"/>
        <w:rPr>
          <w:rFonts w:ascii="Times New Roman" w:hAnsi="Times New Roman"/>
          <w:lang w:val="en-HK"/>
        </w:rPr>
      </w:pPr>
      <w:r w:rsidRPr="002B59B5">
        <w:rPr>
          <w:rFonts w:ascii="Times New Roman" w:hAnsi="Times New Roman"/>
          <w:noProof/>
          <w:lang w:val="en-HK"/>
          <w14:ligatures w14:val="standardContextual"/>
        </w:rPr>
        <w:pict w14:anchorId="02F9C068">
          <v:rect id="_x0000_i1034" alt="" style="width:451.3pt;height:.05pt;mso-width-percent:0;mso-height-percent:0;mso-width-percent:0;mso-height-percent:0" o:hralign="center" o:hrstd="t" o:hr="t" fillcolor="#a0a0a0" stroked="f"/>
        </w:pict>
      </w:r>
    </w:p>
    <w:p w14:paraId="0ACAD318" w14:textId="77777777" w:rsidR="007F0156" w:rsidRPr="00823094" w:rsidRDefault="007F0156" w:rsidP="00823094">
      <w:pPr>
        <w:spacing w:before="100" w:beforeAutospacing="1" w:after="100" w:afterAutospacing="1" w:line="360" w:lineRule="auto"/>
        <w:outlineLvl w:val="2"/>
        <w:rPr>
          <w:rFonts w:ascii="Times New Roman" w:hAnsi="Times New Roman"/>
          <w:b/>
          <w:bCs/>
          <w:lang w:val="en-HK"/>
        </w:rPr>
      </w:pPr>
      <w:r w:rsidRPr="00823094">
        <w:rPr>
          <w:rFonts w:ascii="Times New Roman" w:hAnsi="Times New Roman"/>
          <w:b/>
          <w:bCs/>
          <w:lang w:val="en-HK"/>
        </w:rPr>
        <w:t>Section 25(1):</w:t>
      </w:r>
    </w:p>
    <w:p w14:paraId="2210F84B" w14:textId="77777777" w:rsidR="007F0156" w:rsidRPr="00823094" w:rsidRDefault="007F0156" w:rsidP="00823094">
      <w:pPr>
        <w:numPr>
          <w:ilvl w:val="0"/>
          <w:numId w:val="44"/>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 xml:space="preserve">If a </w:t>
      </w:r>
      <w:r w:rsidRPr="00823094">
        <w:rPr>
          <w:rFonts w:ascii="Times New Roman" w:hAnsi="Times New Roman"/>
          <w:b/>
          <w:bCs/>
          <w:lang w:val="en-HK"/>
        </w:rPr>
        <w:t>buyer has possession</w:t>
      </w:r>
      <w:r w:rsidRPr="00823094">
        <w:rPr>
          <w:rFonts w:ascii="Times New Roman" w:hAnsi="Times New Roman"/>
          <w:lang w:val="en-HK"/>
        </w:rPr>
        <w:t xml:space="preserve"> of goods (with the seller’s permission) but hasn’t fully paid for them yet, they can still resell the goods and pass good title to a new buyer, as long as the new buyer:</w:t>
      </w:r>
    </w:p>
    <w:p w14:paraId="00120E0C" w14:textId="77777777" w:rsidR="007F0156" w:rsidRPr="00823094" w:rsidRDefault="007F0156" w:rsidP="00823094">
      <w:pPr>
        <w:numPr>
          <w:ilvl w:val="1"/>
          <w:numId w:val="44"/>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 xml:space="preserve">Acts </w:t>
      </w:r>
      <w:r w:rsidRPr="00823094">
        <w:rPr>
          <w:rFonts w:ascii="Times New Roman" w:hAnsi="Times New Roman"/>
          <w:b/>
          <w:bCs/>
          <w:lang w:val="en-HK"/>
        </w:rPr>
        <w:t>in good faith</w:t>
      </w:r>
      <w:r w:rsidRPr="00823094">
        <w:rPr>
          <w:rFonts w:ascii="Times New Roman" w:hAnsi="Times New Roman"/>
          <w:lang w:val="en-HK"/>
        </w:rPr>
        <w:t>, and</w:t>
      </w:r>
    </w:p>
    <w:p w14:paraId="4FB189B2" w14:textId="77777777" w:rsidR="007F0156" w:rsidRPr="00823094" w:rsidRDefault="007F0156" w:rsidP="00823094">
      <w:pPr>
        <w:numPr>
          <w:ilvl w:val="1"/>
          <w:numId w:val="44"/>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Has no knowledge of the original seller’s rights (like unpaid payments).</w:t>
      </w:r>
    </w:p>
    <w:p w14:paraId="5AF28C21" w14:textId="428F74D3" w:rsidR="007F0156" w:rsidRPr="00823094" w:rsidRDefault="007F0156" w:rsidP="00823094">
      <w:pPr>
        <w:numPr>
          <w:ilvl w:val="0"/>
          <w:numId w:val="44"/>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Example: Buyer 1 gets a car from the seller on credit but hasn’t paid in full. Buyer 1 sells the car to Buyer 2 in good faith. Buyer 2 gets good title.</w:t>
      </w:r>
    </w:p>
    <w:p w14:paraId="3368B504" w14:textId="77777777" w:rsidR="005002F7" w:rsidRPr="00823094" w:rsidRDefault="002B59B5" w:rsidP="00823094">
      <w:pPr>
        <w:spacing w:line="360" w:lineRule="auto"/>
        <w:rPr>
          <w:rFonts w:ascii="Times New Roman" w:hAnsi="Times New Roman"/>
          <w:lang w:val="en-HK"/>
        </w:rPr>
      </w:pPr>
      <w:r w:rsidRPr="002B59B5">
        <w:rPr>
          <w:rFonts w:ascii="Times New Roman" w:hAnsi="Times New Roman"/>
          <w:noProof/>
          <w:lang w:val="en-HK"/>
          <w14:ligatures w14:val="standardContextual"/>
        </w:rPr>
        <w:lastRenderedPageBreak/>
        <w:pict w14:anchorId="2EA213DC">
          <v:rect id="_x0000_i1033" alt="" style="width:451.3pt;height:.05pt;mso-width-percent:0;mso-height-percent:0;mso-width-percent:0;mso-height-percent:0" o:hralign="center" o:hrstd="t" o:hr="t" fillcolor="#a0a0a0" stroked="f"/>
        </w:pict>
      </w:r>
    </w:p>
    <w:p w14:paraId="52F53989" w14:textId="77777777" w:rsidR="005002F7" w:rsidRPr="00823094" w:rsidRDefault="005002F7" w:rsidP="00823094">
      <w:pPr>
        <w:spacing w:before="100" w:beforeAutospacing="1" w:after="100" w:afterAutospacing="1" w:line="360" w:lineRule="auto"/>
        <w:outlineLvl w:val="3"/>
        <w:rPr>
          <w:rFonts w:ascii="Times New Roman" w:hAnsi="Times New Roman"/>
          <w:b/>
          <w:bCs/>
          <w:lang w:val="en-HK"/>
        </w:rPr>
      </w:pPr>
      <w:r w:rsidRPr="00823094">
        <w:rPr>
          <w:rFonts w:ascii="Times New Roman" w:hAnsi="Times New Roman"/>
          <w:b/>
          <w:bCs/>
          <w:lang w:val="en-HK"/>
        </w:rPr>
        <w:t>Key Cases</w:t>
      </w:r>
    </w:p>
    <w:p w14:paraId="24AD29DE" w14:textId="77777777" w:rsidR="005002F7" w:rsidRPr="00823094" w:rsidRDefault="005002F7" w:rsidP="00823094">
      <w:pPr>
        <w:numPr>
          <w:ilvl w:val="0"/>
          <w:numId w:val="19"/>
        </w:num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Pacific Motor Auctions v Motor Credit (Hire Finance) [1965] AC 867 (PC):</w:t>
      </w:r>
    </w:p>
    <w:p w14:paraId="222BEF1C"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Facts:</w:t>
      </w:r>
    </w:p>
    <w:p w14:paraId="0A80C743"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Vehicles remained in a dealer's showroom after disposition to the claimant, allowing the dealer to resell them to a third party.</w:t>
      </w:r>
    </w:p>
    <w:p w14:paraId="096910C3"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Decision:</w:t>
      </w:r>
    </w:p>
    <w:p w14:paraId="1EB4BDE4"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Privy Council upheld the defendant’s title under an Australian equivalent of Section 24.</w:t>
      </w:r>
    </w:p>
    <w:p w14:paraId="16E59E62"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Scholarly View:</w:t>
      </w:r>
    </w:p>
    <w:p w14:paraId="01F9E52E"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Riley</w:t>
      </w:r>
      <w:r w:rsidRPr="00823094">
        <w:rPr>
          <w:rFonts w:ascii="Times New Roman" w:hAnsi="Times New Roman"/>
          <w:lang w:val="en-HK"/>
        </w:rPr>
        <w:t xml:space="preserve"> criticizes reliance on Section 24 in such cases, suggesting broader application of estoppel principles instead to achieve fairer outcomes.</w:t>
      </w:r>
    </w:p>
    <w:p w14:paraId="6AD9C570" w14:textId="77777777" w:rsidR="005002F7" w:rsidRPr="00823094" w:rsidRDefault="005002F7" w:rsidP="00823094">
      <w:pPr>
        <w:numPr>
          <w:ilvl w:val="0"/>
          <w:numId w:val="19"/>
        </w:num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 xml:space="preserve">Worcester Works Finance v </w:t>
      </w:r>
      <w:proofErr w:type="spellStart"/>
      <w:r w:rsidRPr="00823094">
        <w:rPr>
          <w:rFonts w:ascii="Times New Roman" w:hAnsi="Times New Roman"/>
          <w:b/>
          <w:bCs/>
          <w:lang w:val="en-HK"/>
        </w:rPr>
        <w:t>Cooden</w:t>
      </w:r>
      <w:proofErr w:type="spellEnd"/>
      <w:r w:rsidRPr="00823094">
        <w:rPr>
          <w:rFonts w:ascii="Times New Roman" w:hAnsi="Times New Roman"/>
          <w:b/>
          <w:bCs/>
          <w:lang w:val="en-HK"/>
        </w:rPr>
        <w:t xml:space="preserve"> Engineering [1972] 1 QB 210 (CA):</w:t>
      </w:r>
    </w:p>
    <w:p w14:paraId="3F784E94"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Facts:</w:t>
      </w:r>
    </w:p>
    <w:p w14:paraId="056B5BF6"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Goods were resold under a hire-purchase agreement, with the seller retaining possession.</w:t>
      </w:r>
    </w:p>
    <w:p w14:paraId="02B397D4"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Ruling:</w:t>
      </w:r>
    </w:p>
    <w:p w14:paraId="3ED460FB"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Section 24 applied, validating the resale and prioritizing the good faith purchaser.</w:t>
      </w:r>
    </w:p>
    <w:p w14:paraId="7499432B" w14:textId="77777777" w:rsidR="005002F7" w:rsidRPr="00823094" w:rsidRDefault="005002F7" w:rsidP="00823094">
      <w:pPr>
        <w:numPr>
          <w:ilvl w:val="0"/>
          <w:numId w:val="19"/>
        </w:num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Newtons of Wembley Ltd v Williams [1965] 1 QB 560 (CA):</w:t>
      </w:r>
    </w:p>
    <w:p w14:paraId="36B2AC20"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Facts:</w:t>
      </w:r>
    </w:p>
    <w:p w14:paraId="7F8229DA"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A rogue obtained goods fraudulently, and the original owner sought to recover them after avoidance.</w:t>
      </w:r>
    </w:p>
    <w:p w14:paraId="3F8C956B"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Decision:</w:t>
      </w:r>
    </w:p>
    <w:p w14:paraId="0F4D0211"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lastRenderedPageBreak/>
        <w:t>Section 25(1) prevailed over Section 23, granting the purchaser good title.</w:t>
      </w:r>
    </w:p>
    <w:p w14:paraId="4421DAD7" w14:textId="77777777" w:rsidR="00823094" w:rsidRPr="00823094" w:rsidRDefault="00823094" w:rsidP="00823094">
      <w:pPr>
        <w:spacing w:before="100" w:beforeAutospacing="1" w:after="100" w:afterAutospacing="1" w:line="360" w:lineRule="auto"/>
        <w:outlineLvl w:val="2"/>
        <w:rPr>
          <w:rFonts w:ascii="Times New Roman" w:hAnsi="Times New Roman"/>
          <w:b/>
          <w:bCs/>
          <w:lang w:val="en-HK"/>
        </w:rPr>
      </w:pPr>
      <w:r w:rsidRPr="00823094">
        <w:rPr>
          <w:rFonts w:ascii="Times New Roman" w:hAnsi="Times New Roman"/>
          <w:b/>
          <w:bCs/>
          <w:lang w:val="en-HK"/>
        </w:rPr>
        <w:t>1. How Section 23 and Section 25(1) Work in Newtons</w:t>
      </w:r>
    </w:p>
    <w:p w14:paraId="61D54943" w14:textId="77777777" w:rsidR="00823094" w:rsidRPr="00823094" w:rsidRDefault="00823094" w:rsidP="00823094">
      <w:pPr>
        <w:spacing w:before="100" w:beforeAutospacing="1" w:after="100" w:afterAutospacing="1" w:line="360" w:lineRule="auto"/>
        <w:outlineLvl w:val="3"/>
        <w:rPr>
          <w:rFonts w:ascii="Times New Roman" w:hAnsi="Times New Roman"/>
          <w:b/>
          <w:bCs/>
          <w:lang w:val="en-HK"/>
        </w:rPr>
      </w:pPr>
      <w:r w:rsidRPr="00823094">
        <w:rPr>
          <w:rFonts w:ascii="Times New Roman" w:hAnsi="Times New Roman"/>
          <w:b/>
          <w:bCs/>
          <w:lang w:val="en-HK"/>
        </w:rPr>
        <w:t>Section 23:</w:t>
      </w:r>
    </w:p>
    <w:p w14:paraId="4E688367" w14:textId="77777777" w:rsidR="00823094" w:rsidRPr="00823094" w:rsidRDefault="00823094" w:rsidP="00823094">
      <w:pPr>
        <w:numPr>
          <w:ilvl w:val="0"/>
          <w:numId w:val="47"/>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 xml:space="preserve">Protects a good faith purchaser when the seller's </w:t>
      </w:r>
      <w:r w:rsidRPr="00823094">
        <w:rPr>
          <w:rFonts w:ascii="Times New Roman" w:hAnsi="Times New Roman"/>
          <w:b/>
          <w:bCs/>
          <w:lang w:val="en-HK"/>
        </w:rPr>
        <w:t>voidable title</w:t>
      </w:r>
      <w:r w:rsidRPr="00823094">
        <w:rPr>
          <w:rFonts w:ascii="Times New Roman" w:hAnsi="Times New Roman"/>
          <w:lang w:val="en-HK"/>
        </w:rPr>
        <w:t xml:space="preserve"> has not yet been avoided.</w:t>
      </w:r>
    </w:p>
    <w:p w14:paraId="1A85EE1F" w14:textId="77777777" w:rsidR="00823094" w:rsidRPr="00823094" w:rsidRDefault="00823094" w:rsidP="00823094">
      <w:pPr>
        <w:numPr>
          <w:ilvl w:val="0"/>
          <w:numId w:val="47"/>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However, if the title is avoided before the second sale, Section 23 no longer applies, and the original owner retains ownership rights.</w:t>
      </w:r>
    </w:p>
    <w:p w14:paraId="1F0CDDBA" w14:textId="77777777" w:rsidR="00823094" w:rsidRPr="00823094" w:rsidRDefault="00823094" w:rsidP="00823094">
      <w:pPr>
        <w:spacing w:before="100" w:beforeAutospacing="1" w:after="100" w:afterAutospacing="1" w:line="360" w:lineRule="auto"/>
        <w:outlineLvl w:val="3"/>
        <w:rPr>
          <w:rFonts w:ascii="Times New Roman" w:hAnsi="Times New Roman"/>
          <w:b/>
          <w:bCs/>
          <w:lang w:val="en-HK"/>
        </w:rPr>
      </w:pPr>
      <w:r w:rsidRPr="00823094">
        <w:rPr>
          <w:rFonts w:ascii="Times New Roman" w:hAnsi="Times New Roman"/>
          <w:b/>
          <w:bCs/>
          <w:lang w:val="en-HK"/>
        </w:rPr>
        <w:t>Section 25(1):</w:t>
      </w:r>
    </w:p>
    <w:p w14:paraId="4BA2E077" w14:textId="77777777" w:rsidR="00823094" w:rsidRPr="00823094" w:rsidRDefault="00823094" w:rsidP="00823094">
      <w:pPr>
        <w:numPr>
          <w:ilvl w:val="0"/>
          <w:numId w:val="48"/>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 xml:space="preserve">Protects a good faith purchaser when a </w:t>
      </w:r>
      <w:r w:rsidRPr="00823094">
        <w:rPr>
          <w:rFonts w:ascii="Times New Roman" w:hAnsi="Times New Roman"/>
          <w:b/>
          <w:bCs/>
          <w:lang w:val="en-HK"/>
        </w:rPr>
        <w:t>buyer in possession</w:t>
      </w:r>
      <w:r w:rsidRPr="00823094">
        <w:rPr>
          <w:rFonts w:ascii="Times New Roman" w:hAnsi="Times New Roman"/>
          <w:lang w:val="en-HK"/>
        </w:rPr>
        <w:t>, with the seller's consent, resells the goods.</w:t>
      </w:r>
    </w:p>
    <w:p w14:paraId="485695D8" w14:textId="33A51213" w:rsidR="00823094" w:rsidRPr="00823094" w:rsidRDefault="00823094" w:rsidP="00823094">
      <w:pPr>
        <w:numPr>
          <w:ilvl w:val="0"/>
          <w:numId w:val="48"/>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 xml:space="preserve">Even if the buyer’s title is voidable or has been avoided, Section 25(1) may still apply because the purchaser is protected as long as they buy in </w:t>
      </w:r>
      <w:r w:rsidRPr="00823094">
        <w:rPr>
          <w:rFonts w:ascii="Times New Roman" w:hAnsi="Times New Roman"/>
          <w:b/>
          <w:bCs/>
          <w:lang w:val="en-HK"/>
        </w:rPr>
        <w:t>good faith and without notice</w:t>
      </w:r>
      <w:r w:rsidRPr="00823094">
        <w:rPr>
          <w:rFonts w:ascii="Times New Roman" w:hAnsi="Times New Roman"/>
          <w:lang w:val="en-HK"/>
        </w:rPr>
        <w:t>.</w:t>
      </w:r>
    </w:p>
    <w:p w14:paraId="3CBF63CC" w14:textId="77777777" w:rsidR="00823094" w:rsidRPr="00823094" w:rsidRDefault="00823094" w:rsidP="00823094">
      <w:pPr>
        <w:spacing w:before="100" w:beforeAutospacing="1" w:after="100" w:afterAutospacing="1" w:line="360" w:lineRule="auto"/>
        <w:outlineLvl w:val="2"/>
        <w:rPr>
          <w:rFonts w:ascii="Times New Roman" w:hAnsi="Times New Roman"/>
          <w:b/>
          <w:bCs/>
          <w:lang w:val="en-HK"/>
        </w:rPr>
      </w:pPr>
      <w:r w:rsidRPr="00823094">
        <w:rPr>
          <w:rFonts w:ascii="Times New Roman" w:hAnsi="Times New Roman"/>
          <w:b/>
          <w:bCs/>
          <w:lang w:val="en-HK"/>
        </w:rPr>
        <w:t>Why Section 25(1) Prevailed</w:t>
      </w:r>
    </w:p>
    <w:p w14:paraId="15646B45" w14:textId="77777777" w:rsidR="00823094" w:rsidRPr="00823094" w:rsidRDefault="00823094"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 xml:space="preserve">In </w:t>
      </w:r>
      <w:r w:rsidRPr="00823094">
        <w:rPr>
          <w:rFonts w:ascii="Times New Roman" w:hAnsi="Times New Roman"/>
          <w:b/>
          <w:bCs/>
          <w:lang w:val="en-HK"/>
        </w:rPr>
        <w:t>Newtons of Wembley</w:t>
      </w:r>
      <w:r w:rsidRPr="00823094">
        <w:rPr>
          <w:rFonts w:ascii="Times New Roman" w:hAnsi="Times New Roman"/>
          <w:lang w:val="en-HK"/>
        </w:rPr>
        <w:t>:</w:t>
      </w:r>
    </w:p>
    <w:p w14:paraId="4873E798" w14:textId="77777777" w:rsidR="00823094" w:rsidRPr="00823094" w:rsidRDefault="00823094" w:rsidP="00823094">
      <w:pPr>
        <w:numPr>
          <w:ilvl w:val="0"/>
          <w:numId w:val="49"/>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 xml:space="preserve">A rogue fraudulently obtained goods from the original owner (creating a </w:t>
      </w:r>
      <w:r w:rsidRPr="00823094">
        <w:rPr>
          <w:rFonts w:ascii="Times New Roman" w:hAnsi="Times New Roman"/>
          <w:b/>
          <w:bCs/>
          <w:lang w:val="en-HK"/>
        </w:rPr>
        <w:t>voidable title</w:t>
      </w:r>
      <w:r w:rsidRPr="00823094">
        <w:rPr>
          <w:rFonts w:ascii="Times New Roman" w:hAnsi="Times New Roman"/>
          <w:lang w:val="en-HK"/>
        </w:rPr>
        <w:t xml:space="preserve"> under Section 23).</w:t>
      </w:r>
    </w:p>
    <w:p w14:paraId="21888E88" w14:textId="77777777" w:rsidR="00823094" w:rsidRPr="00823094" w:rsidRDefault="00823094" w:rsidP="00823094">
      <w:pPr>
        <w:numPr>
          <w:ilvl w:val="0"/>
          <w:numId w:val="49"/>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 xml:space="preserve">The original owner sought to recover the goods after </w:t>
      </w:r>
      <w:r w:rsidRPr="00823094">
        <w:rPr>
          <w:rFonts w:ascii="Times New Roman" w:hAnsi="Times New Roman"/>
          <w:b/>
          <w:bCs/>
          <w:lang w:val="en-HK"/>
        </w:rPr>
        <w:t>avoiding the title</w:t>
      </w:r>
      <w:r w:rsidRPr="00823094">
        <w:rPr>
          <w:rFonts w:ascii="Times New Roman" w:hAnsi="Times New Roman"/>
          <w:lang w:val="en-HK"/>
        </w:rPr>
        <w:t>.</w:t>
      </w:r>
    </w:p>
    <w:p w14:paraId="0ED0C8DB" w14:textId="77777777" w:rsidR="00823094" w:rsidRPr="00823094" w:rsidRDefault="00823094" w:rsidP="00823094">
      <w:pPr>
        <w:numPr>
          <w:ilvl w:val="0"/>
          <w:numId w:val="49"/>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 xml:space="preserve">Before this, the rogue resold the goods to a </w:t>
      </w:r>
      <w:r w:rsidRPr="00823094">
        <w:rPr>
          <w:rFonts w:ascii="Times New Roman" w:hAnsi="Times New Roman"/>
          <w:b/>
          <w:bCs/>
          <w:lang w:val="en-HK"/>
        </w:rPr>
        <w:t>good faith purchaser</w:t>
      </w:r>
      <w:r w:rsidRPr="00823094">
        <w:rPr>
          <w:rFonts w:ascii="Times New Roman" w:hAnsi="Times New Roman"/>
          <w:lang w:val="en-HK"/>
        </w:rPr>
        <w:t xml:space="preserve"> (protected under Section 25(1)).</w:t>
      </w:r>
    </w:p>
    <w:p w14:paraId="7AB63E0A" w14:textId="77777777" w:rsidR="00823094" w:rsidRPr="00823094" w:rsidRDefault="00823094"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 xml:space="preserve">The Court held that </w:t>
      </w:r>
      <w:r w:rsidRPr="00823094">
        <w:rPr>
          <w:rFonts w:ascii="Times New Roman" w:hAnsi="Times New Roman"/>
          <w:b/>
          <w:bCs/>
          <w:lang w:val="en-HK"/>
        </w:rPr>
        <w:t>Section 25(1) prevailed</w:t>
      </w:r>
      <w:r w:rsidRPr="00823094">
        <w:rPr>
          <w:rFonts w:ascii="Times New Roman" w:hAnsi="Times New Roman"/>
          <w:lang w:val="en-HK"/>
        </w:rPr>
        <w:t>, granting the purchaser good title, because:</w:t>
      </w:r>
    </w:p>
    <w:p w14:paraId="3C770696" w14:textId="77777777" w:rsidR="00823094" w:rsidRPr="00823094" w:rsidRDefault="00823094" w:rsidP="00823094">
      <w:pPr>
        <w:numPr>
          <w:ilvl w:val="0"/>
          <w:numId w:val="50"/>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The rogue, as a buyer in possession with the original owner's consent, resold the goods under conditions satisfying Section 25(1).</w:t>
      </w:r>
    </w:p>
    <w:p w14:paraId="060422AE" w14:textId="1313DD0B" w:rsidR="00823094" w:rsidRPr="00823094" w:rsidRDefault="00823094" w:rsidP="00823094">
      <w:pPr>
        <w:numPr>
          <w:ilvl w:val="0"/>
          <w:numId w:val="50"/>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Section 25(1) effectively bypassed the original owner's right to avoid the title under Section 23, prioritizing the new purchaser's good faith.</w:t>
      </w:r>
    </w:p>
    <w:p w14:paraId="67B314B2" w14:textId="77777777" w:rsidR="00823094" w:rsidRPr="00823094" w:rsidRDefault="00823094" w:rsidP="00823094">
      <w:pPr>
        <w:spacing w:before="100" w:beforeAutospacing="1" w:after="100" w:afterAutospacing="1" w:line="360" w:lineRule="auto"/>
        <w:outlineLvl w:val="2"/>
        <w:rPr>
          <w:rFonts w:ascii="Times New Roman" w:hAnsi="Times New Roman"/>
          <w:b/>
          <w:bCs/>
          <w:lang w:val="en-HK"/>
        </w:rPr>
      </w:pPr>
      <w:r w:rsidRPr="00823094">
        <w:rPr>
          <w:rFonts w:ascii="Times New Roman" w:hAnsi="Times New Roman"/>
          <w:b/>
          <w:bCs/>
          <w:lang w:val="en-HK"/>
        </w:rPr>
        <w:t>Critique by Riley</w:t>
      </w:r>
    </w:p>
    <w:p w14:paraId="5C2DE64D" w14:textId="77777777" w:rsidR="00823094" w:rsidRPr="00823094" w:rsidRDefault="00823094"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lastRenderedPageBreak/>
        <w:t xml:space="preserve">Riley argues that </w:t>
      </w:r>
      <w:r w:rsidRPr="00823094">
        <w:rPr>
          <w:rFonts w:ascii="Times New Roman" w:hAnsi="Times New Roman"/>
          <w:b/>
          <w:bCs/>
          <w:lang w:val="en-HK"/>
        </w:rPr>
        <w:t>Section 23 should override Section 25(1)</w:t>
      </w:r>
      <w:r w:rsidRPr="00823094">
        <w:rPr>
          <w:rFonts w:ascii="Times New Roman" w:hAnsi="Times New Roman"/>
          <w:lang w:val="en-HK"/>
        </w:rPr>
        <w:t xml:space="preserve"> in cases involving fraud for the following reasons:</w:t>
      </w:r>
    </w:p>
    <w:p w14:paraId="67E8F88E" w14:textId="77777777" w:rsidR="00823094" w:rsidRPr="00823094" w:rsidRDefault="00823094" w:rsidP="00823094">
      <w:pPr>
        <w:numPr>
          <w:ilvl w:val="0"/>
          <w:numId w:val="51"/>
        </w:num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Fraud Should Prioritize Owner Protection:</w:t>
      </w:r>
    </w:p>
    <w:p w14:paraId="6F943E98" w14:textId="77777777" w:rsidR="00823094" w:rsidRPr="00823094" w:rsidRDefault="00823094" w:rsidP="00823094">
      <w:pPr>
        <w:numPr>
          <w:ilvl w:val="1"/>
          <w:numId w:val="51"/>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Section 23 is designed to allow owners to reclaim goods from a rogue when fraud is discovered and the title is avoided promptly.</w:t>
      </w:r>
    </w:p>
    <w:p w14:paraId="25323359" w14:textId="77777777" w:rsidR="00823094" w:rsidRPr="00823094" w:rsidRDefault="00823094" w:rsidP="00823094">
      <w:pPr>
        <w:numPr>
          <w:ilvl w:val="1"/>
          <w:numId w:val="51"/>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Allowing Section 25(1) to prevail undermines the original owner’s ability to recover goods when fraud is involved.</w:t>
      </w:r>
    </w:p>
    <w:p w14:paraId="11E8A6FD" w14:textId="77777777" w:rsidR="00823094" w:rsidRPr="00823094" w:rsidRDefault="00823094" w:rsidP="00823094">
      <w:pPr>
        <w:numPr>
          <w:ilvl w:val="0"/>
          <w:numId w:val="51"/>
        </w:num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Imbalance in Risk Allocation:</w:t>
      </w:r>
    </w:p>
    <w:p w14:paraId="255B0098" w14:textId="77777777" w:rsidR="00823094" w:rsidRPr="00823094" w:rsidRDefault="00823094" w:rsidP="00823094">
      <w:pPr>
        <w:numPr>
          <w:ilvl w:val="1"/>
          <w:numId w:val="51"/>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 xml:space="preserve">Section 25(1) heavily </w:t>
      </w:r>
      <w:proofErr w:type="spellStart"/>
      <w:r w:rsidRPr="00823094">
        <w:rPr>
          <w:rFonts w:ascii="Times New Roman" w:hAnsi="Times New Roman"/>
          <w:lang w:val="en-HK"/>
        </w:rPr>
        <w:t>favors</w:t>
      </w:r>
      <w:proofErr w:type="spellEnd"/>
      <w:r w:rsidRPr="00823094">
        <w:rPr>
          <w:rFonts w:ascii="Times New Roman" w:hAnsi="Times New Roman"/>
          <w:lang w:val="en-HK"/>
        </w:rPr>
        <w:t xml:space="preserve"> commercial certainty and the good faith purchaser, often at the expense of the original owner, even when the owner acted swiftly to avoid the title.</w:t>
      </w:r>
    </w:p>
    <w:p w14:paraId="2F32820A" w14:textId="77777777" w:rsidR="00823094" w:rsidRPr="00823094" w:rsidRDefault="00823094" w:rsidP="00823094">
      <w:pPr>
        <w:numPr>
          <w:ilvl w:val="0"/>
          <w:numId w:val="51"/>
        </w:num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Proposed Reform:</w:t>
      </w:r>
    </w:p>
    <w:p w14:paraId="64CED5EA" w14:textId="4E559741" w:rsidR="00823094" w:rsidRPr="00823094" w:rsidRDefault="00823094" w:rsidP="00823094">
      <w:pPr>
        <w:numPr>
          <w:ilvl w:val="1"/>
          <w:numId w:val="51"/>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 xml:space="preserve">Riley suggests that </w:t>
      </w:r>
      <w:r w:rsidRPr="00823094">
        <w:rPr>
          <w:rFonts w:ascii="Times New Roman" w:hAnsi="Times New Roman"/>
          <w:b/>
          <w:bCs/>
          <w:lang w:val="en-HK"/>
        </w:rPr>
        <w:t>Section 23</w:t>
      </w:r>
      <w:r w:rsidRPr="00823094">
        <w:rPr>
          <w:rFonts w:ascii="Times New Roman" w:hAnsi="Times New Roman"/>
          <w:lang w:val="en-HK"/>
        </w:rPr>
        <w:t xml:space="preserve"> should </w:t>
      </w:r>
      <w:r w:rsidRPr="00823094">
        <w:rPr>
          <w:rFonts w:ascii="Times New Roman" w:hAnsi="Times New Roman"/>
          <w:b/>
          <w:bCs/>
          <w:lang w:val="en-HK"/>
        </w:rPr>
        <w:t>override Section 25(1)</w:t>
      </w:r>
      <w:r w:rsidRPr="00823094">
        <w:rPr>
          <w:rFonts w:ascii="Times New Roman" w:hAnsi="Times New Roman"/>
          <w:lang w:val="en-HK"/>
        </w:rPr>
        <w:t xml:space="preserve"> when fraud is present to ensure that original owners, who are victims of fraud, are better protected.</w:t>
      </w:r>
    </w:p>
    <w:p w14:paraId="6DF164F2" w14:textId="77777777" w:rsidR="00823094" w:rsidRPr="00823094" w:rsidRDefault="00823094" w:rsidP="00823094">
      <w:pPr>
        <w:spacing w:before="100" w:beforeAutospacing="1" w:after="100" w:afterAutospacing="1" w:line="360" w:lineRule="auto"/>
        <w:outlineLvl w:val="2"/>
        <w:rPr>
          <w:rFonts w:ascii="Times New Roman" w:hAnsi="Times New Roman"/>
          <w:b/>
          <w:bCs/>
          <w:lang w:val="en-HK"/>
        </w:rPr>
      </w:pPr>
      <w:r w:rsidRPr="00823094">
        <w:rPr>
          <w:rFonts w:ascii="Times New Roman" w:hAnsi="Times New Roman"/>
          <w:b/>
          <w:bCs/>
          <w:lang w:val="en-HK"/>
        </w:rPr>
        <w:t>Why Both Sections Don’t Apply Equally</w:t>
      </w:r>
    </w:p>
    <w:p w14:paraId="60BA8A2E" w14:textId="77777777" w:rsidR="00823094" w:rsidRPr="00823094" w:rsidRDefault="00823094" w:rsidP="00823094">
      <w:pPr>
        <w:numPr>
          <w:ilvl w:val="0"/>
          <w:numId w:val="52"/>
        </w:num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Conflict of Timing and Legal Effect:</w:t>
      </w:r>
    </w:p>
    <w:p w14:paraId="6F53E0B2" w14:textId="77777777" w:rsidR="00823094" w:rsidRPr="00823094" w:rsidRDefault="00823094" w:rsidP="00823094">
      <w:pPr>
        <w:numPr>
          <w:ilvl w:val="1"/>
          <w:numId w:val="52"/>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Section 23 allows the owner to avoid the rogue’s title, but Section 25(1) protects the good faith purchaser if the buyer in possession resells the goods before the title is avoided.</w:t>
      </w:r>
    </w:p>
    <w:p w14:paraId="7FE012A2" w14:textId="77777777" w:rsidR="00823094" w:rsidRPr="00823094" w:rsidRDefault="00823094" w:rsidP="00823094">
      <w:pPr>
        <w:numPr>
          <w:ilvl w:val="1"/>
          <w:numId w:val="52"/>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 xml:space="preserve">When both sections could theoretically apply, the courts prioritize </w:t>
      </w:r>
      <w:r w:rsidRPr="00823094">
        <w:rPr>
          <w:rFonts w:ascii="Times New Roman" w:hAnsi="Times New Roman"/>
          <w:b/>
          <w:bCs/>
          <w:lang w:val="en-HK"/>
        </w:rPr>
        <w:t>Section 25(1)</w:t>
      </w:r>
      <w:r w:rsidRPr="00823094">
        <w:rPr>
          <w:rFonts w:ascii="Times New Roman" w:hAnsi="Times New Roman"/>
          <w:lang w:val="en-HK"/>
        </w:rPr>
        <w:t xml:space="preserve"> because:</w:t>
      </w:r>
    </w:p>
    <w:p w14:paraId="5237C85D" w14:textId="77777777" w:rsidR="00823094" w:rsidRPr="00823094" w:rsidRDefault="00823094" w:rsidP="00823094">
      <w:pPr>
        <w:numPr>
          <w:ilvl w:val="2"/>
          <w:numId w:val="52"/>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Section 25(1) expressly allows for dispositions by a buyer in possession with consent, regardless of voidable title issues.</w:t>
      </w:r>
    </w:p>
    <w:p w14:paraId="21DC2D0C" w14:textId="2D60FC75" w:rsidR="00823094" w:rsidRPr="00823094" w:rsidRDefault="00823094" w:rsidP="00823094">
      <w:pPr>
        <w:numPr>
          <w:ilvl w:val="2"/>
          <w:numId w:val="52"/>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Section 23’s avoidance rights are essentially overridden once Section 25(1)’s conditions are met.</w:t>
      </w:r>
    </w:p>
    <w:p w14:paraId="1C0799B2" w14:textId="77777777" w:rsidR="005002F7" w:rsidRPr="00823094" w:rsidRDefault="002B59B5" w:rsidP="00823094">
      <w:pPr>
        <w:spacing w:line="360" w:lineRule="auto"/>
        <w:rPr>
          <w:rFonts w:ascii="Times New Roman" w:hAnsi="Times New Roman"/>
          <w:lang w:val="en-HK"/>
        </w:rPr>
      </w:pPr>
      <w:r w:rsidRPr="002B59B5">
        <w:rPr>
          <w:rFonts w:ascii="Times New Roman" w:hAnsi="Times New Roman"/>
          <w:noProof/>
          <w:lang w:val="en-HK"/>
          <w14:ligatures w14:val="standardContextual"/>
        </w:rPr>
        <w:pict w14:anchorId="1AE09F37">
          <v:rect id="_x0000_i1032" alt="" style="width:451.3pt;height:.05pt;mso-width-percent:0;mso-height-percent:0;mso-width-percent:0;mso-height-percent:0" o:hralign="center" o:hrstd="t" o:hr="t" fillcolor="#a0a0a0" stroked="f"/>
        </w:pict>
      </w:r>
    </w:p>
    <w:p w14:paraId="6AA00E2A" w14:textId="77777777" w:rsidR="005002F7" w:rsidRPr="00823094" w:rsidRDefault="005002F7" w:rsidP="00823094">
      <w:pPr>
        <w:spacing w:before="100" w:beforeAutospacing="1" w:after="100" w:afterAutospacing="1" w:line="360" w:lineRule="auto"/>
        <w:outlineLvl w:val="3"/>
        <w:rPr>
          <w:rFonts w:ascii="Times New Roman" w:hAnsi="Times New Roman"/>
          <w:b/>
          <w:bCs/>
          <w:lang w:val="en-HK"/>
        </w:rPr>
      </w:pPr>
      <w:r w:rsidRPr="00823094">
        <w:rPr>
          <w:rFonts w:ascii="Times New Roman" w:hAnsi="Times New Roman"/>
          <w:b/>
          <w:bCs/>
          <w:lang w:val="en-HK"/>
        </w:rPr>
        <w:t>Scholarly Critiques</w:t>
      </w:r>
    </w:p>
    <w:p w14:paraId="194C4C8F" w14:textId="77777777" w:rsidR="005002F7" w:rsidRPr="00823094" w:rsidRDefault="005002F7" w:rsidP="00823094">
      <w:pPr>
        <w:numPr>
          <w:ilvl w:val="0"/>
          <w:numId w:val="20"/>
        </w:num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Section 24:</w:t>
      </w:r>
    </w:p>
    <w:p w14:paraId="1F21C1A0"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lastRenderedPageBreak/>
        <w:t>Riley views it as overreaching, allowing sellers who retain possession to pass good title without considering whether the owner consented.</w:t>
      </w:r>
    </w:p>
    <w:p w14:paraId="6D0DC906"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Suggests limiting its application to cases where the original owner explicitly assumes the risk.</w:t>
      </w:r>
    </w:p>
    <w:p w14:paraId="44E5EA55" w14:textId="77777777" w:rsidR="005002F7" w:rsidRPr="00823094" w:rsidRDefault="005002F7" w:rsidP="00823094">
      <w:pPr>
        <w:numPr>
          <w:ilvl w:val="0"/>
          <w:numId w:val="20"/>
        </w:num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Section 25(1):</w:t>
      </w:r>
    </w:p>
    <w:p w14:paraId="435BA229"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Criticized for prioritizing commercial certainty over fairness to original owners.</w:t>
      </w:r>
    </w:p>
    <w:p w14:paraId="2D68CC39"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Riley proposes requiring explicit owner consent for subsequent dispositions, aligning the section with estoppel principles.</w:t>
      </w:r>
    </w:p>
    <w:p w14:paraId="286F6B91" w14:textId="77777777" w:rsidR="005002F7" w:rsidRPr="00823094" w:rsidRDefault="002B59B5" w:rsidP="00823094">
      <w:pPr>
        <w:spacing w:line="360" w:lineRule="auto"/>
        <w:rPr>
          <w:rFonts w:ascii="Times New Roman" w:hAnsi="Times New Roman"/>
          <w:lang w:val="en-HK"/>
        </w:rPr>
      </w:pPr>
      <w:r w:rsidRPr="002B59B5">
        <w:rPr>
          <w:rFonts w:ascii="Times New Roman" w:hAnsi="Times New Roman"/>
          <w:noProof/>
          <w:lang w:val="en-HK"/>
          <w14:ligatures w14:val="standardContextual"/>
        </w:rPr>
        <w:pict w14:anchorId="3648AE9D">
          <v:rect id="_x0000_i1031" alt="" style="width:451.3pt;height:.05pt;mso-width-percent:0;mso-height-percent:0;mso-width-percent:0;mso-height-percent:0" o:hralign="center" o:hrstd="t" o:hr="t" fillcolor="#a0a0a0" stroked="f"/>
        </w:pict>
      </w:r>
    </w:p>
    <w:p w14:paraId="557E70BE" w14:textId="77777777" w:rsidR="005002F7" w:rsidRPr="00823094" w:rsidRDefault="005002F7" w:rsidP="00823094">
      <w:pPr>
        <w:spacing w:before="100" w:beforeAutospacing="1" w:after="100" w:afterAutospacing="1" w:line="360" w:lineRule="auto"/>
        <w:outlineLvl w:val="3"/>
        <w:rPr>
          <w:rFonts w:ascii="Times New Roman" w:hAnsi="Times New Roman"/>
          <w:b/>
          <w:bCs/>
          <w:lang w:val="en-HK"/>
        </w:rPr>
      </w:pPr>
      <w:r w:rsidRPr="00823094">
        <w:rPr>
          <w:rFonts w:ascii="Times New Roman" w:hAnsi="Times New Roman"/>
          <w:b/>
          <w:bCs/>
          <w:lang w:val="en-HK"/>
        </w:rPr>
        <w:t>Proposed Reforms</w:t>
      </w:r>
    </w:p>
    <w:p w14:paraId="6EB80568" w14:textId="77777777" w:rsidR="005002F7" w:rsidRPr="00823094" w:rsidRDefault="005002F7" w:rsidP="00823094">
      <w:pPr>
        <w:numPr>
          <w:ilvl w:val="0"/>
          <w:numId w:val="21"/>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Broaden the estoppel doctrine to reduce reliance on Sections 24 and 25(1).</w:t>
      </w:r>
    </w:p>
    <w:p w14:paraId="24B46590" w14:textId="77777777" w:rsidR="005002F7" w:rsidRPr="00823094" w:rsidRDefault="005002F7" w:rsidP="00823094">
      <w:pPr>
        <w:numPr>
          <w:ilvl w:val="0"/>
          <w:numId w:val="21"/>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Align Section 25(1) with Section 23 to prioritize owner protection in cases of fraud.</w:t>
      </w:r>
    </w:p>
    <w:p w14:paraId="37A905AD" w14:textId="77777777" w:rsidR="005002F7" w:rsidRPr="00823094" w:rsidRDefault="005002F7" w:rsidP="00823094">
      <w:pPr>
        <w:numPr>
          <w:ilvl w:val="0"/>
          <w:numId w:val="21"/>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Reassess the "ordinary course of business" test to ensure consistent application.</w:t>
      </w:r>
    </w:p>
    <w:p w14:paraId="345482CF" w14:textId="292B1119" w:rsidR="005002F7" w:rsidRPr="00823094" w:rsidRDefault="002B59B5" w:rsidP="00823094">
      <w:pPr>
        <w:spacing w:before="100" w:beforeAutospacing="1" w:after="100" w:afterAutospacing="1" w:line="360" w:lineRule="auto"/>
        <w:outlineLvl w:val="2"/>
        <w:rPr>
          <w:rFonts w:ascii="Times New Roman" w:hAnsi="Times New Roman"/>
          <w:b/>
          <w:bCs/>
          <w:lang w:val="en-HK"/>
        </w:rPr>
      </w:pPr>
      <w:r w:rsidRPr="002B59B5">
        <w:rPr>
          <w:rFonts w:ascii="Times New Roman" w:hAnsi="Times New Roman"/>
          <w:noProof/>
          <w:lang w:val="en-HK"/>
          <w14:ligatures w14:val="standardContextual"/>
        </w:rPr>
        <w:pict w14:anchorId="743BB403">
          <v:rect id="_x0000_i1030" alt="" style="width:451.3pt;height:.05pt;mso-width-percent:0;mso-height-percent:0;mso-width-percent:0;mso-height-percent:0" o:hralign="center" o:hrstd="t" o:hr="t" fillcolor="#a0a0a0" stroked="f"/>
        </w:pict>
      </w:r>
    </w:p>
    <w:p w14:paraId="6CB26737" w14:textId="61E8A024" w:rsidR="005002F7" w:rsidRPr="00823094" w:rsidRDefault="005002F7" w:rsidP="00823094">
      <w:pPr>
        <w:spacing w:before="100" w:beforeAutospacing="1" w:after="100" w:afterAutospacing="1" w:line="360" w:lineRule="auto"/>
        <w:outlineLvl w:val="2"/>
        <w:rPr>
          <w:rFonts w:ascii="Times New Roman" w:hAnsi="Times New Roman"/>
          <w:b/>
          <w:bCs/>
          <w:lang w:val="en-HK"/>
        </w:rPr>
      </w:pPr>
      <w:r w:rsidRPr="00823094">
        <w:rPr>
          <w:rFonts w:ascii="Times New Roman" w:hAnsi="Times New Roman"/>
          <w:b/>
          <w:bCs/>
          <w:lang w:val="en-HK"/>
        </w:rPr>
        <w:t>Conclusion: Balancing Culpability and Commercial Certainty</w:t>
      </w:r>
    </w:p>
    <w:p w14:paraId="132E9315" w14:textId="77777777" w:rsidR="005002F7" w:rsidRPr="00823094" w:rsidRDefault="005002F7" w:rsidP="00823094">
      <w:pPr>
        <w:spacing w:before="100" w:beforeAutospacing="1" w:after="100" w:afterAutospacing="1" w:line="360" w:lineRule="auto"/>
        <w:outlineLvl w:val="3"/>
        <w:rPr>
          <w:rFonts w:ascii="Times New Roman" w:hAnsi="Times New Roman"/>
          <w:b/>
          <w:bCs/>
          <w:lang w:val="en-HK"/>
        </w:rPr>
      </w:pPr>
      <w:r w:rsidRPr="00823094">
        <w:rPr>
          <w:rFonts w:ascii="Times New Roman" w:hAnsi="Times New Roman"/>
          <w:b/>
          <w:bCs/>
          <w:lang w:val="en-HK"/>
        </w:rPr>
        <w:t>Overarching Principle: Owner Culpability</w:t>
      </w:r>
    </w:p>
    <w:p w14:paraId="7CCD47E5"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 xml:space="preserve">Riley argues that the </w:t>
      </w:r>
      <w:r w:rsidRPr="00823094">
        <w:rPr>
          <w:rFonts w:ascii="Times New Roman" w:hAnsi="Times New Roman"/>
          <w:b/>
          <w:bCs/>
          <w:lang w:val="en-HK"/>
        </w:rPr>
        <w:t xml:space="preserve">exceptions to the nemo </w:t>
      </w:r>
      <w:proofErr w:type="spellStart"/>
      <w:r w:rsidRPr="00823094">
        <w:rPr>
          <w:rFonts w:ascii="Times New Roman" w:hAnsi="Times New Roman"/>
          <w:b/>
          <w:bCs/>
          <w:lang w:val="en-HK"/>
        </w:rPr>
        <w:t>dat</w:t>
      </w:r>
      <w:proofErr w:type="spellEnd"/>
      <w:r w:rsidRPr="00823094">
        <w:rPr>
          <w:rFonts w:ascii="Times New Roman" w:hAnsi="Times New Roman"/>
          <w:b/>
          <w:bCs/>
          <w:lang w:val="en-HK"/>
        </w:rPr>
        <w:t xml:space="preserve"> rule</w:t>
      </w:r>
      <w:r w:rsidRPr="00823094">
        <w:rPr>
          <w:rFonts w:ascii="Times New Roman" w:hAnsi="Times New Roman"/>
          <w:lang w:val="en-HK"/>
        </w:rPr>
        <w:t xml:space="preserve"> can be understood as reflecting scenarios where the owner's conduct is sufficiently culpable to justify depriving them of their goods.</w:t>
      </w:r>
    </w:p>
    <w:p w14:paraId="6A4C1007"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However, many exceptions fail to adequately recognize or prioritize this culpability as a precondition for overriding proprietary rights.</w:t>
      </w:r>
    </w:p>
    <w:p w14:paraId="030FD5B5"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 xml:space="preserve">The essay consistently emphasizes the principle that </w:t>
      </w:r>
      <w:r w:rsidRPr="00823094">
        <w:rPr>
          <w:rFonts w:ascii="Times New Roman" w:hAnsi="Times New Roman"/>
          <w:b/>
          <w:bCs/>
          <w:lang w:val="en-HK"/>
        </w:rPr>
        <w:t>loss allocation between the true owner and the bona fide purchaser should hinge on the owner's culpability.</w:t>
      </w:r>
    </w:p>
    <w:p w14:paraId="11862938" w14:textId="77777777" w:rsidR="005002F7" w:rsidRPr="00823094" w:rsidRDefault="002B59B5" w:rsidP="00823094">
      <w:pPr>
        <w:spacing w:line="360" w:lineRule="auto"/>
        <w:rPr>
          <w:rFonts w:ascii="Times New Roman" w:hAnsi="Times New Roman"/>
          <w:lang w:val="en-HK"/>
        </w:rPr>
      </w:pPr>
      <w:r w:rsidRPr="002B59B5">
        <w:rPr>
          <w:rFonts w:ascii="Times New Roman" w:hAnsi="Times New Roman"/>
          <w:noProof/>
          <w:lang w:val="en-HK"/>
          <w14:ligatures w14:val="standardContextual"/>
        </w:rPr>
        <w:pict w14:anchorId="0E41088F">
          <v:rect id="_x0000_i1029" alt="" style="width:451.3pt;height:.05pt;mso-width-percent:0;mso-height-percent:0;mso-width-percent:0;mso-height-percent:0" o:hralign="center" o:hrstd="t" o:hr="t" fillcolor="#a0a0a0" stroked="f"/>
        </w:pict>
      </w:r>
    </w:p>
    <w:p w14:paraId="62E8001E" w14:textId="77777777" w:rsidR="005002F7" w:rsidRPr="00823094" w:rsidRDefault="005002F7" w:rsidP="00823094">
      <w:pPr>
        <w:spacing w:before="100" w:beforeAutospacing="1" w:after="100" w:afterAutospacing="1" w:line="360" w:lineRule="auto"/>
        <w:outlineLvl w:val="3"/>
        <w:rPr>
          <w:rFonts w:ascii="Times New Roman" w:hAnsi="Times New Roman"/>
          <w:b/>
          <w:bCs/>
          <w:lang w:val="en-HK"/>
        </w:rPr>
      </w:pPr>
      <w:r w:rsidRPr="00823094">
        <w:rPr>
          <w:rFonts w:ascii="Times New Roman" w:hAnsi="Times New Roman"/>
          <w:b/>
          <w:bCs/>
          <w:lang w:val="en-HK"/>
        </w:rPr>
        <w:lastRenderedPageBreak/>
        <w:t>Inadequacies in the Current Legal Framework</w:t>
      </w:r>
    </w:p>
    <w:p w14:paraId="79596745" w14:textId="77777777" w:rsidR="005002F7" w:rsidRPr="00823094" w:rsidRDefault="005002F7" w:rsidP="00823094">
      <w:pPr>
        <w:numPr>
          <w:ilvl w:val="0"/>
          <w:numId w:val="23"/>
        </w:num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Excessive Deference to Nemo Dat:</w:t>
      </w:r>
    </w:p>
    <w:p w14:paraId="75DBC33D" w14:textId="77777777" w:rsidR="005002F7" w:rsidRPr="00823094" w:rsidRDefault="005002F7" w:rsidP="00823094">
      <w:pPr>
        <w:numPr>
          <w:ilvl w:val="1"/>
          <w:numId w:val="23"/>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 xml:space="preserve">The nemo </w:t>
      </w:r>
      <w:proofErr w:type="spellStart"/>
      <w:r w:rsidRPr="00823094">
        <w:rPr>
          <w:rFonts w:ascii="Times New Roman" w:hAnsi="Times New Roman"/>
          <w:lang w:val="en-HK"/>
        </w:rPr>
        <w:t>dat</w:t>
      </w:r>
      <w:proofErr w:type="spellEnd"/>
      <w:r w:rsidRPr="00823094">
        <w:rPr>
          <w:rFonts w:ascii="Times New Roman" w:hAnsi="Times New Roman"/>
          <w:lang w:val="en-HK"/>
        </w:rPr>
        <w:t xml:space="preserve"> principle often overshadows equitable considerations, even in cases where the owner's conduct enabled the rogue’s fraudulent disposition.</w:t>
      </w:r>
    </w:p>
    <w:p w14:paraId="0ADE0110" w14:textId="77777777" w:rsidR="005002F7" w:rsidRPr="00823094" w:rsidRDefault="005002F7" w:rsidP="00823094">
      <w:pPr>
        <w:numPr>
          <w:ilvl w:val="1"/>
          <w:numId w:val="23"/>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Riley identifies this as an undesirable rigidity in the law.</w:t>
      </w:r>
    </w:p>
    <w:p w14:paraId="01DB66B5" w14:textId="77777777" w:rsidR="005002F7" w:rsidRPr="00823094" w:rsidRDefault="005002F7" w:rsidP="00823094">
      <w:pPr>
        <w:numPr>
          <w:ilvl w:val="0"/>
          <w:numId w:val="23"/>
        </w:num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Estoppel Doctrine’s Narrow Application:</w:t>
      </w:r>
    </w:p>
    <w:p w14:paraId="58FFE174" w14:textId="77777777" w:rsidR="005002F7" w:rsidRPr="00823094" w:rsidRDefault="005002F7" w:rsidP="00823094">
      <w:pPr>
        <w:numPr>
          <w:ilvl w:val="1"/>
          <w:numId w:val="23"/>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Current estoppel principles are too limited to achieve fairness consistently.</w:t>
      </w:r>
    </w:p>
    <w:p w14:paraId="6B7905B8" w14:textId="77777777" w:rsidR="005002F7" w:rsidRPr="00823094" w:rsidRDefault="005002F7" w:rsidP="00823094">
      <w:pPr>
        <w:numPr>
          <w:ilvl w:val="1"/>
          <w:numId w:val="23"/>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For example, estoppel by representation focuses too heavily on explicit misrepresentations by the owner, often excluding more implicit forms of owner culpability.</w:t>
      </w:r>
    </w:p>
    <w:p w14:paraId="1CDD47E0" w14:textId="77777777" w:rsidR="005002F7" w:rsidRPr="00823094" w:rsidRDefault="005002F7" w:rsidP="00823094">
      <w:pPr>
        <w:numPr>
          <w:ilvl w:val="0"/>
          <w:numId w:val="23"/>
        </w:num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Inconsistent Fairness Across Exceptions:</w:t>
      </w:r>
    </w:p>
    <w:p w14:paraId="701B22BB" w14:textId="77777777" w:rsidR="005002F7" w:rsidRPr="00823094" w:rsidRDefault="005002F7" w:rsidP="00823094">
      <w:pPr>
        <w:numPr>
          <w:ilvl w:val="1"/>
          <w:numId w:val="23"/>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 xml:space="preserve">Certain exceptions, like </w:t>
      </w:r>
      <w:r w:rsidRPr="00823094">
        <w:rPr>
          <w:rFonts w:ascii="Times New Roman" w:hAnsi="Times New Roman"/>
          <w:b/>
          <w:bCs/>
          <w:lang w:val="en-HK"/>
        </w:rPr>
        <w:t>Sections 24 and 25(1) of the SGA</w:t>
      </w:r>
      <w:r w:rsidRPr="00823094">
        <w:rPr>
          <w:rFonts w:ascii="Times New Roman" w:hAnsi="Times New Roman"/>
          <w:lang w:val="en-HK"/>
        </w:rPr>
        <w:t>, often prioritize commercial certainty at the expense of equity.</w:t>
      </w:r>
    </w:p>
    <w:p w14:paraId="5C104F47" w14:textId="77777777" w:rsidR="005002F7" w:rsidRPr="00823094" w:rsidRDefault="005002F7" w:rsidP="00823094">
      <w:pPr>
        <w:numPr>
          <w:ilvl w:val="1"/>
          <w:numId w:val="23"/>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 xml:space="preserve">The burden of proving good faith under </w:t>
      </w:r>
      <w:r w:rsidRPr="00823094">
        <w:rPr>
          <w:rFonts w:ascii="Times New Roman" w:hAnsi="Times New Roman"/>
          <w:b/>
          <w:bCs/>
          <w:lang w:val="en-HK"/>
        </w:rPr>
        <w:t>Section 23</w:t>
      </w:r>
      <w:r w:rsidRPr="00823094">
        <w:rPr>
          <w:rFonts w:ascii="Times New Roman" w:hAnsi="Times New Roman"/>
          <w:lang w:val="en-HK"/>
        </w:rPr>
        <w:t xml:space="preserve"> unfairly falls on the owner, further compounding these inequities.</w:t>
      </w:r>
    </w:p>
    <w:p w14:paraId="78BE2D7B" w14:textId="77777777" w:rsidR="005002F7" w:rsidRPr="00823094" w:rsidRDefault="002B59B5" w:rsidP="00823094">
      <w:pPr>
        <w:spacing w:line="360" w:lineRule="auto"/>
        <w:rPr>
          <w:rFonts w:ascii="Times New Roman" w:hAnsi="Times New Roman"/>
          <w:lang w:val="en-HK"/>
        </w:rPr>
      </w:pPr>
      <w:r w:rsidRPr="002B59B5">
        <w:rPr>
          <w:rFonts w:ascii="Times New Roman" w:hAnsi="Times New Roman"/>
          <w:noProof/>
          <w:lang w:val="en-HK"/>
          <w14:ligatures w14:val="standardContextual"/>
        </w:rPr>
        <w:pict w14:anchorId="6FF21F14">
          <v:rect id="_x0000_i1028" alt="" style="width:451.3pt;height:.05pt;mso-width-percent:0;mso-height-percent:0;mso-width-percent:0;mso-height-percent:0" o:hralign="center" o:hrstd="t" o:hr="t" fillcolor="#a0a0a0" stroked="f"/>
        </w:pict>
      </w:r>
    </w:p>
    <w:p w14:paraId="32E3CDF5" w14:textId="77777777" w:rsidR="005002F7" w:rsidRPr="00823094" w:rsidRDefault="005002F7" w:rsidP="00823094">
      <w:pPr>
        <w:spacing w:before="100" w:beforeAutospacing="1" w:after="100" w:afterAutospacing="1" w:line="360" w:lineRule="auto"/>
        <w:outlineLvl w:val="3"/>
        <w:rPr>
          <w:rFonts w:ascii="Times New Roman" w:hAnsi="Times New Roman"/>
          <w:b/>
          <w:bCs/>
          <w:lang w:val="en-HK"/>
        </w:rPr>
      </w:pPr>
      <w:r w:rsidRPr="00823094">
        <w:rPr>
          <w:rFonts w:ascii="Times New Roman" w:hAnsi="Times New Roman"/>
          <w:b/>
          <w:bCs/>
          <w:lang w:val="en-HK"/>
        </w:rPr>
        <w:t>Proposed Solution: Broader and Contextual Estoppel Doctrine</w:t>
      </w:r>
    </w:p>
    <w:p w14:paraId="6860F6A9"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 xml:space="preserve">Riley </w:t>
      </w:r>
      <w:r w:rsidRPr="00823094">
        <w:rPr>
          <w:rFonts w:ascii="Times New Roman" w:hAnsi="Times New Roman"/>
          <w:lang w:val="en-HK"/>
        </w:rPr>
        <w:t>advocates for a more flexible and circumstance-specific application of the estoppel doctrine.</w:t>
      </w:r>
    </w:p>
    <w:p w14:paraId="6AE3963F"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Key Features of the Proposed Approach:</w:t>
      </w:r>
    </w:p>
    <w:p w14:paraId="3807DB75" w14:textId="77777777" w:rsidR="005002F7" w:rsidRPr="00823094" w:rsidRDefault="005002F7" w:rsidP="00823094">
      <w:pPr>
        <w:numPr>
          <w:ilvl w:val="1"/>
          <w:numId w:val="35"/>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 xml:space="preserve">Greater emphasis on </w:t>
      </w:r>
      <w:r w:rsidRPr="00823094">
        <w:rPr>
          <w:rFonts w:ascii="Times New Roman" w:hAnsi="Times New Roman"/>
          <w:b/>
          <w:bCs/>
          <w:lang w:val="en-HK"/>
        </w:rPr>
        <w:t>owner culpability</w:t>
      </w:r>
      <w:r w:rsidRPr="00823094">
        <w:rPr>
          <w:rFonts w:ascii="Times New Roman" w:hAnsi="Times New Roman"/>
          <w:lang w:val="en-HK"/>
        </w:rPr>
        <w:t xml:space="preserve"> in creating the rogue’s apparent authority.</w:t>
      </w:r>
    </w:p>
    <w:p w14:paraId="207AF8FD" w14:textId="77777777" w:rsidR="005002F7" w:rsidRPr="00823094" w:rsidRDefault="005002F7" w:rsidP="00823094">
      <w:pPr>
        <w:numPr>
          <w:ilvl w:val="1"/>
          <w:numId w:val="35"/>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 xml:space="preserve">Broader recognition of the </w:t>
      </w:r>
      <w:r w:rsidRPr="00823094">
        <w:rPr>
          <w:rFonts w:ascii="Times New Roman" w:hAnsi="Times New Roman"/>
          <w:b/>
          <w:bCs/>
          <w:lang w:val="en-HK"/>
        </w:rPr>
        <w:t>indicia of title</w:t>
      </w:r>
      <w:r w:rsidRPr="00823094">
        <w:rPr>
          <w:rFonts w:ascii="Times New Roman" w:hAnsi="Times New Roman"/>
          <w:lang w:val="en-HK"/>
        </w:rPr>
        <w:t xml:space="preserve"> conveyed by the owner's actions, beyond explicit representations.</w:t>
      </w:r>
    </w:p>
    <w:p w14:paraId="28AEC173" w14:textId="77777777" w:rsidR="005002F7" w:rsidRPr="00823094" w:rsidRDefault="005002F7" w:rsidP="00823094">
      <w:pPr>
        <w:numPr>
          <w:ilvl w:val="1"/>
          <w:numId w:val="35"/>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Enhanced focus on equitable principles to ensure fairness in loss allocation between the owner and the good faith purchaser.</w:t>
      </w:r>
    </w:p>
    <w:p w14:paraId="534033D0" w14:textId="77777777" w:rsidR="005002F7" w:rsidRPr="00823094" w:rsidRDefault="002B59B5" w:rsidP="00823094">
      <w:pPr>
        <w:spacing w:line="360" w:lineRule="auto"/>
        <w:rPr>
          <w:rFonts w:ascii="Times New Roman" w:hAnsi="Times New Roman"/>
          <w:lang w:val="en-HK"/>
        </w:rPr>
      </w:pPr>
      <w:r w:rsidRPr="002B59B5">
        <w:rPr>
          <w:rFonts w:ascii="Times New Roman" w:hAnsi="Times New Roman"/>
          <w:noProof/>
          <w:lang w:val="en-HK"/>
          <w14:ligatures w14:val="standardContextual"/>
        </w:rPr>
        <w:pict w14:anchorId="369F26E5">
          <v:rect id="_x0000_i1027" alt="" style="width:451.3pt;height:.05pt;mso-width-percent:0;mso-height-percent:0;mso-width-percent:0;mso-height-percent:0" o:hralign="center" o:hrstd="t" o:hr="t" fillcolor="#a0a0a0" stroked="f"/>
        </w:pict>
      </w:r>
    </w:p>
    <w:p w14:paraId="6110A700" w14:textId="77777777" w:rsidR="005002F7" w:rsidRPr="00823094" w:rsidRDefault="005002F7" w:rsidP="00823094">
      <w:pPr>
        <w:spacing w:before="100" w:beforeAutospacing="1" w:after="100" w:afterAutospacing="1" w:line="360" w:lineRule="auto"/>
        <w:outlineLvl w:val="3"/>
        <w:rPr>
          <w:rFonts w:ascii="Times New Roman" w:hAnsi="Times New Roman"/>
          <w:b/>
          <w:bCs/>
          <w:lang w:val="en-HK"/>
        </w:rPr>
      </w:pPr>
      <w:r w:rsidRPr="00823094">
        <w:rPr>
          <w:rFonts w:ascii="Times New Roman" w:hAnsi="Times New Roman"/>
          <w:b/>
          <w:bCs/>
          <w:lang w:val="en-HK"/>
        </w:rPr>
        <w:t>Reforms to Achieve Fairness</w:t>
      </w:r>
    </w:p>
    <w:p w14:paraId="56E38F2E" w14:textId="77777777" w:rsidR="005002F7" w:rsidRPr="00823094" w:rsidRDefault="005002F7" w:rsidP="00823094">
      <w:pPr>
        <w:numPr>
          <w:ilvl w:val="0"/>
          <w:numId w:val="25"/>
        </w:num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lastRenderedPageBreak/>
        <w:t>Integration of Broader Estoppel Principles:</w:t>
      </w:r>
    </w:p>
    <w:p w14:paraId="72F8ABED" w14:textId="77777777" w:rsidR="005002F7" w:rsidRPr="00823094" w:rsidRDefault="005002F7" w:rsidP="00823094">
      <w:pPr>
        <w:numPr>
          <w:ilvl w:val="1"/>
          <w:numId w:val="36"/>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 xml:space="preserve">A reformed estoppel framework would reduce the need to rely on rigid statutory exceptions like </w:t>
      </w:r>
      <w:r w:rsidRPr="00823094">
        <w:rPr>
          <w:rFonts w:ascii="Times New Roman" w:hAnsi="Times New Roman"/>
          <w:b/>
          <w:bCs/>
          <w:lang w:val="en-HK"/>
        </w:rPr>
        <w:t>Sections 24 and 25(1)</w:t>
      </w:r>
      <w:r w:rsidRPr="00823094">
        <w:rPr>
          <w:rFonts w:ascii="Times New Roman" w:hAnsi="Times New Roman"/>
          <w:lang w:val="en-HK"/>
        </w:rPr>
        <w:t>.</w:t>
      </w:r>
    </w:p>
    <w:p w14:paraId="48E8A998" w14:textId="77777777" w:rsidR="005002F7" w:rsidRPr="00823094" w:rsidRDefault="005002F7" w:rsidP="00823094">
      <w:pPr>
        <w:numPr>
          <w:ilvl w:val="1"/>
          <w:numId w:val="36"/>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For example, in cases where owners enable rogues to appear as authorized agents, estoppel should prevent owners from reclaiming the goods.</w:t>
      </w:r>
    </w:p>
    <w:p w14:paraId="20BF07DC" w14:textId="77777777" w:rsidR="005002F7" w:rsidRPr="00823094" w:rsidRDefault="005002F7" w:rsidP="00823094">
      <w:pPr>
        <w:numPr>
          <w:ilvl w:val="0"/>
          <w:numId w:val="25"/>
        </w:num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Revised Burden of Proof:</w:t>
      </w:r>
    </w:p>
    <w:p w14:paraId="5B9D3C04" w14:textId="77777777" w:rsidR="005002F7" w:rsidRPr="00823094" w:rsidRDefault="005002F7" w:rsidP="00823094">
      <w:pPr>
        <w:spacing w:before="100" w:beforeAutospacing="1" w:after="100" w:afterAutospacing="1" w:line="360" w:lineRule="auto"/>
        <w:rPr>
          <w:rFonts w:ascii="Times New Roman" w:hAnsi="Times New Roman"/>
          <w:lang w:val="en-HK"/>
        </w:rPr>
      </w:pPr>
      <w:r w:rsidRPr="00823094">
        <w:rPr>
          <w:rFonts w:ascii="Times New Roman" w:hAnsi="Times New Roman"/>
          <w:lang w:val="en-HK"/>
        </w:rPr>
        <w:t xml:space="preserve">Shift the burden of proving good faith to the purchaser in cases under </w:t>
      </w:r>
      <w:r w:rsidRPr="00823094">
        <w:rPr>
          <w:rFonts w:ascii="Times New Roman" w:hAnsi="Times New Roman"/>
          <w:b/>
          <w:bCs/>
          <w:lang w:val="en-HK"/>
        </w:rPr>
        <w:t>Section 23</w:t>
      </w:r>
      <w:r w:rsidRPr="00823094">
        <w:rPr>
          <w:rFonts w:ascii="Times New Roman" w:hAnsi="Times New Roman"/>
          <w:lang w:val="en-HK"/>
        </w:rPr>
        <w:t xml:space="preserve">, aligning it with the </w:t>
      </w:r>
      <w:r w:rsidRPr="00823094">
        <w:rPr>
          <w:rFonts w:ascii="Times New Roman" w:hAnsi="Times New Roman"/>
          <w:b/>
          <w:bCs/>
          <w:lang w:val="en-HK"/>
        </w:rPr>
        <w:t>Factors Act 1889.</w:t>
      </w:r>
    </w:p>
    <w:p w14:paraId="3A144F07" w14:textId="77777777" w:rsidR="005002F7" w:rsidRPr="00823094" w:rsidRDefault="005002F7" w:rsidP="00823094">
      <w:pPr>
        <w:numPr>
          <w:ilvl w:val="0"/>
          <w:numId w:val="25"/>
        </w:numPr>
        <w:spacing w:before="100" w:beforeAutospacing="1" w:after="100" w:afterAutospacing="1" w:line="360" w:lineRule="auto"/>
        <w:rPr>
          <w:rFonts w:ascii="Times New Roman" w:hAnsi="Times New Roman"/>
          <w:lang w:val="en-HK"/>
        </w:rPr>
      </w:pPr>
      <w:r w:rsidRPr="00823094">
        <w:rPr>
          <w:rFonts w:ascii="Times New Roman" w:hAnsi="Times New Roman"/>
          <w:b/>
          <w:bCs/>
          <w:lang w:val="en-HK"/>
        </w:rPr>
        <w:t>Limitation of Statutory Exceptions:</w:t>
      </w:r>
    </w:p>
    <w:p w14:paraId="382896C3" w14:textId="77777777" w:rsidR="005002F7" w:rsidRPr="00823094" w:rsidRDefault="005002F7" w:rsidP="00823094">
      <w:pPr>
        <w:numPr>
          <w:ilvl w:val="1"/>
          <w:numId w:val="37"/>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 xml:space="preserve">Narrow the application of </w:t>
      </w:r>
      <w:r w:rsidRPr="00823094">
        <w:rPr>
          <w:rFonts w:ascii="Times New Roman" w:hAnsi="Times New Roman"/>
          <w:b/>
          <w:bCs/>
          <w:lang w:val="en-HK"/>
        </w:rPr>
        <w:t>Sections 24 and 25(1)</w:t>
      </w:r>
      <w:r w:rsidRPr="00823094">
        <w:rPr>
          <w:rFonts w:ascii="Times New Roman" w:hAnsi="Times New Roman"/>
          <w:lang w:val="en-HK"/>
        </w:rPr>
        <w:t xml:space="preserve"> to cases where owners explicitly assume the risk of leaving goods in the seller’s possession.</w:t>
      </w:r>
    </w:p>
    <w:p w14:paraId="082C7ACE" w14:textId="77777777" w:rsidR="005002F7" w:rsidRPr="00823094" w:rsidRDefault="005002F7" w:rsidP="00823094">
      <w:pPr>
        <w:numPr>
          <w:ilvl w:val="1"/>
          <w:numId w:val="37"/>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 xml:space="preserve">Ensure that exceptions do not improperly displace nemo </w:t>
      </w:r>
      <w:proofErr w:type="spellStart"/>
      <w:r w:rsidRPr="00823094">
        <w:rPr>
          <w:rFonts w:ascii="Times New Roman" w:hAnsi="Times New Roman"/>
          <w:lang w:val="en-HK"/>
        </w:rPr>
        <w:t>dat</w:t>
      </w:r>
      <w:proofErr w:type="spellEnd"/>
      <w:r w:rsidRPr="00823094">
        <w:rPr>
          <w:rFonts w:ascii="Times New Roman" w:hAnsi="Times New Roman"/>
          <w:lang w:val="en-HK"/>
        </w:rPr>
        <w:t xml:space="preserve"> unless owner culpability is clear.</w:t>
      </w:r>
    </w:p>
    <w:p w14:paraId="2D6FDAA6" w14:textId="77777777" w:rsidR="005002F7" w:rsidRPr="00823094" w:rsidRDefault="002B59B5" w:rsidP="00823094">
      <w:pPr>
        <w:spacing w:line="360" w:lineRule="auto"/>
        <w:rPr>
          <w:rFonts w:ascii="Times New Roman" w:hAnsi="Times New Roman"/>
          <w:lang w:val="en-HK"/>
        </w:rPr>
      </w:pPr>
      <w:r w:rsidRPr="002B59B5">
        <w:rPr>
          <w:rFonts w:ascii="Times New Roman" w:hAnsi="Times New Roman"/>
          <w:noProof/>
          <w:lang w:val="en-HK"/>
          <w14:ligatures w14:val="standardContextual"/>
        </w:rPr>
        <w:pict w14:anchorId="12A3F6EF">
          <v:rect id="_x0000_i1026" alt="" style="width:451.3pt;height:.05pt;mso-width-percent:0;mso-height-percent:0;mso-width-percent:0;mso-height-percent:0" o:hralign="center" o:hrstd="t" o:hr="t" fillcolor="#a0a0a0" stroked="f"/>
        </w:pict>
      </w:r>
    </w:p>
    <w:p w14:paraId="3723D36B" w14:textId="77777777" w:rsidR="005002F7" w:rsidRPr="00823094" w:rsidRDefault="005002F7" w:rsidP="00823094">
      <w:pPr>
        <w:spacing w:before="100" w:beforeAutospacing="1" w:after="100" w:afterAutospacing="1" w:line="360" w:lineRule="auto"/>
        <w:outlineLvl w:val="3"/>
        <w:rPr>
          <w:rFonts w:ascii="Times New Roman" w:hAnsi="Times New Roman"/>
          <w:b/>
          <w:bCs/>
          <w:lang w:val="en-HK"/>
        </w:rPr>
      </w:pPr>
      <w:r w:rsidRPr="00823094">
        <w:rPr>
          <w:rFonts w:ascii="Times New Roman" w:hAnsi="Times New Roman"/>
          <w:b/>
          <w:bCs/>
          <w:lang w:val="en-HK"/>
        </w:rPr>
        <w:t>Commercial Certainty vs. Fairness</w:t>
      </w:r>
    </w:p>
    <w:p w14:paraId="747283CA" w14:textId="77777777" w:rsidR="005002F7" w:rsidRPr="00823094" w:rsidRDefault="005002F7" w:rsidP="00823094">
      <w:pPr>
        <w:numPr>
          <w:ilvl w:val="0"/>
          <w:numId w:val="26"/>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 xml:space="preserve">Riley acknowledges the importance of </w:t>
      </w:r>
      <w:r w:rsidRPr="00823094">
        <w:rPr>
          <w:rFonts w:ascii="Times New Roman" w:hAnsi="Times New Roman"/>
          <w:b/>
          <w:bCs/>
          <w:lang w:val="en-HK"/>
        </w:rPr>
        <w:t>commercial certainty</w:t>
      </w:r>
      <w:r w:rsidRPr="00823094">
        <w:rPr>
          <w:rFonts w:ascii="Times New Roman" w:hAnsi="Times New Roman"/>
          <w:lang w:val="en-HK"/>
        </w:rPr>
        <w:t xml:space="preserve"> in facilitating trade and protecting good faith purchasers.</w:t>
      </w:r>
    </w:p>
    <w:p w14:paraId="6836C701" w14:textId="77777777" w:rsidR="005002F7" w:rsidRPr="00823094" w:rsidRDefault="005002F7" w:rsidP="00823094">
      <w:pPr>
        <w:numPr>
          <w:ilvl w:val="0"/>
          <w:numId w:val="26"/>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 xml:space="preserve">However, he argues that fairness between parties must take precedence, especially where the owner is entirely </w:t>
      </w:r>
      <w:proofErr w:type="spellStart"/>
      <w:r w:rsidRPr="00823094">
        <w:rPr>
          <w:rFonts w:ascii="Times New Roman" w:hAnsi="Times New Roman"/>
          <w:lang w:val="en-HK"/>
        </w:rPr>
        <w:t>inculpable</w:t>
      </w:r>
      <w:proofErr w:type="spellEnd"/>
      <w:r w:rsidRPr="00823094">
        <w:rPr>
          <w:rFonts w:ascii="Times New Roman" w:hAnsi="Times New Roman"/>
          <w:lang w:val="en-HK"/>
        </w:rPr>
        <w:t>.</w:t>
      </w:r>
    </w:p>
    <w:p w14:paraId="187D5D7D" w14:textId="77777777" w:rsidR="005002F7" w:rsidRPr="00823094" w:rsidRDefault="005002F7" w:rsidP="00823094">
      <w:pPr>
        <w:numPr>
          <w:ilvl w:val="0"/>
          <w:numId w:val="26"/>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A reformed estoppel doctrine would strike a better balance, providing equitable outcomes without undermining commercial efficiency.</w:t>
      </w:r>
    </w:p>
    <w:p w14:paraId="1C783C02" w14:textId="77777777" w:rsidR="005002F7" w:rsidRPr="00823094" w:rsidRDefault="002B59B5" w:rsidP="00823094">
      <w:pPr>
        <w:spacing w:line="360" w:lineRule="auto"/>
        <w:rPr>
          <w:rFonts w:ascii="Times New Roman" w:hAnsi="Times New Roman"/>
          <w:lang w:val="en-HK"/>
        </w:rPr>
      </w:pPr>
      <w:r w:rsidRPr="002B59B5">
        <w:rPr>
          <w:rFonts w:ascii="Times New Roman" w:hAnsi="Times New Roman"/>
          <w:noProof/>
          <w:lang w:val="en-HK"/>
          <w14:ligatures w14:val="standardContextual"/>
        </w:rPr>
        <w:pict w14:anchorId="3744FD33">
          <v:rect id="_x0000_i1025" alt="" style="width:451.3pt;height:.05pt;mso-width-percent:0;mso-height-percent:0;mso-width-percent:0;mso-height-percent:0" o:hralign="center" o:hrstd="t" o:hr="t" fillcolor="#a0a0a0" stroked="f"/>
        </w:pict>
      </w:r>
    </w:p>
    <w:p w14:paraId="4BA2EA06" w14:textId="77777777" w:rsidR="005002F7" w:rsidRPr="00823094" w:rsidRDefault="005002F7" w:rsidP="00823094">
      <w:pPr>
        <w:spacing w:before="100" w:beforeAutospacing="1" w:after="100" w:afterAutospacing="1" w:line="360" w:lineRule="auto"/>
        <w:outlineLvl w:val="3"/>
        <w:rPr>
          <w:rFonts w:ascii="Times New Roman" w:hAnsi="Times New Roman"/>
          <w:b/>
          <w:bCs/>
          <w:lang w:val="en-HK"/>
        </w:rPr>
      </w:pPr>
      <w:r w:rsidRPr="00823094">
        <w:rPr>
          <w:rFonts w:ascii="Times New Roman" w:hAnsi="Times New Roman"/>
          <w:b/>
          <w:bCs/>
          <w:lang w:val="en-HK"/>
        </w:rPr>
        <w:t>Final Argument</w:t>
      </w:r>
    </w:p>
    <w:p w14:paraId="43F8C517" w14:textId="77777777" w:rsidR="005002F7" w:rsidRPr="00823094" w:rsidRDefault="005002F7" w:rsidP="00823094">
      <w:pPr>
        <w:numPr>
          <w:ilvl w:val="0"/>
          <w:numId w:val="27"/>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t xml:space="preserve">The current state of the law reflects a rigid adherence to nemo </w:t>
      </w:r>
      <w:proofErr w:type="spellStart"/>
      <w:r w:rsidRPr="00823094">
        <w:rPr>
          <w:rFonts w:ascii="Times New Roman" w:hAnsi="Times New Roman"/>
          <w:lang w:val="en-HK"/>
        </w:rPr>
        <w:t>dat</w:t>
      </w:r>
      <w:proofErr w:type="spellEnd"/>
      <w:r w:rsidRPr="00823094">
        <w:rPr>
          <w:rFonts w:ascii="Times New Roman" w:hAnsi="Times New Roman"/>
          <w:lang w:val="en-HK"/>
        </w:rPr>
        <w:t xml:space="preserve"> and insufficient consideration of the broader circumstances surrounding fraudulent dispositions.</w:t>
      </w:r>
    </w:p>
    <w:p w14:paraId="39ADE630" w14:textId="77777777" w:rsidR="005002F7" w:rsidRPr="00823094" w:rsidRDefault="005002F7" w:rsidP="00823094">
      <w:pPr>
        <w:numPr>
          <w:ilvl w:val="0"/>
          <w:numId w:val="27"/>
        </w:numPr>
        <w:spacing w:before="100" w:beforeAutospacing="1" w:after="100" w:afterAutospacing="1" w:line="360" w:lineRule="auto"/>
        <w:rPr>
          <w:rFonts w:ascii="Times New Roman" w:hAnsi="Times New Roman"/>
          <w:lang w:val="en-HK"/>
        </w:rPr>
      </w:pPr>
      <w:r w:rsidRPr="00823094">
        <w:rPr>
          <w:rFonts w:ascii="Times New Roman" w:hAnsi="Times New Roman"/>
          <w:lang w:val="en-HK"/>
        </w:rPr>
        <w:lastRenderedPageBreak/>
        <w:t>Riley concludes that embracing a broader, more flexible estoppel doctrine would address these deficiencies, ensuring a fairer balance between the competing interests of true owners and good faith purchasers.</w:t>
      </w:r>
    </w:p>
    <w:p w14:paraId="429C8D7E" w14:textId="77777777" w:rsidR="00CD39F1" w:rsidRPr="00823094" w:rsidRDefault="00CD39F1" w:rsidP="00823094">
      <w:pPr>
        <w:spacing w:line="360" w:lineRule="auto"/>
        <w:rPr>
          <w:rFonts w:ascii="Times New Roman" w:hAnsi="Times New Roman"/>
        </w:rPr>
      </w:pPr>
    </w:p>
    <w:sectPr w:rsidR="00CD39F1" w:rsidRPr="008230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0770C"/>
    <w:multiLevelType w:val="multilevel"/>
    <w:tmpl w:val="C9A0A6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1221C13"/>
    <w:multiLevelType w:val="multilevel"/>
    <w:tmpl w:val="567C65A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5677E40"/>
    <w:multiLevelType w:val="multilevel"/>
    <w:tmpl w:val="69EA923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99A0F65"/>
    <w:multiLevelType w:val="multilevel"/>
    <w:tmpl w:val="B3D0DE52"/>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BE46A0B"/>
    <w:multiLevelType w:val="multilevel"/>
    <w:tmpl w:val="F938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E3C69"/>
    <w:multiLevelType w:val="multilevel"/>
    <w:tmpl w:val="A65EF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6128E"/>
    <w:multiLevelType w:val="multilevel"/>
    <w:tmpl w:val="1A58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D0CC5"/>
    <w:multiLevelType w:val="multilevel"/>
    <w:tmpl w:val="05886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AB24BE"/>
    <w:multiLevelType w:val="multilevel"/>
    <w:tmpl w:val="A252B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F2073A"/>
    <w:multiLevelType w:val="multilevel"/>
    <w:tmpl w:val="D6261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515417"/>
    <w:multiLevelType w:val="multilevel"/>
    <w:tmpl w:val="5E2AD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D5370B"/>
    <w:multiLevelType w:val="multilevel"/>
    <w:tmpl w:val="C9A0A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F3721E"/>
    <w:multiLevelType w:val="multilevel"/>
    <w:tmpl w:val="68306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806A08"/>
    <w:multiLevelType w:val="multilevel"/>
    <w:tmpl w:val="F060422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27452DA5"/>
    <w:multiLevelType w:val="multilevel"/>
    <w:tmpl w:val="9DF8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A96CF2"/>
    <w:multiLevelType w:val="multilevel"/>
    <w:tmpl w:val="C14864A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2AA36DC3"/>
    <w:multiLevelType w:val="multilevel"/>
    <w:tmpl w:val="C9A0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981218"/>
    <w:multiLevelType w:val="multilevel"/>
    <w:tmpl w:val="C6286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5138CA"/>
    <w:multiLevelType w:val="multilevel"/>
    <w:tmpl w:val="9F642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1C3D1C"/>
    <w:multiLevelType w:val="multilevel"/>
    <w:tmpl w:val="3A64573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392637E7"/>
    <w:multiLevelType w:val="multilevel"/>
    <w:tmpl w:val="9C5A9D2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39E25C39"/>
    <w:multiLevelType w:val="multilevel"/>
    <w:tmpl w:val="C9A0A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FD1288"/>
    <w:multiLevelType w:val="multilevel"/>
    <w:tmpl w:val="638EB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831DCE"/>
    <w:multiLevelType w:val="multilevel"/>
    <w:tmpl w:val="3A46EB0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3CE96E3B"/>
    <w:multiLevelType w:val="multilevel"/>
    <w:tmpl w:val="182E1E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FB7193"/>
    <w:multiLevelType w:val="multilevel"/>
    <w:tmpl w:val="07BAB55C"/>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40070CE4"/>
    <w:multiLevelType w:val="multilevel"/>
    <w:tmpl w:val="88E2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160210"/>
    <w:multiLevelType w:val="multilevel"/>
    <w:tmpl w:val="C9A0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73382F"/>
    <w:multiLevelType w:val="multilevel"/>
    <w:tmpl w:val="C9A0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D15707"/>
    <w:multiLevelType w:val="multilevel"/>
    <w:tmpl w:val="E6A6E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AB3726"/>
    <w:multiLevelType w:val="multilevel"/>
    <w:tmpl w:val="F7DC4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E97A6E"/>
    <w:multiLevelType w:val="multilevel"/>
    <w:tmpl w:val="55145C1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514D4536"/>
    <w:multiLevelType w:val="multilevel"/>
    <w:tmpl w:val="E26E1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8C4541"/>
    <w:multiLevelType w:val="multilevel"/>
    <w:tmpl w:val="2900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851A45"/>
    <w:multiLevelType w:val="multilevel"/>
    <w:tmpl w:val="E2AA2C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E04CEE"/>
    <w:multiLevelType w:val="multilevel"/>
    <w:tmpl w:val="C9A0A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6F1D67"/>
    <w:multiLevelType w:val="multilevel"/>
    <w:tmpl w:val="4088EB6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5B7C5AE8"/>
    <w:multiLevelType w:val="multilevel"/>
    <w:tmpl w:val="C9A0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674E4F"/>
    <w:multiLevelType w:val="multilevel"/>
    <w:tmpl w:val="CD827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B60E54"/>
    <w:multiLevelType w:val="multilevel"/>
    <w:tmpl w:val="E420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044248"/>
    <w:multiLevelType w:val="multilevel"/>
    <w:tmpl w:val="0036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E6656A"/>
    <w:multiLevelType w:val="multilevel"/>
    <w:tmpl w:val="EA902F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color w:val="auto"/>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6362A9"/>
    <w:multiLevelType w:val="multilevel"/>
    <w:tmpl w:val="C9A0A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095103"/>
    <w:multiLevelType w:val="multilevel"/>
    <w:tmpl w:val="667CF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376FAC"/>
    <w:multiLevelType w:val="multilevel"/>
    <w:tmpl w:val="C9A0A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7D614A"/>
    <w:multiLevelType w:val="multilevel"/>
    <w:tmpl w:val="83FAA2CE"/>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6" w15:restartNumberingAfterBreak="0">
    <w:nsid w:val="6FD041B9"/>
    <w:multiLevelType w:val="multilevel"/>
    <w:tmpl w:val="C9A0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CE2C83"/>
    <w:multiLevelType w:val="multilevel"/>
    <w:tmpl w:val="C7C2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E763A8"/>
    <w:multiLevelType w:val="multilevel"/>
    <w:tmpl w:val="0296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BA6423"/>
    <w:multiLevelType w:val="multilevel"/>
    <w:tmpl w:val="BA0AB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5D1C04"/>
    <w:multiLevelType w:val="multilevel"/>
    <w:tmpl w:val="0038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2F6E21"/>
    <w:multiLevelType w:val="hybridMultilevel"/>
    <w:tmpl w:val="F5566420"/>
    <w:lvl w:ilvl="0" w:tplc="E8DAAF48">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A49149B"/>
    <w:multiLevelType w:val="multilevel"/>
    <w:tmpl w:val="45DA4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7A35E1"/>
    <w:multiLevelType w:val="multilevel"/>
    <w:tmpl w:val="6E7AB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294F6F"/>
    <w:multiLevelType w:val="multilevel"/>
    <w:tmpl w:val="C9A0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D2740A"/>
    <w:multiLevelType w:val="multilevel"/>
    <w:tmpl w:val="0B864F1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726227323">
    <w:abstractNumId w:val="50"/>
  </w:num>
  <w:num w:numId="2" w16cid:durableId="431168172">
    <w:abstractNumId w:val="14"/>
  </w:num>
  <w:num w:numId="3" w16cid:durableId="1431924680">
    <w:abstractNumId w:val="55"/>
  </w:num>
  <w:num w:numId="4" w16cid:durableId="879126911">
    <w:abstractNumId w:val="9"/>
  </w:num>
  <w:num w:numId="5" w16cid:durableId="5249703">
    <w:abstractNumId w:val="43"/>
  </w:num>
  <w:num w:numId="6" w16cid:durableId="677580287">
    <w:abstractNumId w:val="26"/>
  </w:num>
  <w:num w:numId="7" w16cid:durableId="956326876">
    <w:abstractNumId w:val="10"/>
  </w:num>
  <w:num w:numId="8" w16cid:durableId="1409578280">
    <w:abstractNumId w:val="15"/>
  </w:num>
  <w:num w:numId="9" w16cid:durableId="515466609">
    <w:abstractNumId w:val="30"/>
  </w:num>
  <w:num w:numId="10" w16cid:durableId="73091815">
    <w:abstractNumId w:val="36"/>
  </w:num>
  <w:num w:numId="11" w16cid:durableId="1489056351">
    <w:abstractNumId w:val="33"/>
  </w:num>
  <w:num w:numId="12" w16cid:durableId="1071389400">
    <w:abstractNumId w:val="17"/>
  </w:num>
  <w:num w:numId="13" w16cid:durableId="1219442795">
    <w:abstractNumId w:val="5"/>
  </w:num>
  <w:num w:numId="14" w16cid:durableId="752553910">
    <w:abstractNumId w:val="19"/>
  </w:num>
  <w:num w:numId="15" w16cid:durableId="269825837">
    <w:abstractNumId w:val="52"/>
  </w:num>
  <w:num w:numId="16" w16cid:durableId="1041904157">
    <w:abstractNumId w:val="47"/>
  </w:num>
  <w:num w:numId="17" w16cid:durableId="980041457">
    <w:abstractNumId w:val="20"/>
  </w:num>
  <w:num w:numId="18" w16cid:durableId="1978563352">
    <w:abstractNumId w:val="48"/>
  </w:num>
  <w:num w:numId="19" w16cid:durableId="1508396884">
    <w:abstractNumId w:val="13"/>
  </w:num>
  <w:num w:numId="20" w16cid:durableId="414590077">
    <w:abstractNumId w:val="2"/>
  </w:num>
  <w:num w:numId="21" w16cid:durableId="1081564564">
    <w:abstractNumId w:val="6"/>
  </w:num>
  <w:num w:numId="22" w16cid:durableId="1716007071">
    <w:abstractNumId w:val="39"/>
  </w:num>
  <w:num w:numId="23" w16cid:durableId="982928408">
    <w:abstractNumId w:val="3"/>
  </w:num>
  <w:num w:numId="24" w16cid:durableId="601643082">
    <w:abstractNumId w:val="53"/>
  </w:num>
  <w:num w:numId="25" w16cid:durableId="693111217">
    <w:abstractNumId w:val="31"/>
  </w:num>
  <w:num w:numId="26" w16cid:durableId="1513688300">
    <w:abstractNumId w:val="4"/>
  </w:num>
  <w:num w:numId="27" w16cid:durableId="887183530">
    <w:abstractNumId w:val="40"/>
  </w:num>
  <w:num w:numId="28" w16cid:durableId="320428488">
    <w:abstractNumId w:val="32"/>
  </w:num>
  <w:num w:numId="29" w16cid:durableId="1805735908">
    <w:abstractNumId w:val="8"/>
  </w:num>
  <w:num w:numId="30" w16cid:durableId="780417925">
    <w:abstractNumId w:val="1"/>
  </w:num>
  <w:num w:numId="31" w16cid:durableId="679746056">
    <w:abstractNumId w:val="12"/>
  </w:num>
  <w:num w:numId="32" w16cid:durableId="1583562210">
    <w:abstractNumId w:val="38"/>
  </w:num>
  <w:num w:numId="33" w16cid:durableId="330640637">
    <w:abstractNumId w:val="22"/>
  </w:num>
  <w:num w:numId="34" w16cid:durableId="800029524">
    <w:abstractNumId w:val="24"/>
  </w:num>
  <w:num w:numId="35" w16cid:durableId="1821993486">
    <w:abstractNumId w:val="34"/>
  </w:num>
  <w:num w:numId="36" w16cid:durableId="1863476093">
    <w:abstractNumId w:val="25"/>
  </w:num>
  <w:num w:numId="37" w16cid:durableId="322973326">
    <w:abstractNumId w:val="45"/>
  </w:num>
  <w:num w:numId="38" w16cid:durableId="1971208055">
    <w:abstractNumId w:val="51"/>
  </w:num>
  <w:num w:numId="39" w16cid:durableId="1237786698">
    <w:abstractNumId w:val="49"/>
  </w:num>
  <w:num w:numId="40" w16cid:durableId="1244952264">
    <w:abstractNumId w:val="44"/>
  </w:num>
  <w:num w:numId="41" w16cid:durableId="1737970332">
    <w:abstractNumId w:val="41"/>
  </w:num>
  <w:num w:numId="42" w16cid:durableId="331957347">
    <w:abstractNumId w:val="35"/>
  </w:num>
  <w:num w:numId="43" w16cid:durableId="1795950643">
    <w:abstractNumId w:val="11"/>
  </w:num>
  <w:num w:numId="44" w16cid:durableId="1119034795">
    <w:abstractNumId w:val="21"/>
  </w:num>
  <w:num w:numId="45" w16cid:durableId="276059255">
    <w:abstractNumId w:val="46"/>
  </w:num>
  <w:num w:numId="46" w16cid:durableId="567618233">
    <w:abstractNumId w:val="18"/>
  </w:num>
  <w:num w:numId="47" w16cid:durableId="1130317612">
    <w:abstractNumId w:val="27"/>
  </w:num>
  <w:num w:numId="48" w16cid:durableId="870729375">
    <w:abstractNumId w:val="16"/>
  </w:num>
  <w:num w:numId="49" w16cid:durableId="757560867">
    <w:abstractNumId w:val="7"/>
  </w:num>
  <w:num w:numId="50" w16cid:durableId="1166477763">
    <w:abstractNumId w:val="37"/>
  </w:num>
  <w:num w:numId="51" w16cid:durableId="89281940">
    <w:abstractNumId w:val="23"/>
  </w:num>
  <w:num w:numId="52" w16cid:durableId="1024094258">
    <w:abstractNumId w:val="42"/>
  </w:num>
  <w:num w:numId="53" w16cid:durableId="817460741">
    <w:abstractNumId w:val="28"/>
  </w:num>
  <w:num w:numId="54" w16cid:durableId="301541845">
    <w:abstractNumId w:val="54"/>
  </w:num>
  <w:num w:numId="55" w16cid:durableId="1279533483">
    <w:abstractNumId w:val="0"/>
  </w:num>
  <w:num w:numId="56" w16cid:durableId="210155927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F66"/>
    <w:rsid w:val="00012117"/>
    <w:rsid w:val="000147A9"/>
    <w:rsid w:val="00042755"/>
    <w:rsid w:val="0006107D"/>
    <w:rsid w:val="000623A3"/>
    <w:rsid w:val="000719DA"/>
    <w:rsid w:val="00094D65"/>
    <w:rsid w:val="00095BC2"/>
    <w:rsid w:val="000A2074"/>
    <w:rsid w:val="000A3F4D"/>
    <w:rsid w:val="000A64DA"/>
    <w:rsid w:val="000C4ABC"/>
    <w:rsid w:val="000C58D7"/>
    <w:rsid w:val="000E15ED"/>
    <w:rsid w:val="00101CCF"/>
    <w:rsid w:val="001372F7"/>
    <w:rsid w:val="00146F54"/>
    <w:rsid w:val="001662AC"/>
    <w:rsid w:val="00175AB8"/>
    <w:rsid w:val="0019260C"/>
    <w:rsid w:val="001A41D2"/>
    <w:rsid w:val="001B0E31"/>
    <w:rsid w:val="001D360C"/>
    <w:rsid w:val="001E2584"/>
    <w:rsid w:val="002033A2"/>
    <w:rsid w:val="00223837"/>
    <w:rsid w:val="00243CED"/>
    <w:rsid w:val="00247BCC"/>
    <w:rsid w:val="00257540"/>
    <w:rsid w:val="0026510F"/>
    <w:rsid w:val="00291F37"/>
    <w:rsid w:val="00297C6E"/>
    <w:rsid w:val="002B59B5"/>
    <w:rsid w:val="002D715D"/>
    <w:rsid w:val="002E46F2"/>
    <w:rsid w:val="002F1DB1"/>
    <w:rsid w:val="002F20B2"/>
    <w:rsid w:val="002F53C9"/>
    <w:rsid w:val="003048A0"/>
    <w:rsid w:val="0031138E"/>
    <w:rsid w:val="0031474F"/>
    <w:rsid w:val="00315815"/>
    <w:rsid w:val="003278F5"/>
    <w:rsid w:val="00330665"/>
    <w:rsid w:val="00342A18"/>
    <w:rsid w:val="00361975"/>
    <w:rsid w:val="00376E23"/>
    <w:rsid w:val="0039416B"/>
    <w:rsid w:val="003A1271"/>
    <w:rsid w:val="003A5DF7"/>
    <w:rsid w:val="003B3510"/>
    <w:rsid w:val="003C116C"/>
    <w:rsid w:val="003D0CDD"/>
    <w:rsid w:val="003E1CAA"/>
    <w:rsid w:val="0040210F"/>
    <w:rsid w:val="004222FD"/>
    <w:rsid w:val="004319FA"/>
    <w:rsid w:val="00474DD1"/>
    <w:rsid w:val="004751B5"/>
    <w:rsid w:val="0048097D"/>
    <w:rsid w:val="0048175B"/>
    <w:rsid w:val="004845CE"/>
    <w:rsid w:val="004A553E"/>
    <w:rsid w:val="004B1048"/>
    <w:rsid w:val="004D01FE"/>
    <w:rsid w:val="004D582C"/>
    <w:rsid w:val="004D5B1A"/>
    <w:rsid w:val="004E458E"/>
    <w:rsid w:val="004F0E12"/>
    <w:rsid w:val="004F5A36"/>
    <w:rsid w:val="005002F7"/>
    <w:rsid w:val="00505437"/>
    <w:rsid w:val="005120A1"/>
    <w:rsid w:val="00520D5A"/>
    <w:rsid w:val="00542B57"/>
    <w:rsid w:val="00557B52"/>
    <w:rsid w:val="005743EA"/>
    <w:rsid w:val="005770A9"/>
    <w:rsid w:val="0058416B"/>
    <w:rsid w:val="00595357"/>
    <w:rsid w:val="005A1930"/>
    <w:rsid w:val="005A6EEA"/>
    <w:rsid w:val="005B34ED"/>
    <w:rsid w:val="005B61CD"/>
    <w:rsid w:val="005C4FF3"/>
    <w:rsid w:val="005C50B3"/>
    <w:rsid w:val="005C6B83"/>
    <w:rsid w:val="005D57DA"/>
    <w:rsid w:val="005E7702"/>
    <w:rsid w:val="005F33FC"/>
    <w:rsid w:val="00605F8E"/>
    <w:rsid w:val="00613954"/>
    <w:rsid w:val="00650543"/>
    <w:rsid w:val="00654D8B"/>
    <w:rsid w:val="00661136"/>
    <w:rsid w:val="00662C03"/>
    <w:rsid w:val="0068027B"/>
    <w:rsid w:val="006C42B8"/>
    <w:rsid w:val="006C50C7"/>
    <w:rsid w:val="006D1612"/>
    <w:rsid w:val="00713CA9"/>
    <w:rsid w:val="007455C6"/>
    <w:rsid w:val="007475C7"/>
    <w:rsid w:val="0075265A"/>
    <w:rsid w:val="0075498E"/>
    <w:rsid w:val="00757BE5"/>
    <w:rsid w:val="00760E46"/>
    <w:rsid w:val="007643D2"/>
    <w:rsid w:val="00766D82"/>
    <w:rsid w:val="007678B2"/>
    <w:rsid w:val="0078776B"/>
    <w:rsid w:val="00796A93"/>
    <w:rsid w:val="007B48C2"/>
    <w:rsid w:val="007B4F66"/>
    <w:rsid w:val="007D68F0"/>
    <w:rsid w:val="007D6FEC"/>
    <w:rsid w:val="007E1559"/>
    <w:rsid w:val="007F0156"/>
    <w:rsid w:val="007F776E"/>
    <w:rsid w:val="00816563"/>
    <w:rsid w:val="00823094"/>
    <w:rsid w:val="00830C88"/>
    <w:rsid w:val="00861B11"/>
    <w:rsid w:val="008829C2"/>
    <w:rsid w:val="008A54BE"/>
    <w:rsid w:val="008C7B0A"/>
    <w:rsid w:val="008D0642"/>
    <w:rsid w:val="008E43C2"/>
    <w:rsid w:val="008E745B"/>
    <w:rsid w:val="008F4EA7"/>
    <w:rsid w:val="008F5A10"/>
    <w:rsid w:val="00905ED0"/>
    <w:rsid w:val="0093405B"/>
    <w:rsid w:val="0094782D"/>
    <w:rsid w:val="00966189"/>
    <w:rsid w:val="00974434"/>
    <w:rsid w:val="00977514"/>
    <w:rsid w:val="009A48B0"/>
    <w:rsid w:val="009B24D6"/>
    <w:rsid w:val="009B2F21"/>
    <w:rsid w:val="009C6498"/>
    <w:rsid w:val="009E62AF"/>
    <w:rsid w:val="00A03BBD"/>
    <w:rsid w:val="00A21254"/>
    <w:rsid w:val="00A220B7"/>
    <w:rsid w:val="00A37AB0"/>
    <w:rsid w:val="00A4085F"/>
    <w:rsid w:val="00A45953"/>
    <w:rsid w:val="00A93FBA"/>
    <w:rsid w:val="00A95C7E"/>
    <w:rsid w:val="00AB609D"/>
    <w:rsid w:val="00AC3AB8"/>
    <w:rsid w:val="00AE4348"/>
    <w:rsid w:val="00AE4BAF"/>
    <w:rsid w:val="00AF5541"/>
    <w:rsid w:val="00B03D5A"/>
    <w:rsid w:val="00B200EB"/>
    <w:rsid w:val="00B23297"/>
    <w:rsid w:val="00B360EE"/>
    <w:rsid w:val="00B53B6F"/>
    <w:rsid w:val="00B651D9"/>
    <w:rsid w:val="00B67231"/>
    <w:rsid w:val="00B73742"/>
    <w:rsid w:val="00B914E6"/>
    <w:rsid w:val="00B95747"/>
    <w:rsid w:val="00B96471"/>
    <w:rsid w:val="00BC4186"/>
    <w:rsid w:val="00BC5F25"/>
    <w:rsid w:val="00BD7714"/>
    <w:rsid w:val="00BD7C9B"/>
    <w:rsid w:val="00C072F8"/>
    <w:rsid w:val="00C163D7"/>
    <w:rsid w:val="00C17D79"/>
    <w:rsid w:val="00C24A8A"/>
    <w:rsid w:val="00C27321"/>
    <w:rsid w:val="00C44474"/>
    <w:rsid w:val="00C44EB3"/>
    <w:rsid w:val="00C531F7"/>
    <w:rsid w:val="00C54722"/>
    <w:rsid w:val="00C616D7"/>
    <w:rsid w:val="00C65F70"/>
    <w:rsid w:val="00C941C4"/>
    <w:rsid w:val="00C96A36"/>
    <w:rsid w:val="00CA0B74"/>
    <w:rsid w:val="00CA350B"/>
    <w:rsid w:val="00CA3F60"/>
    <w:rsid w:val="00CC2EFF"/>
    <w:rsid w:val="00CC4FEF"/>
    <w:rsid w:val="00CD39F1"/>
    <w:rsid w:val="00CE1439"/>
    <w:rsid w:val="00CF74EF"/>
    <w:rsid w:val="00D02AC8"/>
    <w:rsid w:val="00D0623C"/>
    <w:rsid w:val="00D07271"/>
    <w:rsid w:val="00D16917"/>
    <w:rsid w:val="00D65735"/>
    <w:rsid w:val="00D76D14"/>
    <w:rsid w:val="00DA31CB"/>
    <w:rsid w:val="00DA3D31"/>
    <w:rsid w:val="00DA4488"/>
    <w:rsid w:val="00DB2E35"/>
    <w:rsid w:val="00DC0040"/>
    <w:rsid w:val="00DC0B7B"/>
    <w:rsid w:val="00DC495B"/>
    <w:rsid w:val="00DC7181"/>
    <w:rsid w:val="00DD6F5C"/>
    <w:rsid w:val="00DE6C87"/>
    <w:rsid w:val="00E14A1A"/>
    <w:rsid w:val="00E14E1F"/>
    <w:rsid w:val="00E2730E"/>
    <w:rsid w:val="00E438AC"/>
    <w:rsid w:val="00E5689E"/>
    <w:rsid w:val="00E60DF5"/>
    <w:rsid w:val="00E64DD3"/>
    <w:rsid w:val="00E80D33"/>
    <w:rsid w:val="00E94201"/>
    <w:rsid w:val="00E95D8D"/>
    <w:rsid w:val="00EA6ED5"/>
    <w:rsid w:val="00EB7051"/>
    <w:rsid w:val="00EC68EB"/>
    <w:rsid w:val="00EC7C43"/>
    <w:rsid w:val="00EE4F6A"/>
    <w:rsid w:val="00EF3EF4"/>
    <w:rsid w:val="00F012E4"/>
    <w:rsid w:val="00F248D2"/>
    <w:rsid w:val="00F27F00"/>
    <w:rsid w:val="00F62639"/>
    <w:rsid w:val="00F655F4"/>
    <w:rsid w:val="00F71153"/>
    <w:rsid w:val="00F858D4"/>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4A92C"/>
  <w15:chartTrackingRefBased/>
  <w15:docId w15:val="{CFADB104-5A3E-7C4F-93FB-8998BEA1D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7B4F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4F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B4F6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B4F6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B4F6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B4F6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B4F6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B4F6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B4F6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F66"/>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7B4F66"/>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7B4F66"/>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7B4F66"/>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7B4F66"/>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7B4F66"/>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7B4F66"/>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7B4F66"/>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7B4F66"/>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7B4F6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F66"/>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7B4F6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F66"/>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7B4F6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B4F66"/>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7B4F66"/>
    <w:pPr>
      <w:ind w:left="720"/>
      <w:contextualSpacing/>
    </w:pPr>
  </w:style>
  <w:style w:type="character" w:styleId="IntenseEmphasis">
    <w:name w:val="Intense Emphasis"/>
    <w:basedOn w:val="DefaultParagraphFont"/>
    <w:uiPriority w:val="21"/>
    <w:qFormat/>
    <w:rsid w:val="007B4F66"/>
    <w:rPr>
      <w:i/>
      <w:iCs/>
      <w:color w:val="2F5496" w:themeColor="accent1" w:themeShade="BF"/>
    </w:rPr>
  </w:style>
  <w:style w:type="paragraph" w:styleId="IntenseQuote">
    <w:name w:val="Intense Quote"/>
    <w:basedOn w:val="Normal"/>
    <w:next w:val="Normal"/>
    <w:link w:val="IntenseQuoteChar"/>
    <w:uiPriority w:val="30"/>
    <w:qFormat/>
    <w:rsid w:val="007B4F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4F66"/>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7B4F66"/>
    <w:rPr>
      <w:b/>
      <w:bCs/>
      <w:smallCaps/>
      <w:color w:val="2F5496" w:themeColor="accent1" w:themeShade="BF"/>
      <w:spacing w:val="5"/>
    </w:rPr>
  </w:style>
  <w:style w:type="character" w:styleId="Strong">
    <w:name w:val="Strong"/>
    <w:basedOn w:val="DefaultParagraphFont"/>
    <w:uiPriority w:val="22"/>
    <w:qFormat/>
    <w:rsid w:val="007B4F66"/>
    <w:rPr>
      <w:b/>
      <w:bCs/>
    </w:rPr>
  </w:style>
  <w:style w:type="paragraph" w:styleId="NormalWeb">
    <w:name w:val="Normal (Web)"/>
    <w:basedOn w:val="Normal"/>
    <w:uiPriority w:val="99"/>
    <w:semiHidden/>
    <w:unhideWhenUsed/>
    <w:rsid w:val="007B4F66"/>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5002F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8763420">
      <w:bodyDiv w:val="1"/>
      <w:marLeft w:val="0"/>
      <w:marRight w:val="0"/>
      <w:marTop w:val="0"/>
      <w:marBottom w:val="0"/>
      <w:divBdr>
        <w:top w:val="none" w:sz="0" w:space="0" w:color="auto"/>
        <w:left w:val="none" w:sz="0" w:space="0" w:color="auto"/>
        <w:bottom w:val="none" w:sz="0" w:space="0" w:color="auto"/>
        <w:right w:val="none" w:sz="0" w:space="0" w:color="auto"/>
      </w:divBdr>
    </w:div>
    <w:div w:id="174343356">
      <w:bodyDiv w:val="1"/>
      <w:marLeft w:val="0"/>
      <w:marRight w:val="0"/>
      <w:marTop w:val="0"/>
      <w:marBottom w:val="0"/>
      <w:divBdr>
        <w:top w:val="none" w:sz="0" w:space="0" w:color="auto"/>
        <w:left w:val="none" w:sz="0" w:space="0" w:color="auto"/>
        <w:bottom w:val="none" w:sz="0" w:space="0" w:color="auto"/>
        <w:right w:val="none" w:sz="0" w:space="0" w:color="auto"/>
      </w:divBdr>
    </w:div>
    <w:div w:id="344603042">
      <w:bodyDiv w:val="1"/>
      <w:marLeft w:val="0"/>
      <w:marRight w:val="0"/>
      <w:marTop w:val="0"/>
      <w:marBottom w:val="0"/>
      <w:divBdr>
        <w:top w:val="none" w:sz="0" w:space="0" w:color="auto"/>
        <w:left w:val="none" w:sz="0" w:space="0" w:color="auto"/>
        <w:bottom w:val="none" w:sz="0" w:space="0" w:color="auto"/>
        <w:right w:val="none" w:sz="0" w:space="0" w:color="auto"/>
      </w:divBdr>
      <w:divsChild>
        <w:div w:id="1142887529">
          <w:marLeft w:val="0"/>
          <w:marRight w:val="0"/>
          <w:marTop w:val="0"/>
          <w:marBottom w:val="0"/>
          <w:divBdr>
            <w:top w:val="none" w:sz="0" w:space="0" w:color="auto"/>
            <w:left w:val="none" w:sz="0" w:space="0" w:color="auto"/>
            <w:bottom w:val="none" w:sz="0" w:space="0" w:color="auto"/>
            <w:right w:val="none" w:sz="0" w:space="0" w:color="auto"/>
          </w:divBdr>
          <w:divsChild>
            <w:div w:id="356271541">
              <w:marLeft w:val="0"/>
              <w:marRight w:val="0"/>
              <w:marTop w:val="0"/>
              <w:marBottom w:val="0"/>
              <w:divBdr>
                <w:top w:val="none" w:sz="0" w:space="0" w:color="auto"/>
                <w:left w:val="none" w:sz="0" w:space="0" w:color="auto"/>
                <w:bottom w:val="none" w:sz="0" w:space="0" w:color="auto"/>
                <w:right w:val="none" w:sz="0" w:space="0" w:color="auto"/>
              </w:divBdr>
              <w:divsChild>
                <w:div w:id="96346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305994">
      <w:bodyDiv w:val="1"/>
      <w:marLeft w:val="0"/>
      <w:marRight w:val="0"/>
      <w:marTop w:val="0"/>
      <w:marBottom w:val="0"/>
      <w:divBdr>
        <w:top w:val="none" w:sz="0" w:space="0" w:color="auto"/>
        <w:left w:val="none" w:sz="0" w:space="0" w:color="auto"/>
        <w:bottom w:val="none" w:sz="0" w:space="0" w:color="auto"/>
        <w:right w:val="none" w:sz="0" w:space="0" w:color="auto"/>
      </w:divBdr>
    </w:div>
    <w:div w:id="730467014">
      <w:bodyDiv w:val="1"/>
      <w:marLeft w:val="0"/>
      <w:marRight w:val="0"/>
      <w:marTop w:val="0"/>
      <w:marBottom w:val="0"/>
      <w:divBdr>
        <w:top w:val="none" w:sz="0" w:space="0" w:color="auto"/>
        <w:left w:val="none" w:sz="0" w:space="0" w:color="auto"/>
        <w:bottom w:val="none" w:sz="0" w:space="0" w:color="auto"/>
        <w:right w:val="none" w:sz="0" w:space="0" w:color="auto"/>
      </w:divBdr>
    </w:div>
    <w:div w:id="862939795">
      <w:bodyDiv w:val="1"/>
      <w:marLeft w:val="0"/>
      <w:marRight w:val="0"/>
      <w:marTop w:val="0"/>
      <w:marBottom w:val="0"/>
      <w:divBdr>
        <w:top w:val="none" w:sz="0" w:space="0" w:color="auto"/>
        <w:left w:val="none" w:sz="0" w:space="0" w:color="auto"/>
        <w:bottom w:val="none" w:sz="0" w:space="0" w:color="auto"/>
        <w:right w:val="none" w:sz="0" w:space="0" w:color="auto"/>
      </w:divBdr>
    </w:div>
    <w:div w:id="887570229">
      <w:bodyDiv w:val="1"/>
      <w:marLeft w:val="0"/>
      <w:marRight w:val="0"/>
      <w:marTop w:val="0"/>
      <w:marBottom w:val="0"/>
      <w:divBdr>
        <w:top w:val="none" w:sz="0" w:space="0" w:color="auto"/>
        <w:left w:val="none" w:sz="0" w:space="0" w:color="auto"/>
        <w:bottom w:val="none" w:sz="0" w:space="0" w:color="auto"/>
        <w:right w:val="none" w:sz="0" w:space="0" w:color="auto"/>
      </w:divBdr>
    </w:div>
    <w:div w:id="978611436">
      <w:bodyDiv w:val="1"/>
      <w:marLeft w:val="0"/>
      <w:marRight w:val="0"/>
      <w:marTop w:val="0"/>
      <w:marBottom w:val="0"/>
      <w:divBdr>
        <w:top w:val="none" w:sz="0" w:space="0" w:color="auto"/>
        <w:left w:val="none" w:sz="0" w:space="0" w:color="auto"/>
        <w:bottom w:val="none" w:sz="0" w:space="0" w:color="auto"/>
        <w:right w:val="none" w:sz="0" w:space="0" w:color="auto"/>
      </w:divBdr>
    </w:div>
    <w:div w:id="1222979383">
      <w:bodyDiv w:val="1"/>
      <w:marLeft w:val="0"/>
      <w:marRight w:val="0"/>
      <w:marTop w:val="0"/>
      <w:marBottom w:val="0"/>
      <w:divBdr>
        <w:top w:val="none" w:sz="0" w:space="0" w:color="auto"/>
        <w:left w:val="none" w:sz="0" w:space="0" w:color="auto"/>
        <w:bottom w:val="none" w:sz="0" w:space="0" w:color="auto"/>
        <w:right w:val="none" w:sz="0" w:space="0" w:color="auto"/>
      </w:divBdr>
    </w:div>
    <w:div w:id="1598294966">
      <w:bodyDiv w:val="1"/>
      <w:marLeft w:val="0"/>
      <w:marRight w:val="0"/>
      <w:marTop w:val="0"/>
      <w:marBottom w:val="0"/>
      <w:divBdr>
        <w:top w:val="none" w:sz="0" w:space="0" w:color="auto"/>
        <w:left w:val="none" w:sz="0" w:space="0" w:color="auto"/>
        <w:bottom w:val="none" w:sz="0" w:space="0" w:color="auto"/>
        <w:right w:val="none" w:sz="0" w:space="0" w:color="auto"/>
      </w:divBdr>
    </w:div>
    <w:div w:id="1990400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23</Pages>
  <Words>4348</Words>
  <Characters>24784</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11</cp:revision>
  <dcterms:created xsi:type="dcterms:W3CDTF">2025-01-12T18:51:00Z</dcterms:created>
  <dcterms:modified xsi:type="dcterms:W3CDTF">2025-01-12T20:15:00Z</dcterms:modified>
</cp:coreProperties>
</file>