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93185" w14:textId="77777777" w:rsidR="00AF746A" w:rsidRPr="00AF746A" w:rsidRDefault="00AF746A" w:rsidP="00AF746A">
      <w:pPr>
        <w:spacing w:before="100" w:beforeAutospacing="1" w:after="100" w:afterAutospacing="1" w:line="360" w:lineRule="auto"/>
        <w:outlineLvl w:val="2"/>
        <w:rPr>
          <w:rFonts w:ascii="Times New Roman" w:hAnsi="Times New Roman"/>
          <w:b/>
          <w:bCs/>
          <w:lang w:val="en-HK"/>
        </w:rPr>
      </w:pPr>
      <w:r w:rsidRPr="00AF746A">
        <w:rPr>
          <w:rFonts w:ascii="Times New Roman" w:hAnsi="Times New Roman"/>
          <w:b/>
          <w:bCs/>
          <w:lang w:val="en-HK"/>
        </w:rPr>
        <w:t>Key Statutory Provisions: Factors Act 1889</w:t>
      </w:r>
    </w:p>
    <w:p w14:paraId="72DD7DB3" w14:textId="77777777" w:rsidR="00AF746A" w:rsidRPr="005A5E2D" w:rsidRDefault="00AF746A" w:rsidP="00AF746A">
      <w:pPr>
        <w:spacing w:before="100" w:beforeAutospacing="1" w:after="100" w:afterAutospacing="1" w:line="360" w:lineRule="auto"/>
        <w:rPr>
          <w:rFonts w:ascii="Times New Roman" w:hAnsi="Times New Roman"/>
          <w:b/>
          <w:bCs/>
          <w:color w:val="FF0000"/>
          <w:lang w:val="en-HK"/>
        </w:rPr>
      </w:pPr>
      <w:r w:rsidRPr="005A5E2D">
        <w:rPr>
          <w:rFonts w:ascii="Times New Roman" w:hAnsi="Times New Roman"/>
          <w:b/>
          <w:bCs/>
          <w:color w:val="FF0000"/>
          <w:lang w:val="en-HK"/>
        </w:rPr>
        <w:t>Section 2(1):</w:t>
      </w:r>
    </w:p>
    <w:p w14:paraId="362C39AF"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A purchaser of goods from a mercantile agent can acquire good title if:</w:t>
      </w:r>
    </w:p>
    <w:p w14:paraId="59ADB994" w14:textId="77777777" w:rsidR="00AF746A" w:rsidRPr="00AF746A" w:rsidRDefault="00AF746A" w:rsidP="00AF746A">
      <w:pPr>
        <w:numPr>
          <w:ilvl w:val="2"/>
          <w:numId w:val="1"/>
        </w:num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The agent is </w:t>
      </w:r>
      <w:r w:rsidRPr="00AF746A">
        <w:rPr>
          <w:rFonts w:ascii="Times New Roman" w:hAnsi="Times New Roman"/>
          <w:b/>
          <w:bCs/>
          <w:lang w:val="en-HK"/>
        </w:rPr>
        <w:t>in possession of the goods</w:t>
      </w:r>
      <w:r w:rsidRPr="00AF746A">
        <w:rPr>
          <w:rFonts w:ascii="Times New Roman" w:hAnsi="Times New Roman"/>
          <w:lang w:val="en-HK"/>
        </w:rPr>
        <w:t xml:space="preserve"> or their </w:t>
      </w:r>
      <w:r w:rsidRPr="00AF746A">
        <w:rPr>
          <w:rFonts w:ascii="Times New Roman" w:hAnsi="Times New Roman"/>
          <w:b/>
          <w:bCs/>
          <w:lang w:val="en-HK"/>
        </w:rPr>
        <w:t>documents of title</w:t>
      </w:r>
      <w:r w:rsidRPr="00AF746A">
        <w:rPr>
          <w:rFonts w:ascii="Times New Roman" w:hAnsi="Times New Roman"/>
          <w:lang w:val="en-HK"/>
        </w:rPr>
        <w:t xml:space="preserve"> with the </w:t>
      </w:r>
      <w:r w:rsidRPr="00AF746A">
        <w:rPr>
          <w:rFonts w:ascii="Times New Roman" w:hAnsi="Times New Roman"/>
          <w:b/>
          <w:bCs/>
          <w:lang w:val="en-HK"/>
        </w:rPr>
        <w:t>owner’s consent</w:t>
      </w:r>
      <w:r w:rsidRPr="00AF746A">
        <w:rPr>
          <w:rFonts w:ascii="Times New Roman" w:hAnsi="Times New Roman"/>
          <w:lang w:val="en-HK"/>
        </w:rPr>
        <w:t>.</w:t>
      </w:r>
    </w:p>
    <w:p w14:paraId="78B535C8" w14:textId="77777777" w:rsidR="00AF746A" w:rsidRPr="00AF746A" w:rsidRDefault="00AF746A" w:rsidP="00AF746A">
      <w:pPr>
        <w:numPr>
          <w:ilvl w:val="2"/>
          <w:numId w:val="1"/>
        </w:num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The sale is made </w:t>
      </w:r>
      <w:r w:rsidRPr="00AF746A">
        <w:rPr>
          <w:rFonts w:ascii="Times New Roman" w:hAnsi="Times New Roman"/>
          <w:b/>
          <w:bCs/>
          <w:lang w:val="en-HK"/>
        </w:rPr>
        <w:t>in the ordinary course of business</w:t>
      </w:r>
      <w:r w:rsidRPr="00AF746A">
        <w:rPr>
          <w:rFonts w:ascii="Times New Roman" w:hAnsi="Times New Roman"/>
          <w:lang w:val="en-HK"/>
        </w:rPr>
        <w:t xml:space="preserve"> of a mercantile agent.</w:t>
      </w:r>
    </w:p>
    <w:p w14:paraId="5ADD43BF" w14:textId="77777777" w:rsidR="00AF746A" w:rsidRPr="00AF746A" w:rsidRDefault="00AF746A" w:rsidP="00AF746A">
      <w:pPr>
        <w:numPr>
          <w:ilvl w:val="2"/>
          <w:numId w:val="1"/>
        </w:num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The purchaser acts </w:t>
      </w:r>
      <w:r w:rsidRPr="00AF746A">
        <w:rPr>
          <w:rFonts w:ascii="Times New Roman" w:hAnsi="Times New Roman"/>
          <w:b/>
          <w:bCs/>
          <w:lang w:val="en-HK"/>
        </w:rPr>
        <w:t>in good faith</w:t>
      </w:r>
      <w:r w:rsidRPr="00AF746A">
        <w:rPr>
          <w:rFonts w:ascii="Times New Roman" w:hAnsi="Times New Roman"/>
          <w:lang w:val="en-HK"/>
        </w:rPr>
        <w:t xml:space="preserve"> and </w:t>
      </w:r>
      <w:r w:rsidRPr="00AF746A">
        <w:rPr>
          <w:rFonts w:ascii="Times New Roman" w:hAnsi="Times New Roman"/>
          <w:b/>
          <w:bCs/>
          <w:lang w:val="en-HK"/>
        </w:rPr>
        <w:t>without notice</w:t>
      </w:r>
      <w:r w:rsidRPr="00AF746A">
        <w:rPr>
          <w:rFonts w:ascii="Times New Roman" w:hAnsi="Times New Roman"/>
          <w:lang w:val="en-HK"/>
        </w:rPr>
        <w:t xml:space="preserve"> that the agent lacks authority.</w:t>
      </w:r>
    </w:p>
    <w:p w14:paraId="757CED98" w14:textId="77777777" w:rsidR="00AF746A" w:rsidRPr="00AF746A" w:rsidRDefault="00F71DE7" w:rsidP="00AF746A">
      <w:pPr>
        <w:spacing w:line="360" w:lineRule="auto"/>
        <w:rPr>
          <w:rFonts w:ascii="Times New Roman" w:hAnsi="Times New Roman"/>
          <w:lang w:val="en-HK"/>
        </w:rPr>
      </w:pPr>
      <w:r w:rsidRPr="00F71DE7">
        <w:rPr>
          <w:rFonts w:ascii="Times New Roman" w:hAnsi="Times New Roman"/>
          <w:noProof/>
          <w:lang w:val="en-HK"/>
          <w14:ligatures w14:val="standardContextual"/>
        </w:rPr>
        <w:pict w14:anchorId="52A79864">
          <v:rect id="_x0000_i1028" alt="" style="width:451.3pt;height:.05pt;mso-width-percent:0;mso-height-percent:0;mso-width-percent:0;mso-height-percent:0" o:hralign="center" o:hrstd="t" o:hr="t" fillcolor="#a0a0a0" stroked="f"/>
        </w:pict>
      </w:r>
    </w:p>
    <w:p w14:paraId="54B3E00C" w14:textId="77777777" w:rsidR="00AF746A" w:rsidRPr="00AF746A" w:rsidRDefault="00AF746A" w:rsidP="00AF746A">
      <w:pPr>
        <w:spacing w:before="100" w:beforeAutospacing="1" w:after="100" w:afterAutospacing="1" w:line="360" w:lineRule="auto"/>
        <w:outlineLvl w:val="2"/>
        <w:rPr>
          <w:rFonts w:ascii="Times New Roman" w:hAnsi="Times New Roman"/>
          <w:b/>
          <w:bCs/>
          <w:lang w:val="en-HK"/>
        </w:rPr>
      </w:pPr>
      <w:r w:rsidRPr="00AF746A">
        <w:rPr>
          <w:rFonts w:ascii="Times New Roman" w:hAnsi="Times New Roman"/>
          <w:b/>
          <w:bCs/>
          <w:lang w:val="en-HK"/>
        </w:rPr>
        <w:t>Cases Discussed</w:t>
      </w:r>
    </w:p>
    <w:p w14:paraId="13A7018E" w14:textId="77777777" w:rsidR="00AF746A" w:rsidRPr="00AF746A" w:rsidRDefault="00AF746A" w:rsidP="00AF746A">
      <w:pPr>
        <w:spacing w:before="100" w:beforeAutospacing="1" w:after="100" w:afterAutospacing="1" w:line="360" w:lineRule="auto"/>
        <w:outlineLvl w:val="3"/>
        <w:rPr>
          <w:rFonts w:ascii="Times New Roman" w:hAnsi="Times New Roman"/>
          <w:b/>
          <w:bCs/>
          <w:lang w:val="en-HK"/>
        </w:rPr>
      </w:pPr>
      <w:r w:rsidRPr="00AF746A">
        <w:rPr>
          <w:rFonts w:ascii="Times New Roman" w:hAnsi="Times New Roman"/>
          <w:b/>
          <w:bCs/>
          <w:lang w:val="en-HK"/>
        </w:rPr>
        <w:t>1. Pearson v. Rose &amp; Young, Ltd. [1951]</w:t>
      </w:r>
    </w:p>
    <w:p w14:paraId="08F36C39"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Facts</w:t>
      </w:r>
      <w:r w:rsidRPr="00AF746A">
        <w:rPr>
          <w:rFonts w:ascii="Times New Roman" w:hAnsi="Times New Roman"/>
          <w:lang w:val="en-HK"/>
        </w:rPr>
        <w:t>:</w:t>
      </w:r>
    </w:p>
    <w:p w14:paraId="7D8B6CB1"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A car owner gave possession of their car and its registration book to a rogue agent, who fraudulently sold it.</w:t>
      </w:r>
    </w:p>
    <w:p w14:paraId="68D5C606"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Judgment</w:t>
      </w:r>
      <w:r w:rsidRPr="00AF746A">
        <w:rPr>
          <w:rFonts w:ascii="Times New Roman" w:hAnsi="Times New Roman"/>
          <w:lang w:val="en-HK"/>
        </w:rPr>
        <w:t>:</w:t>
      </w:r>
    </w:p>
    <w:p w14:paraId="6C1ABA74"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Denning LJ stated, </w:t>
      </w:r>
      <w:r w:rsidRPr="00AF746A">
        <w:rPr>
          <w:rFonts w:ascii="Times New Roman" w:hAnsi="Times New Roman"/>
          <w:i/>
          <w:iCs/>
          <w:lang w:val="en-HK"/>
        </w:rPr>
        <w:t>“The owner must consent to the agent having them [goods] for a purpose which is in some way or other connected with his business as a mercantile agent.”</w:t>
      </w:r>
    </w:p>
    <w:p w14:paraId="586FF205" w14:textId="28B57DD8"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The presence of the registration book symboli</w:t>
      </w:r>
      <w:r>
        <w:rPr>
          <w:rFonts w:ascii="Times New Roman" w:hAnsi="Times New Roman"/>
          <w:lang w:val="en-HK"/>
        </w:rPr>
        <w:t>s</w:t>
      </w:r>
      <w:r w:rsidRPr="00AF746A">
        <w:rPr>
          <w:rFonts w:ascii="Times New Roman" w:hAnsi="Times New Roman"/>
          <w:lang w:val="en-HK"/>
        </w:rPr>
        <w:t>ed the owner’s consent.</w:t>
      </w:r>
    </w:p>
    <w:p w14:paraId="59A489A6"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Criticism</w:t>
      </w:r>
      <w:r w:rsidRPr="00AF746A">
        <w:rPr>
          <w:rFonts w:ascii="Times New Roman" w:hAnsi="Times New Roman"/>
          <w:lang w:val="en-HK"/>
        </w:rPr>
        <w:t>:</w:t>
      </w:r>
    </w:p>
    <w:p w14:paraId="18418B5C"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Hornby views this interpretation as artificial, stating, </w:t>
      </w:r>
      <w:r w:rsidRPr="00AF746A">
        <w:rPr>
          <w:rFonts w:ascii="Times New Roman" w:hAnsi="Times New Roman"/>
          <w:i/>
          <w:iCs/>
          <w:lang w:val="en-HK"/>
        </w:rPr>
        <w:t xml:space="preserve">“Reliance on the symbolic possession of documents of title creates </w:t>
      </w:r>
      <w:r w:rsidRPr="00AF746A">
        <w:rPr>
          <w:rFonts w:ascii="Times New Roman" w:hAnsi="Times New Roman"/>
          <w:i/>
          <w:iCs/>
          <w:highlight w:val="yellow"/>
          <w:lang w:val="en-HK"/>
        </w:rPr>
        <w:t>unnecessary legal uncertainty</w:t>
      </w:r>
      <w:r w:rsidRPr="00AF746A">
        <w:rPr>
          <w:rFonts w:ascii="Times New Roman" w:hAnsi="Times New Roman"/>
          <w:i/>
          <w:iCs/>
          <w:lang w:val="en-HK"/>
        </w:rPr>
        <w:t>.”</w:t>
      </w:r>
    </w:p>
    <w:p w14:paraId="258C0B09"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Scholars such as Hanbury and </w:t>
      </w:r>
      <w:proofErr w:type="spellStart"/>
      <w:r w:rsidRPr="00AF746A">
        <w:rPr>
          <w:rFonts w:ascii="Times New Roman" w:hAnsi="Times New Roman"/>
          <w:lang w:val="en-HK"/>
        </w:rPr>
        <w:t>Fridman</w:t>
      </w:r>
      <w:proofErr w:type="spellEnd"/>
      <w:r w:rsidRPr="00AF746A">
        <w:rPr>
          <w:rFonts w:ascii="Times New Roman" w:hAnsi="Times New Roman"/>
          <w:lang w:val="en-HK"/>
        </w:rPr>
        <w:t xml:space="preserve"> criticized the judgment for conflating possession with consent, undermining the statutory intent.</w:t>
      </w:r>
    </w:p>
    <w:p w14:paraId="08901E1B" w14:textId="77777777" w:rsidR="00AF746A" w:rsidRPr="00AF746A" w:rsidRDefault="00AF746A" w:rsidP="00AF746A">
      <w:pPr>
        <w:spacing w:before="100" w:beforeAutospacing="1" w:after="100" w:afterAutospacing="1" w:line="360" w:lineRule="auto"/>
        <w:outlineLvl w:val="3"/>
        <w:rPr>
          <w:rFonts w:ascii="Times New Roman" w:hAnsi="Times New Roman"/>
          <w:b/>
          <w:bCs/>
          <w:lang w:val="en-HK"/>
        </w:rPr>
      </w:pPr>
      <w:r w:rsidRPr="00AF746A">
        <w:rPr>
          <w:rFonts w:ascii="Times New Roman" w:hAnsi="Times New Roman"/>
          <w:b/>
          <w:bCs/>
          <w:lang w:val="en-HK"/>
        </w:rPr>
        <w:t>2. Stadium Finance Ltd. v. Robbins [1962]</w:t>
      </w:r>
    </w:p>
    <w:p w14:paraId="1BDFB060"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lastRenderedPageBreak/>
        <w:t>Facts</w:t>
      </w:r>
      <w:r w:rsidRPr="00AF746A">
        <w:rPr>
          <w:rFonts w:ascii="Times New Roman" w:hAnsi="Times New Roman"/>
          <w:lang w:val="en-HK"/>
        </w:rPr>
        <w:t>:</w:t>
      </w:r>
    </w:p>
    <w:p w14:paraId="6F7E200C"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Robbins left his car with Palmer, a car dealer, to solicit offers. Robbins retained the ignition key but inadvertently left the registration book in the glove compartment. Palmer accessed the book unlawfully and sold the car under a hire-purchase agreement.</w:t>
      </w:r>
    </w:p>
    <w:p w14:paraId="54A07002"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Judgment</w:t>
      </w:r>
      <w:r w:rsidRPr="00AF746A">
        <w:rPr>
          <w:rFonts w:ascii="Times New Roman" w:hAnsi="Times New Roman"/>
          <w:lang w:val="en-HK"/>
        </w:rPr>
        <w:t>:</w:t>
      </w:r>
    </w:p>
    <w:p w14:paraId="29F5DC1D" w14:textId="30F9D74E" w:rsidR="00AF746A" w:rsidRPr="00AF746A" w:rsidRDefault="00AF746A" w:rsidP="00AF746A">
      <w:pPr>
        <w:spacing w:before="100" w:beforeAutospacing="1" w:after="100" w:afterAutospacing="1" w:line="360" w:lineRule="auto"/>
        <w:rPr>
          <w:rFonts w:ascii="Times New Roman" w:hAnsi="Times New Roman"/>
          <w:lang w:val="en-HK"/>
        </w:rPr>
      </w:pPr>
      <w:r>
        <w:rPr>
          <w:rFonts w:ascii="Times New Roman" w:hAnsi="Times New Roman"/>
          <w:lang w:val="en-HK"/>
        </w:rPr>
        <w:t>T</w:t>
      </w:r>
      <w:r w:rsidRPr="00AF746A">
        <w:rPr>
          <w:rFonts w:ascii="Times New Roman" w:hAnsi="Times New Roman"/>
          <w:lang w:val="en-HK"/>
        </w:rPr>
        <w:t>he Court of Appeal ruled:</w:t>
      </w:r>
    </w:p>
    <w:p w14:paraId="580A00C7" w14:textId="77777777" w:rsidR="00AF746A" w:rsidRPr="00AF746A" w:rsidRDefault="00AF746A" w:rsidP="00AF746A">
      <w:pPr>
        <w:numPr>
          <w:ilvl w:val="2"/>
          <w:numId w:val="3"/>
        </w:num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No Consent</w:t>
      </w:r>
      <w:r w:rsidRPr="00AF746A">
        <w:rPr>
          <w:rFonts w:ascii="Times New Roman" w:hAnsi="Times New Roman"/>
          <w:lang w:val="en-HK"/>
        </w:rPr>
        <w:t xml:space="preserve">: Robbins’ failure to provide the ignition key indicated an intention to retain control (jus </w:t>
      </w:r>
      <w:proofErr w:type="spellStart"/>
      <w:r w:rsidRPr="00AF746A">
        <w:rPr>
          <w:rFonts w:ascii="Times New Roman" w:hAnsi="Times New Roman"/>
          <w:lang w:val="en-HK"/>
        </w:rPr>
        <w:t>disponendi</w:t>
      </w:r>
      <w:proofErr w:type="spellEnd"/>
      <w:r w:rsidRPr="00AF746A">
        <w:rPr>
          <w:rFonts w:ascii="Times New Roman" w:hAnsi="Times New Roman"/>
          <w:lang w:val="en-HK"/>
        </w:rPr>
        <w:t>), negating consent under Section 2(1).</w:t>
      </w:r>
    </w:p>
    <w:p w14:paraId="12CCADA2" w14:textId="77777777" w:rsidR="00AF746A" w:rsidRPr="00AF746A" w:rsidRDefault="00AF746A" w:rsidP="00AF746A">
      <w:pPr>
        <w:spacing w:before="100" w:beforeAutospacing="1" w:after="100" w:afterAutospacing="1" w:line="360" w:lineRule="auto"/>
        <w:rPr>
          <w:rFonts w:ascii="Times New Roman" w:hAnsi="Times New Roman"/>
          <w:lang w:val="en-HK"/>
        </w:rPr>
      </w:pPr>
      <w:proofErr w:type="spellStart"/>
      <w:r w:rsidRPr="00AF746A">
        <w:rPr>
          <w:rFonts w:ascii="Times New Roman" w:hAnsi="Times New Roman"/>
          <w:lang w:val="en-HK"/>
        </w:rPr>
        <w:t>Willmer</w:t>
      </w:r>
      <w:proofErr w:type="spellEnd"/>
      <w:r w:rsidRPr="00AF746A">
        <w:rPr>
          <w:rFonts w:ascii="Times New Roman" w:hAnsi="Times New Roman"/>
          <w:lang w:val="en-HK"/>
        </w:rPr>
        <w:t xml:space="preserve"> LJ stated, </w:t>
      </w:r>
      <w:r w:rsidRPr="00AF746A">
        <w:rPr>
          <w:rFonts w:ascii="Times New Roman" w:hAnsi="Times New Roman"/>
          <w:i/>
          <w:iCs/>
          <w:lang w:val="en-HK"/>
        </w:rPr>
        <w:t xml:space="preserve">“The absence of the key is important... because (1) its absence was symbolic of the owner’s intention to retain a jus </w:t>
      </w:r>
      <w:proofErr w:type="spellStart"/>
      <w:r w:rsidRPr="00AF746A">
        <w:rPr>
          <w:rFonts w:ascii="Times New Roman" w:hAnsi="Times New Roman"/>
          <w:i/>
          <w:iCs/>
          <w:lang w:val="en-HK"/>
        </w:rPr>
        <w:t>disponendi</w:t>
      </w:r>
      <w:proofErr w:type="spellEnd"/>
      <w:r w:rsidRPr="00AF746A">
        <w:rPr>
          <w:rFonts w:ascii="Times New Roman" w:hAnsi="Times New Roman"/>
          <w:i/>
          <w:iCs/>
          <w:lang w:val="en-HK"/>
        </w:rPr>
        <w:t>, and (2) the key was needed in order to open the glove compartment and give delivery of the registration book.”</w:t>
      </w:r>
    </w:p>
    <w:p w14:paraId="512DE370" w14:textId="77777777" w:rsidR="00AF746A" w:rsidRPr="00AF746A" w:rsidRDefault="00AF746A" w:rsidP="00AF746A">
      <w:pPr>
        <w:numPr>
          <w:ilvl w:val="2"/>
          <w:numId w:val="3"/>
        </w:num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Not in Ordinary Course of Business</w:t>
      </w:r>
      <w:r w:rsidRPr="00AF746A">
        <w:rPr>
          <w:rFonts w:ascii="Times New Roman" w:hAnsi="Times New Roman"/>
          <w:lang w:val="en-HK"/>
        </w:rPr>
        <w:t>: Palmer’s unlawful access to the registration book meant the sale did not occur in the ordinary course of business.</w:t>
      </w:r>
    </w:p>
    <w:p w14:paraId="687B1361"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Ormerod LJ observed, </w:t>
      </w:r>
      <w:r w:rsidRPr="00AF746A">
        <w:rPr>
          <w:rFonts w:ascii="Times New Roman" w:hAnsi="Times New Roman"/>
          <w:i/>
          <w:iCs/>
          <w:lang w:val="en-HK"/>
        </w:rPr>
        <w:t>“A car... deficient in these two important respects [registration book and ignition key] cannot be sold in the ordinary course of business of a mercantile agent.”</w:t>
      </w:r>
    </w:p>
    <w:p w14:paraId="54A36C52"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Criticism</w:t>
      </w:r>
      <w:r w:rsidRPr="00AF746A">
        <w:rPr>
          <w:rFonts w:ascii="Times New Roman" w:hAnsi="Times New Roman"/>
          <w:lang w:val="en-HK"/>
        </w:rPr>
        <w:t>:</w:t>
      </w:r>
    </w:p>
    <w:p w14:paraId="1C7F57D7"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Hornby critiques </w:t>
      </w:r>
      <w:proofErr w:type="spellStart"/>
      <w:r w:rsidRPr="00AF746A">
        <w:rPr>
          <w:rFonts w:ascii="Times New Roman" w:hAnsi="Times New Roman"/>
          <w:lang w:val="en-HK"/>
        </w:rPr>
        <w:t>Willmer</w:t>
      </w:r>
      <w:proofErr w:type="spellEnd"/>
      <w:r w:rsidRPr="00AF746A">
        <w:rPr>
          <w:rFonts w:ascii="Times New Roman" w:hAnsi="Times New Roman"/>
          <w:lang w:val="en-HK"/>
        </w:rPr>
        <w:t xml:space="preserve"> LJ’s reasoning on consent, arguing that the owner’s act of leaving the car with Palmer implicitly consented to possession as a mercantile agent.</w:t>
      </w:r>
    </w:p>
    <w:p w14:paraId="5C59829C"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He highlights Denning LJ’s earlier statement in </w:t>
      </w:r>
      <w:r w:rsidRPr="00AF746A">
        <w:rPr>
          <w:rFonts w:ascii="Times New Roman" w:hAnsi="Times New Roman"/>
          <w:b/>
          <w:bCs/>
          <w:lang w:val="en-HK"/>
        </w:rPr>
        <w:t>Pearson</w:t>
      </w:r>
      <w:r w:rsidRPr="00AF746A">
        <w:rPr>
          <w:rFonts w:ascii="Times New Roman" w:hAnsi="Times New Roman"/>
          <w:lang w:val="en-HK"/>
        </w:rPr>
        <w:t xml:space="preserve">, emphasizing, </w:t>
      </w:r>
      <w:r w:rsidRPr="00AF746A">
        <w:rPr>
          <w:rFonts w:ascii="Times New Roman" w:hAnsi="Times New Roman"/>
          <w:i/>
          <w:iCs/>
          <w:lang w:val="en-HK"/>
        </w:rPr>
        <w:t>“The owner must consent... for display, to get offers, or merely to put the goods in his showroom.”</w:t>
      </w:r>
    </w:p>
    <w:p w14:paraId="70F47AA7"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Hornby concludes that </w:t>
      </w:r>
      <w:proofErr w:type="spellStart"/>
      <w:r w:rsidRPr="00AF746A">
        <w:rPr>
          <w:rFonts w:ascii="Times New Roman" w:hAnsi="Times New Roman"/>
          <w:lang w:val="en-HK"/>
        </w:rPr>
        <w:t>Willmer</w:t>
      </w:r>
      <w:proofErr w:type="spellEnd"/>
      <w:r w:rsidRPr="00AF746A">
        <w:rPr>
          <w:rFonts w:ascii="Times New Roman" w:hAnsi="Times New Roman"/>
          <w:lang w:val="en-HK"/>
        </w:rPr>
        <w:t xml:space="preserve"> LJ’s logic contradicts both principle and precedent, noting, </w:t>
      </w:r>
      <w:r w:rsidRPr="00AF746A">
        <w:rPr>
          <w:rFonts w:ascii="Times New Roman" w:hAnsi="Times New Roman"/>
          <w:i/>
          <w:iCs/>
          <w:lang w:val="en-HK"/>
        </w:rPr>
        <w:t>“This reasoning is contrary to both principle and authority.”</w:t>
      </w:r>
    </w:p>
    <w:p w14:paraId="6E124CA8" w14:textId="77777777" w:rsidR="00AF746A" w:rsidRPr="00AF746A" w:rsidRDefault="00F71DE7" w:rsidP="00AF746A">
      <w:pPr>
        <w:spacing w:line="360" w:lineRule="auto"/>
        <w:rPr>
          <w:rFonts w:ascii="Times New Roman" w:hAnsi="Times New Roman"/>
          <w:lang w:val="en-HK"/>
        </w:rPr>
      </w:pPr>
      <w:r w:rsidRPr="00F71DE7">
        <w:rPr>
          <w:rFonts w:ascii="Times New Roman" w:hAnsi="Times New Roman"/>
          <w:noProof/>
          <w:lang w:val="en-HK"/>
          <w14:ligatures w14:val="standardContextual"/>
        </w:rPr>
        <w:pict w14:anchorId="028E25D9">
          <v:rect id="_x0000_i1027" alt="" style="width:451.3pt;height:.05pt;mso-width-percent:0;mso-height-percent:0;mso-width-percent:0;mso-height-percent:0" o:hralign="center" o:hrstd="t" o:hr="t" fillcolor="#a0a0a0" stroked="f"/>
        </w:pict>
      </w:r>
    </w:p>
    <w:p w14:paraId="4F13A9C3" w14:textId="77777777" w:rsidR="00AF746A" w:rsidRPr="00AF746A" w:rsidRDefault="00AF746A" w:rsidP="00AF746A">
      <w:pPr>
        <w:spacing w:before="100" w:beforeAutospacing="1" w:after="100" w:afterAutospacing="1" w:line="360" w:lineRule="auto"/>
        <w:outlineLvl w:val="2"/>
        <w:rPr>
          <w:rFonts w:ascii="Times New Roman" w:hAnsi="Times New Roman"/>
          <w:b/>
          <w:bCs/>
          <w:lang w:val="en-HK"/>
        </w:rPr>
      </w:pPr>
      <w:r w:rsidRPr="00AF746A">
        <w:rPr>
          <w:rFonts w:ascii="Times New Roman" w:hAnsi="Times New Roman"/>
          <w:b/>
          <w:bCs/>
          <w:lang w:val="en-HK"/>
        </w:rPr>
        <w:t>Key Legal Issues and Analysis</w:t>
      </w:r>
    </w:p>
    <w:p w14:paraId="40648ADC" w14:textId="77777777" w:rsidR="00AF746A" w:rsidRPr="00AF746A" w:rsidRDefault="00AF746A" w:rsidP="00AF746A">
      <w:pPr>
        <w:numPr>
          <w:ilvl w:val="0"/>
          <w:numId w:val="4"/>
        </w:num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lastRenderedPageBreak/>
        <w:t>Consent and Possession</w:t>
      </w:r>
      <w:r w:rsidRPr="00AF746A">
        <w:rPr>
          <w:rFonts w:ascii="Times New Roman" w:hAnsi="Times New Roman"/>
          <w:lang w:val="en-HK"/>
        </w:rPr>
        <w:t>:</w:t>
      </w:r>
    </w:p>
    <w:p w14:paraId="6C2FFEC6"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Issue</w:t>
      </w:r>
      <w:r w:rsidRPr="00AF746A">
        <w:rPr>
          <w:rFonts w:ascii="Times New Roman" w:hAnsi="Times New Roman"/>
          <w:lang w:val="en-HK"/>
        </w:rPr>
        <w:t>:</w:t>
      </w:r>
    </w:p>
    <w:p w14:paraId="084DDE81"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The court in </w:t>
      </w:r>
      <w:r w:rsidRPr="00AF746A">
        <w:rPr>
          <w:rFonts w:ascii="Times New Roman" w:hAnsi="Times New Roman"/>
          <w:b/>
          <w:bCs/>
          <w:lang w:val="en-HK"/>
        </w:rPr>
        <w:t>Stadium</w:t>
      </w:r>
      <w:r w:rsidRPr="00AF746A">
        <w:rPr>
          <w:rFonts w:ascii="Times New Roman" w:hAnsi="Times New Roman"/>
          <w:lang w:val="en-HK"/>
        </w:rPr>
        <w:t xml:space="preserve"> interpreted consent narrowly, requiring explicit authority for the agent’s possession to qualify under Section 2(1).</w:t>
      </w:r>
    </w:p>
    <w:p w14:paraId="2E5DB5FC"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Hornby’s Argument</w:t>
      </w:r>
      <w:r w:rsidRPr="00AF746A">
        <w:rPr>
          <w:rFonts w:ascii="Times New Roman" w:hAnsi="Times New Roman"/>
          <w:lang w:val="en-HK"/>
        </w:rPr>
        <w:t>:</w:t>
      </w:r>
    </w:p>
    <w:p w14:paraId="5C1B4416"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Hornby argues that the Factors Act was designed to facilitate commerce, and possession for business purposes (e.g., soliciting offers) should suffice.</w:t>
      </w:r>
    </w:p>
    <w:p w14:paraId="1D0FDB08"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He states, </w:t>
      </w:r>
      <w:r w:rsidRPr="00AF746A">
        <w:rPr>
          <w:rFonts w:ascii="Times New Roman" w:hAnsi="Times New Roman"/>
          <w:i/>
          <w:iCs/>
          <w:lang w:val="en-HK"/>
        </w:rPr>
        <w:t>“Surely the whole point of Robbins giving possession of the car to Palmer was that the latter, as a car dealer, was much better placed to discover what offers would be made for the car than he himself was.”</w:t>
      </w:r>
    </w:p>
    <w:p w14:paraId="04528FFC" w14:textId="77777777" w:rsidR="00AF746A" w:rsidRPr="00AF746A" w:rsidRDefault="00AF746A" w:rsidP="00AF746A">
      <w:pPr>
        <w:numPr>
          <w:ilvl w:val="0"/>
          <w:numId w:val="4"/>
        </w:num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Ordinary Course of Business</w:t>
      </w:r>
      <w:r w:rsidRPr="00AF746A">
        <w:rPr>
          <w:rFonts w:ascii="Times New Roman" w:hAnsi="Times New Roman"/>
          <w:lang w:val="en-HK"/>
        </w:rPr>
        <w:t>:</w:t>
      </w:r>
    </w:p>
    <w:p w14:paraId="6E6A745C"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Issue</w:t>
      </w:r>
      <w:r w:rsidRPr="00AF746A">
        <w:rPr>
          <w:rFonts w:ascii="Times New Roman" w:hAnsi="Times New Roman"/>
          <w:lang w:val="en-HK"/>
        </w:rPr>
        <w:t>:</w:t>
      </w:r>
    </w:p>
    <w:p w14:paraId="04FEE802"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The court conflated the circumstances of possession with those of the subsequent sale.</w:t>
      </w:r>
    </w:p>
    <w:p w14:paraId="42174E7F"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Hornby’s Critique</w:t>
      </w:r>
      <w:r w:rsidRPr="00AF746A">
        <w:rPr>
          <w:rFonts w:ascii="Times New Roman" w:hAnsi="Times New Roman"/>
          <w:lang w:val="en-HK"/>
        </w:rPr>
        <w:t>:</w:t>
      </w:r>
    </w:p>
    <w:p w14:paraId="132B39B4"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Hornby contends that the relevant time for assessing whether a sale is in the ordinary course of business is at the point of sale, not when possession was obtained.</w:t>
      </w:r>
    </w:p>
    <w:p w14:paraId="7C516084"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He argues, </w:t>
      </w:r>
      <w:r w:rsidRPr="00AF746A">
        <w:rPr>
          <w:rFonts w:ascii="Times New Roman" w:hAnsi="Times New Roman"/>
          <w:i/>
          <w:iCs/>
          <w:lang w:val="en-HK"/>
        </w:rPr>
        <w:t>“At the time of the sale to the finance company, the ignition key and registration book were available for the hirer... it should be immaterial that the car was deficient when the agent obtained it.”</w:t>
      </w:r>
    </w:p>
    <w:p w14:paraId="58F095A6" w14:textId="77777777" w:rsidR="00AF746A" w:rsidRPr="00AF746A" w:rsidRDefault="00AF746A" w:rsidP="00AF746A">
      <w:pPr>
        <w:numPr>
          <w:ilvl w:val="0"/>
          <w:numId w:val="4"/>
        </w:num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Implications for Buyers</w:t>
      </w:r>
      <w:r w:rsidRPr="00AF746A">
        <w:rPr>
          <w:rFonts w:ascii="Times New Roman" w:hAnsi="Times New Roman"/>
          <w:lang w:val="en-HK"/>
        </w:rPr>
        <w:t>:</w:t>
      </w:r>
    </w:p>
    <w:p w14:paraId="20A9D826"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Hornby warns that the </w:t>
      </w:r>
      <w:r w:rsidRPr="00AF746A">
        <w:rPr>
          <w:rFonts w:ascii="Times New Roman" w:hAnsi="Times New Roman"/>
          <w:b/>
          <w:bCs/>
          <w:lang w:val="en-HK"/>
        </w:rPr>
        <w:t>Pearson</w:t>
      </w:r>
      <w:r w:rsidRPr="00AF746A">
        <w:rPr>
          <w:rFonts w:ascii="Times New Roman" w:hAnsi="Times New Roman"/>
          <w:lang w:val="en-HK"/>
        </w:rPr>
        <w:t xml:space="preserve"> and </w:t>
      </w:r>
      <w:r w:rsidRPr="00AF746A">
        <w:rPr>
          <w:rFonts w:ascii="Times New Roman" w:hAnsi="Times New Roman"/>
          <w:b/>
          <w:bCs/>
          <w:lang w:val="en-HK"/>
        </w:rPr>
        <w:t>Stadium</w:t>
      </w:r>
      <w:r w:rsidRPr="00AF746A">
        <w:rPr>
          <w:rFonts w:ascii="Times New Roman" w:hAnsi="Times New Roman"/>
          <w:lang w:val="en-HK"/>
        </w:rPr>
        <w:t xml:space="preserve"> decisions </w:t>
      </w:r>
      <w:r w:rsidRPr="00AF746A">
        <w:rPr>
          <w:rFonts w:ascii="Times New Roman" w:hAnsi="Times New Roman"/>
          <w:highlight w:val="yellow"/>
          <w:lang w:val="en-HK"/>
        </w:rPr>
        <w:t>create risks for innocent buyers</w:t>
      </w:r>
      <w:r w:rsidRPr="00AF746A">
        <w:rPr>
          <w:rFonts w:ascii="Times New Roman" w:hAnsi="Times New Roman"/>
          <w:lang w:val="en-HK"/>
        </w:rPr>
        <w:t>, who might unknowingly purchase vehicles from dealers without valid authority.</w:t>
      </w:r>
    </w:p>
    <w:p w14:paraId="2ED5F14A"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lastRenderedPageBreak/>
        <w:t xml:space="preserve">He notes, </w:t>
      </w:r>
      <w:r w:rsidRPr="00AF746A">
        <w:rPr>
          <w:rFonts w:ascii="Times New Roman" w:hAnsi="Times New Roman"/>
          <w:i/>
          <w:iCs/>
          <w:lang w:val="en-HK"/>
        </w:rPr>
        <w:t xml:space="preserve">“A purchaser of a </w:t>
      </w:r>
      <w:proofErr w:type="spellStart"/>
      <w:r w:rsidRPr="00AF746A">
        <w:rPr>
          <w:rFonts w:ascii="Times New Roman" w:hAnsi="Times New Roman"/>
          <w:i/>
          <w:iCs/>
          <w:lang w:val="en-HK"/>
        </w:rPr>
        <w:t>secondhand</w:t>
      </w:r>
      <w:proofErr w:type="spellEnd"/>
      <w:r w:rsidRPr="00AF746A">
        <w:rPr>
          <w:rFonts w:ascii="Times New Roman" w:hAnsi="Times New Roman"/>
          <w:i/>
          <w:iCs/>
          <w:lang w:val="en-HK"/>
        </w:rPr>
        <w:t xml:space="preserve"> car... runs the serious risk that he may obtain no title because it may turn out that the dealer did not obtain the registration book with the owner’s consent.”</w:t>
      </w:r>
    </w:p>
    <w:p w14:paraId="6096624C" w14:textId="77777777" w:rsidR="00AF746A" w:rsidRPr="00AF746A" w:rsidRDefault="00F71DE7" w:rsidP="00AF746A">
      <w:pPr>
        <w:spacing w:line="360" w:lineRule="auto"/>
        <w:rPr>
          <w:rFonts w:ascii="Times New Roman" w:hAnsi="Times New Roman"/>
          <w:lang w:val="en-HK"/>
        </w:rPr>
      </w:pPr>
      <w:r w:rsidRPr="00F71DE7">
        <w:rPr>
          <w:rFonts w:ascii="Times New Roman" w:hAnsi="Times New Roman"/>
          <w:noProof/>
          <w:lang w:val="en-HK"/>
          <w14:ligatures w14:val="standardContextual"/>
        </w:rPr>
        <w:pict w14:anchorId="224EB06E">
          <v:rect id="_x0000_i1026" alt="" style="width:451.3pt;height:.05pt;mso-width-percent:0;mso-height-percent:0;mso-width-percent:0;mso-height-percent:0" o:hralign="center" o:hrstd="t" o:hr="t" fillcolor="#a0a0a0" stroked="f"/>
        </w:pict>
      </w:r>
    </w:p>
    <w:p w14:paraId="0445E337" w14:textId="77777777" w:rsidR="00AF746A" w:rsidRPr="00AF746A" w:rsidRDefault="00AF746A" w:rsidP="00AF746A">
      <w:pPr>
        <w:spacing w:before="100" w:beforeAutospacing="1" w:after="100" w:afterAutospacing="1" w:line="360" w:lineRule="auto"/>
        <w:outlineLvl w:val="2"/>
        <w:rPr>
          <w:rFonts w:ascii="Times New Roman" w:hAnsi="Times New Roman"/>
          <w:b/>
          <w:bCs/>
          <w:lang w:val="en-HK"/>
        </w:rPr>
      </w:pPr>
      <w:r w:rsidRPr="00AF746A">
        <w:rPr>
          <w:rFonts w:ascii="Times New Roman" w:hAnsi="Times New Roman"/>
          <w:b/>
          <w:bCs/>
          <w:lang w:val="en-HK"/>
        </w:rPr>
        <w:t>Scholarly Opinions</w:t>
      </w:r>
    </w:p>
    <w:p w14:paraId="082A7426" w14:textId="77777777" w:rsidR="00AF746A" w:rsidRPr="00AF746A" w:rsidRDefault="00AF746A" w:rsidP="00AF746A">
      <w:pPr>
        <w:numPr>
          <w:ilvl w:val="0"/>
          <w:numId w:val="5"/>
        </w:num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Support for a Broader Interpretation of Consent</w:t>
      </w:r>
      <w:r w:rsidRPr="00AF746A">
        <w:rPr>
          <w:rFonts w:ascii="Times New Roman" w:hAnsi="Times New Roman"/>
          <w:lang w:val="en-HK"/>
        </w:rPr>
        <w:t>:</w:t>
      </w:r>
    </w:p>
    <w:p w14:paraId="5FB68E00"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Hornby, aligning with Denning LJ, emphasizes the need for flexibility, stating, </w:t>
      </w:r>
      <w:r w:rsidRPr="00AF746A">
        <w:rPr>
          <w:rFonts w:ascii="Times New Roman" w:hAnsi="Times New Roman"/>
          <w:i/>
          <w:iCs/>
          <w:lang w:val="en-HK"/>
        </w:rPr>
        <w:t>“Consent need not be explicitly for sale; it can be for display or solicitation of offers, as long as it is connected to the agent’s business.”</w:t>
      </w:r>
    </w:p>
    <w:p w14:paraId="797278AD" w14:textId="77777777" w:rsidR="00AF746A" w:rsidRPr="00AF746A" w:rsidRDefault="00AF746A" w:rsidP="00AF746A">
      <w:pPr>
        <w:numPr>
          <w:ilvl w:val="0"/>
          <w:numId w:val="5"/>
        </w:num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Critique of the Court’s Reasoning</w:t>
      </w:r>
      <w:r w:rsidRPr="00AF746A">
        <w:rPr>
          <w:rFonts w:ascii="Times New Roman" w:hAnsi="Times New Roman"/>
          <w:lang w:val="en-HK"/>
        </w:rPr>
        <w:t>:</w:t>
      </w:r>
    </w:p>
    <w:p w14:paraId="378C8D85"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Hornby argues that both </w:t>
      </w:r>
      <w:r w:rsidRPr="00AF746A">
        <w:rPr>
          <w:rFonts w:ascii="Times New Roman" w:hAnsi="Times New Roman"/>
          <w:b/>
          <w:bCs/>
          <w:lang w:val="en-HK"/>
        </w:rPr>
        <w:t>Pearson</w:t>
      </w:r>
      <w:r w:rsidRPr="00AF746A">
        <w:rPr>
          <w:rFonts w:ascii="Times New Roman" w:hAnsi="Times New Roman"/>
          <w:lang w:val="en-HK"/>
        </w:rPr>
        <w:t xml:space="preserve"> and </w:t>
      </w:r>
      <w:r w:rsidRPr="00AF746A">
        <w:rPr>
          <w:rFonts w:ascii="Times New Roman" w:hAnsi="Times New Roman"/>
          <w:b/>
          <w:bCs/>
          <w:lang w:val="en-HK"/>
        </w:rPr>
        <w:t>Stadium</w:t>
      </w:r>
      <w:r w:rsidRPr="00AF746A">
        <w:rPr>
          <w:rFonts w:ascii="Times New Roman" w:hAnsi="Times New Roman"/>
          <w:lang w:val="en-HK"/>
        </w:rPr>
        <w:t xml:space="preserve"> applied artificial distinctions, undermining the Factors Act’s purpose of balancing owner protection with commercial efficacy.</w:t>
      </w:r>
    </w:p>
    <w:p w14:paraId="261DE6C8"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He describes the decisions as creating </w:t>
      </w:r>
      <w:r w:rsidRPr="00AF746A">
        <w:rPr>
          <w:rFonts w:ascii="Times New Roman" w:hAnsi="Times New Roman"/>
          <w:i/>
          <w:iCs/>
          <w:lang w:val="en-HK"/>
        </w:rPr>
        <w:t>“an unfortunate limitation on the operation of the Factors Act.”</w:t>
      </w:r>
    </w:p>
    <w:p w14:paraId="642B5AB9" w14:textId="77777777" w:rsidR="00AF746A" w:rsidRPr="00AF746A" w:rsidRDefault="00F71DE7" w:rsidP="00AF746A">
      <w:pPr>
        <w:spacing w:line="360" w:lineRule="auto"/>
        <w:rPr>
          <w:rFonts w:ascii="Times New Roman" w:hAnsi="Times New Roman"/>
          <w:lang w:val="en-HK"/>
        </w:rPr>
      </w:pPr>
      <w:r w:rsidRPr="00F71DE7">
        <w:rPr>
          <w:rFonts w:ascii="Times New Roman" w:hAnsi="Times New Roman"/>
          <w:noProof/>
          <w:lang w:val="en-HK"/>
          <w14:ligatures w14:val="standardContextual"/>
        </w:rPr>
        <w:pict w14:anchorId="3FD32116">
          <v:rect id="_x0000_i1025" alt="" style="width:451.3pt;height:.05pt;mso-width-percent:0;mso-height-percent:0;mso-width-percent:0;mso-height-percent:0" o:hralign="center" o:hrstd="t" o:hr="t" fillcolor="#a0a0a0" stroked="f"/>
        </w:pict>
      </w:r>
    </w:p>
    <w:p w14:paraId="6E4463C4" w14:textId="77777777" w:rsidR="00AF746A" w:rsidRPr="00AF746A" w:rsidRDefault="00AF746A" w:rsidP="00AF746A">
      <w:pPr>
        <w:spacing w:before="100" w:beforeAutospacing="1" w:after="100" w:afterAutospacing="1" w:line="360" w:lineRule="auto"/>
        <w:outlineLvl w:val="2"/>
        <w:rPr>
          <w:rFonts w:ascii="Times New Roman" w:hAnsi="Times New Roman"/>
          <w:b/>
          <w:bCs/>
          <w:lang w:val="en-HK"/>
        </w:rPr>
      </w:pPr>
      <w:r w:rsidRPr="00AF746A">
        <w:rPr>
          <w:rFonts w:ascii="Times New Roman" w:hAnsi="Times New Roman"/>
          <w:b/>
          <w:bCs/>
          <w:lang w:val="en-HK"/>
        </w:rPr>
        <w:t>Conclusion and Recommendations</w:t>
      </w:r>
    </w:p>
    <w:p w14:paraId="50B43A02"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Judicial Critique</w:t>
      </w:r>
      <w:r w:rsidRPr="00AF746A">
        <w:rPr>
          <w:rFonts w:ascii="Times New Roman" w:hAnsi="Times New Roman"/>
          <w:lang w:val="en-HK"/>
        </w:rPr>
        <w:t>:</w:t>
      </w:r>
    </w:p>
    <w:p w14:paraId="2D223678"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Hornby finds the judicial reasoning in </w:t>
      </w:r>
      <w:r w:rsidRPr="00AF746A">
        <w:rPr>
          <w:rFonts w:ascii="Times New Roman" w:hAnsi="Times New Roman"/>
          <w:b/>
          <w:bCs/>
          <w:lang w:val="en-HK"/>
        </w:rPr>
        <w:t>Stadium</w:t>
      </w:r>
      <w:r w:rsidRPr="00AF746A">
        <w:rPr>
          <w:rFonts w:ascii="Times New Roman" w:hAnsi="Times New Roman"/>
          <w:lang w:val="en-HK"/>
        </w:rPr>
        <w:t xml:space="preserve"> inconsistent with precedent and principles, stating, </w:t>
      </w:r>
      <w:r w:rsidRPr="00AF746A">
        <w:rPr>
          <w:rFonts w:ascii="Times New Roman" w:hAnsi="Times New Roman"/>
          <w:i/>
          <w:iCs/>
          <w:lang w:val="en-HK"/>
        </w:rPr>
        <w:t xml:space="preserve">“It is to be hoped that this reasoning will not find </w:t>
      </w:r>
      <w:proofErr w:type="spellStart"/>
      <w:r w:rsidRPr="00AF746A">
        <w:rPr>
          <w:rFonts w:ascii="Times New Roman" w:hAnsi="Times New Roman"/>
          <w:i/>
          <w:iCs/>
          <w:lang w:val="en-HK"/>
        </w:rPr>
        <w:t>favor</w:t>
      </w:r>
      <w:proofErr w:type="spellEnd"/>
      <w:r w:rsidRPr="00AF746A">
        <w:rPr>
          <w:rFonts w:ascii="Times New Roman" w:hAnsi="Times New Roman"/>
          <w:i/>
          <w:iCs/>
          <w:lang w:val="en-HK"/>
        </w:rPr>
        <w:t xml:space="preserve"> in subsequent cases.”</w:t>
      </w:r>
    </w:p>
    <w:p w14:paraId="149067F9"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b/>
          <w:bCs/>
          <w:lang w:val="en-HK"/>
        </w:rPr>
        <w:t>Call for Clarification</w:t>
      </w:r>
      <w:r w:rsidRPr="00AF746A">
        <w:rPr>
          <w:rFonts w:ascii="Times New Roman" w:hAnsi="Times New Roman"/>
          <w:lang w:val="en-HK"/>
        </w:rPr>
        <w:t>:</w:t>
      </w:r>
    </w:p>
    <w:p w14:paraId="02F16EC9" w14:textId="77777777" w:rsidR="00AF746A" w:rsidRPr="00AF746A" w:rsidRDefault="00AF746A" w:rsidP="00AF746A">
      <w:pPr>
        <w:spacing w:before="100" w:beforeAutospacing="1" w:after="100" w:afterAutospacing="1" w:line="360" w:lineRule="auto"/>
        <w:rPr>
          <w:rFonts w:ascii="Times New Roman" w:hAnsi="Times New Roman"/>
          <w:lang w:val="en-HK"/>
        </w:rPr>
      </w:pPr>
      <w:r w:rsidRPr="00AF746A">
        <w:rPr>
          <w:rFonts w:ascii="Times New Roman" w:hAnsi="Times New Roman"/>
          <w:lang w:val="en-HK"/>
        </w:rPr>
        <w:t xml:space="preserve">Hornby expresses hope that the </w:t>
      </w:r>
      <w:r w:rsidRPr="00AF746A">
        <w:rPr>
          <w:rFonts w:ascii="Times New Roman" w:hAnsi="Times New Roman"/>
          <w:b/>
          <w:bCs/>
          <w:lang w:val="en-HK"/>
        </w:rPr>
        <w:t>House of Lords</w:t>
      </w:r>
      <w:r w:rsidRPr="00AF746A">
        <w:rPr>
          <w:rFonts w:ascii="Times New Roman" w:hAnsi="Times New Roman"/>
          <w:lang w:val="en-HK"/>
        </w:rPr>
        <w:t xml:space="preserve"> will review these cases to provide clarity, ensuring the Factors Act achieves its intended balance between protecting owners and promoting commerce.</w:t>
      </w:r>
    </w:p>
    <w:p w14:paraId="0716E2C6" w14:textId="77777777" w:rsidR="00CD39F1" w:rsidRPr="00AF746A" w:rsidRDefault="00CD39F1" w:rsidP="00AF746A">
      <w:pPr>
        <w:spacing w:line="360" w:lineRule="auto"/>
      </w:pPr>
    </w:p>
    <w:sectPr w:rsidR="00CD39F1" w:rsidRPr="00AF74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A7756"/>
    <w:multiLevelType w:val="multilevel"/>
    <w:tmpl w:val="F4B6A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C2BBB"/>
    <w:multiLevelType w:val="multilevel"/>
    <w:tmpl w:val="A41A15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644"/>
        </w:tabs>
        <w:ind w:left="644"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7076F6F"/>
    <w:multiLevelType w:val="multilevel"/>
    <w:tmpl w:val="6AA81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8A1E38"/>
    <w:multiLevelType w:val="multilevel"/>
    <w:tmpl w:val="0F408C2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2BB533A"/>
    <w:multiLevelType w:val="multilevel"/>
    <w:tmpl w:val="398C2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66418"/>
    <w:multiLevelType w:val="multilevel"/>
    <w:tmpl w:val="4DFE5F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26832956">
    <w:abstractNumId w:val="1"/>
  </w:num>
  <w:num w:numId="2" w16cid:durableId="92871180">
    <w:abstractNumId w:val="2"/>
  </w:num>
  <w:num w:numId="3" w16cid:durableId="1358652065">
    <w:abstractNumId w:val="4"/>
  </w:num>
  <w:num w:numId="4" w16cid:durableId="1586576049">
    <w:abstractNumId w:val="5"/>
  </w:num>
  <w:num w:numId="5" w16cid:durableId="629046007">
    <w:abstractNumId w:val="3"/>
  </w:num>
  <w:num w:numId="6" w16cid:durableId="178179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081"/>
    <w:rsid w:val="00012117"/>
    <w:rsid w:val="000147A9"/>
    <w:rsid w:val="00042755"/>
    <w:rsid w:val="0006107D"/>
    <w:rsid w:val="000623A3"/>
    <w:rsid w:val="000719DA"/>
    <w:rsid w:val="00093C97"/>
    <w:rsid w:val="00094D65"/>
    <w:rsid w:val="000A2074"/>
    <w:rsid w:val="000A3F4D"/>
    <w:rsid w:val="000A64DA"/>
    <w:rsid w:val="000B4081"/>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74DD1"/>
    <w:rsid w:val="004751B5"/>
    <w:rsid w:val="0048097D"/>
    <w:rsid w:val="0048175B"/>
    <w:rsid w:val="004845CE"/>
    <w:rsid w:val="004A553E"/>
    <w:rsid w:val="004B1048"/>
    <w:rsid w:val="004D01FE"/>
    <w:rsid w:val="004D582C"/>
    <w:rsid w:val="004D5B1A"/>
    <w:rsid w:val="004E458E"/>
    <w:rsid w:val="004F0E12"/>
    <w:rsid w:val="004F5A36"/>
    <w:rsid w:val="00505437"/>
    <w:rsid w:val="005120A1"/>
    <w:rsid w:val="00542B57"/>
    <w:rsid w:val="00557B52"/>
    <w:rsid w:val="005743EA"/>
    <w:rsid w:val="005770A9"/>
    <w:rsid w:val="0058416B"/>
    <w:rsid w:val="00595357"/>
    <w:rsid w:val="005A1930"/>
    <w:rsid w:val="005A5E2D"/>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AF746A"/>
    <w:rsid w:val="00B03D5A"/>
    <w:rsid w:val="00B200EB"/>
    <w:rsid w:val="00B23297"/>
    <w:rsid w:val="00B360EE"/>
    <w:rsid w:val="00B53B6F"/>
    <w:rsid w:val="00B651D9"/>
    <w:rsid w:val="00B67231"/>
    <w:rsid w:val="00B73742"/>
    <w:rsid w:val="00B914E6"/>
    <w:rsid w:val="00B95747"/>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71DE7"/>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9046"/>
  <w15:chartTrackingRefBased/>
  <w15:docId w15:val="{8D099470-6722-144C-BF62-6ECE2ADB2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B4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408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B40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408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408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408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408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408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08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B408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B4081"/>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B4081"/>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B4081"/>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B4081"/>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B4081"/>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B4081"/>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B4081"/>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B40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081"/>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B408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081"/>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B40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4081"/>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B4081"/>
    <w:pPr>
      <w:ind w:left="720"/>
      <w:contextualSpacing/>
    </w:pPr>
  </w:style>
  <w:style w:type="character" w:styleId="IntenseEmphasis">
    <w:name w:val="Intense Emphasis"/>
    <w:basedOn w:val="DefaultParagraphFont"/>
    <w:uiPriority w:val="21"/>
    <w:qFormat/>
    <w:rsid w:val="000B4081"/>
    <w:rPr>
      <w:i/>
      <w:iCs/>
      <w:color w:val="2F5496" w:themeColor="accent1" w:themeShade="BF"/>
    </w:rPr>
  </w:style>
  <w:style w:type="paragraph" w:styleId="IntenseQuote">
    <w:name w:val="Intense Quote"/>
    <w:basedOn w:val="Normal"/>
    <w:next w:val="Normal"/>
    <w:link w:val="IntenseQuoteChar"/>
    <w:uiPriority w:val="30"/>
    <w:qFormat/>
    <w:rsid w:val="000B4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081"/>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B4081"/>
    <w:rPr>
      <w:b/>
      <w:bCs/>
      <w:smallCaps/>
      <w:color w:val="2F5496" w:themeColor="accent1" w:themeShade="BF"/>
      <w:spacing w:val="5"/>
    </w:rPr>
  </w:style>
  <w:style w:type="character" w:styleId="Strong">
    <w:name w:val="Strong"/>
    <w:basedOn w:val="DefaultParagraphFont"/>
    <w:uiPriority w:val="22"/>
    <w:qFormat/>
    <w:rsid w:val="00AF746A"/>
    <w:rPr>
      <w:b/>
      <w:bCs/>
    </w:rPr>
  </w:style>
  <w:style w:type="character" w:styleId="Emphasis">
    <w:name w:val="Emphasis"/>
    <w:basedOn w:val="DefaultParagraphFont"/>
    <w:uiPriority w:val="20"/>
    <w:qFormat/>
    <w:rsid w:val="00AF746A"/>
    <w:rPr>
      <w:i/>
      <w:iCs/>
    </w:rPr>
  </w:style>
  <w:style w:type="paragraph" w:styleId="NormalWeb">
    <w:name w:val="Normal (Web)"/>
    <w:basedOn w:val="Normal"/>
    <w:uiPriority w:val="99"/>
    <w:semiHidden/>
    <w:unhideWhenUsed/>
    <w:rsid w:val="00AF746A"/>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5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2025-01-13T17:50:00Z</dcterms:created>
  <dcterms:modified xsi:type="dcterms:W3CDTF">2025-01-15T21:30:00Z</dcterms:modified>
</cp:coreProperties>
</file>