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6CBB4" w14:textId="77777777" w:rsidR="008A59CD" w:rsidRPr="007D6366" w:rsidRDefault="008A59C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I. Introduction</w:t>
      </w:r>
    </w:p>
    <w:p w14:paraId="0B6182DF" w14:textId="77777777" w:rsidR="008A59CD" w:rsidRPr="007D6366" w:rsidRDefault="008A59CD"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article addresses the </w:t>
      </w:r>
      <w:r w:rsidRPr="007D6366">
        <w:rPr>
          <w:rFonts w:ascii="Times New Roman" w:hAnsi="Times New Roman"/>
          <w:b/>
          <w:bCs/>
          <w:lang w:val="en-HK"/>
        </w:rPr>
        <w:t xml:space="preserve">nemo </w:t>
      </w:r>
      <w:proofErr w:type="spellStart"/>
      <w:r w:rsidRPr="007D6366">
        <w:rPr>
          <w:rFonts w:ascii="Times New Roman" w:hAnsi="Times New Roman"/>
          <w:b/>
          <w:bCs/>
          <w:lang w:val="en-HK"/>
        </w:rPr>
        <w:t>dat</w:t>
      </w:r>
      <w:proofErr w:type="spellEnd"/>
      <w:r w:rsidRPr="007D6366">
        <w:rPr>
          <w:rFonts w:ascii="Times New Roman" w:hAnsi="Times New Roman"/>
          <w:b/>
          <w:bCs/>
          <w:lang w:val="en-HK"/>
        </w:rPr>
        <w:t xml:space="preserve"> quod non </w:t>
      </w:r>
      <w:proofErr w:type="spellStart"/>
      <w:r w:rsidRPr="007D6366">
        <w:rPr>
          <w:rFonts w:ascii="Times New Roman" w:hAnsi="Times New Roman"/>
          <w:b/>
          <w:bCs/>
          <w:lang w:val="en-HK"/>
        </w:rPr>
        <w:t>habet</w:t>
      </w:r>
      <w:proofErr w:type="spellEnd"/>
      <w:r w:rsidRPr="007D6366">
        <w:rPr>
          <w:rFonts w:ascii="Times New Roman" w:hAnsi="Times New Roman"/>
          <w:lang w:val="en-HK"/>
        </w:rPr>
        <w:t xml:space="preserve"> rule ("no one can give what they do not have"), which underpins English property law.</w:t>
      </w:r>
    </w:p>
    <w:p w14:paraId="36E66D9E" w14:textId="77777777" w:rsidR="008A59CD" w:rsidRPr="007D6366" w:rsidRDefault="008A59CD"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core issue: In cases involving a rogue seller, whether the </w:t>
      </w:r>
      <w:r w:rsidRPr="007D6366">
        <w:rPr>
          <w:rFonts w:ascii="Times New Roman" w:hAnsi="Times New Roman"/>
          <w:b/>
          <w:bCs/>
          <w:lang w:val="en-HK"/>
        </w:rPr>
        <w:t>original owner</w:t>
      </w:r>
      <w:r w:rsidRPr="007D6366">
        <w:rPr>
          <w:rFonts w:ascii="Times New Roman" w:hAnsi="Times New Roman"/>
          <w:lang w:val="en-HK"/>
        </w:rPr>
        <w:t xml:space="preserve"> or the </w:t>
      </w:r>
      <w:r w:rsidRPr="007D6366">
        <w:rPr>
          <w:rFonts w:ascii="Times New Roman" w:hAnsi="Times New Roman"/>
          <w:b/>
          <w:bCs/>
          <w:lang w:val="en-HK"/>
        </w:rPr>
        <w:t>innocent third-party buyer</w:t>
      </w:r>
      <w:r w:rsidRPr="007D6366">
        <w:rPr>
          <w:rFonts w:ascii="Times New Roman" w:hAnsi="Times New Roman"/>
          <w:lang w:val="en-HK"/>
        </w:rPr>
        <w:t xml:space="preserve"> holds better title to the goods.</w:t>
      </w:r>
    </w:p>
    <w:p w14:paraId="4108209D" w14:textId="77777777" w:rsidR="008A59CD" w:rsidRPr="007D6366" w:rsidRDefault="008A59CD"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General rule: Under </w:t>
      </w:r>
      <w:r w:rsidRPr="007D6366">
        <w:rPr>
          <w:rFonts w:ascii="Times New Roman" w:hAnsi="Times New Roman"/>
          <w:b/>
          <w:bCs/>
          <w:lang w:val="en-HK"/>
        </w:rPr>
        <w:t>Section 21 of the Sale of Goods Act 1979 (SGA 1979)</w:t>
      </w:r>
      <w:r w:rsidRPr="007D6366">
        <w:rPr>
          <w:rFonts w:ascii="Times New Roman" w:hAnsi="Times New Roman"/>
          <w:lang w:val="en-HK"/>
        </w:rPr>
        <w:t>, a buyer cannot obtain better title than the seller unless exceptions apply:</w:t>
      </w:r>
    </w:p>
    <w:p w14:paraId="6FD7F52F" w14:textId="77777777" w:rsidR="008A59CD" w:rsidRPr="007D6366" w:rsidRDefault="008A59CD" w:rsidP="007D6366">
      <w:pPr>
        <w:numPr>
          <w:ilvl w:val="1"/>
          <w:numId w:val="1"/>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True owner's title</w:t>
      </w:r>
      <w:r w:rsidRPr="007D6366">
        <w:rPr>
          <w:rFonts w:ascii="Times New Roman" w:hAnsi="Times New Roman"/>
          <w:lang w:val="en-HK"/>
        </w:rPr>
        <w:t xml:space="preserve"> takes precedence.</w:t>
      </w:r>
    </w:p>
    <w:p w14:paraId="4AE5F739" w14:textId="77777777" w:rsidR="008A59CD" w:rsidRPr="007D6366" w:rsidRDefault="008A59CD" w:rsidP="007D6366">
      <w:pPr>
        <w:numPr>
          <w:ilvl w:val="1"/>
          <w:numId w:val="1"/>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Exceptions like sales by mercantile agents or buyers in possession may override this rule.</w:t>
      </w:r>
    </w:p>
    <w:p w14:paraId="734A15CD" w14:textId="77777777" w:rsidR="008A59C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5222E7E3">
          <v:rect id="_x0000_i1037" alt="" style="width:451.3pt;height:.05pt;mso-width-percent:0;mso-height-percent:0;mso-width-percent:0;mso-height-percent:0" o:hralign="center" o:hrstd="t" o:hr="t" fillcolor="#a0a0a0" stroked="f"/>
        </w:pict>
      </w:r>
    </w:p>
    <w:p w14:paraId="4561C599" w14:textId="77777777" w:rsidR="0041711A" w:rsidRPr="007D6366" w:rsidRDefault="0041711A"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II. Factors Act Exceptions to the Nemo Dat Rule</w:t>
      </w:r>
    </w:p>
    <w:p w14:paraId="52E65F9D" w14:textId="77777777" w:rsidR="0041711A" w:rsidRPr="007D6366" w:rsidRDefault="0041711A"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nemo </w:t>
      </w:r>
      <w:proofErr w:type="spellStart"/>
      <w:r w:rsidRPr="007D6366">
        <w:rPr>
          <w:rFonts w:ascii="Times New Roman" w:hAnsi="Times New Roman"/>
          <w:lang w:val="en-HK"/>
        </w:rPr>
        <w:t>dat</w:t>
      </w:r>
      <w:proofErr w:type="spellEnd"/>
      <w:r w:rsidRPr="007D6366">
        <w:rPr>
          <w:rFonts w:ascii="Times New Roman" w:hAnsi="Times New Roman"/>
          <w:lang w:val="en-HK"/>
        </w:rPr>
        <w:t xml:space="preserve"> rule is codified under </w:t>
      </w:r>
      <w:r w:rsidRPr="007D6366">
        <w:rPr>
          <w:rFonts w:ascii="Times New Roman" w:hAnsi="Times New Roman"/>
          <w:b/>
          <w:bCs/>
          <w:lang w:val="en-HK"/>
        </w:rPr>
        <w:t>Section 21 of the Sale of Goods Act 1979</w:t>
      </w:r>
      <w:r w:rsidRPr="007D6366">
        <w:rPr>
          <w:rFonts w:ascii="Times New Roman" w:hAnsi="Times New Roman"/>
          <w:lang w:val="en-HK"/>
        </w:rPr>
        <w:t>, stating:</w:t>
      </w:r>
    </w:p>
    <w:p w14:paraId="6AEEEC7D" w14:textId="77777777" w:rsidR="0041711A" w:rsidRPr="007D6366" w:rsidRDefault="0041711A" w:rsidP="007D6366">
      <w:pPr>
        <w:spacing w:beforeAutospacing="1" w:afterAutospacing="1" w:line="360" w:lineRule="auto"/>
        <w:rPr>
          <w:rFonts w:ascii="Times New Roman" w:hAnsi="Times New Roman"/>
          <w:lang w:val="en-HK"/>
        </w:rPr>
      </w:pPr>
      <w:r w:rsidRPr="007D6366">
        <w:rPr>
          <w:rFonts w:ascii="Times New Roman" w:hAnsi="Times New Roman"/>
          <w:lang w:val="en-HK"/>
        </w:rPr>
        <w:t>“Where goods are sold by a person who is not their owner, and who does not sell them under the authority or with the consent of the owner, the buyer acquires no better title to the goods than the seller had.”</w:t>
      </w:r>
    </w:p>
    <w:p w14:paraId="17636941" w14:textId="5E7EEF2F" w:rsidR="0041711A" w:rsidRPr="007D6366" w:rsidRDefault="0041711A"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Exceptions to this rule are necessary to balance the rights of innocent purchasers and owners, particularly for commercial efficiency. The article discusses two key exceptions under the </w:t>
      </w:r>
      <w:r w:rsidRPr="007D6366">
        <w:rPr>
          <w:rFonts w:ascii="Times New Roman" w:hAnsi="Times New Roman"/>
          <w:b/>
          <w:bCs/>
          <w:lang w:val="en-HK"/>
        </w:rPr>
        <w:t>Factors Act 1889 (FA 1889)</w:t>
      </w:r>
      <w:r w:rsidRPr="007D6366">
        <w:rPr>
          <w:rFonts w:ascii="Times New Roman" w:hAnsi="Times New Roman"/>
          <w:lang w:val="en-HK"/>
        </w:rPr>
        <w:t xml:space="preserve"> and their implications.</w:t>
      </w:r>
    </w:p>
    <w:p w14:paraId="5BC9963D"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 xml:space="preserve">A. Sales by Mercantile Agents </w:t>
      </w:r>
      <w:r w:rsidRPr="00615E83">
        <w:rPr>
          <w:rFonts w:ascii="Times New Roman" w:hAnsi="Times New Roman"/>
          <w:b/>
          <w:bCs/>
          <w:highlight w:val="yellow"/>
          <w:lang w:val="en-HK"/>
        </w:rPr>
        <w:t>(Section 2(1) FA 1889)</w:t>
      </w:r>
    </w:p>
    <w:p w14:paraId="5F9581C4" w14:textId="77777777" w:rsidR="0041711A" w:rsidRPr="007D6366" w:rsidRDefault="0041711A" w:rsidP="007D6366">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Provision</w:t>
      </w:r>
      <w:r w:rsidRPr="007D6366">
        <w:rPr>
          <w:rFonts w:ascii="Times New Roman" w:hAnsi="Times New Roman"/>
          <w:lang w:val="en-HK"/>
        </w:rPr>
        <w:t>:</w:t>
      </w:r>
    </w:p>
    <w:p w14:paraId="05A033B8" w14:textId="77777777" w:rsidR="0041711A" w:rsidRPr="007D6366" w:rsidRDefault="0041711A" w:rsidP="007D6366">
      <w:pPr>
        <w:spacing w:beforeAutospacing="1" w:afterAutospacing="1" w:line="360" w:lineRule="auto"/>
        <w:rPr>
          <w:rFonts w:ascii="Times New Roman" w:hAnsi="Times New Roman"/>
          <w:lang w:val="en-HK"/>
        </w:rPr>
      </w:pPr>
      <w:r w:rsidRPr="007D6366">
        <w:rPr>
          <w:rFonts w:ascii="Times New Roman" w:hAnsi="Times New Roman"/>
          <w:lang w:val="en-HK"/>
        </w:rPr>
        <w:t xml:space="preserve">“Where a mercantile agent is, with the consent of the owner, in possession of goods or of the documents of title to goods, any sale, pledge, or other disposition of the goods, made by him when acting in the ordinary course of business of a mercantile agent, shall… be as valid as if he were expressly authorised by the owner of the goods to make the same; provided that the </w:t>
      </w:r>
      <w:r w:rsidRPr="007D6366">
        <w:rPr>
          <w:rFonts w:ascii="Times New Roman" w:hAnsi="Times New Roman"/>
          <w:lang w:val="en-HK"/>
        </w:rPr>
        <w:lastRenderedPageBreak/>
        <w:t>person taking under the disposition acts in good faith, and has not at the time of the disposition notice that the person making the disposition has not authority to make the same.”</w:t>
      </w:r>
    </w:p>
    <w:p w14:paraId="6DECC274"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Key Features</w:t>
      </w:r>
    </w:p>
    <w:p w14:paraId="2EECC737" w14:textId="77777777" w:rsidR="0041711A" w:rsidRPr="007D6366" w:rsidRDefault="0041711A" w:rsidP="007D6366">
      <w:pPr>
        <w:numPr>
          <w:ilvl w:val="0"/>
          <w:numId w:val="2"/>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Consent of the Owner</w:t>
      </w:r>
      <w:r w:rsidRPr="007D6366">
        <w:rPr>
          <w:rFonts w:ascii="Times New Roman" w:hAnsi="Times New Roman"/>
          <w:lang w:val="en-HK"/>
        </w:rPr>
        <w:t>:</w:t>
      </w:r>
    </w:p>
    <w:p w14:paraId="4CA3522F"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goods or documents must be in the mercantile agent’s possession with the owner’s consent.</w:t>
      </w:r>
    </w:p>
    <w:p w14:paraId="3094C0A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Judicial Clarification:</w:t>
      </w:r>
    </w:p>
    <w:p w14:paraId="55B05A07"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Cole v. North Western Bank (1875)</w:t>
      </w:r>
      <w:r w:rsidRPr="007D6366">
        <w:rPr>
          <w:rFonts w:ascii="Times New Roman" w:hAnsi="Times New Roman"/>
          <w:lang w:val="en-HK"/>
        </w:rPr>
        <w:t xml:space="preserve">: Blackburn J emphasized, </w:t>
      </w:r>
      <w:r w:rsidRPr="007D6366">
        <w:rPr>
          <w:rFonts w:ascii="Times New Roman" w:hAnsi="Times New Roman"/>
          <w:i/>
          <w:iCs/>
          <w:lang w:val="en-HK"/>
        </w:rPr>
        <w:t>“The goods must have been entrusted to the agent in his capacity as a mercantile agent… the owner is not penalized merely for appearances.”</w:t>
      </w:r>
    </w:p>
    <w:p w14:paraId="697AACAF"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Pearson v. Rose &amp; Young, Ltd. [1951]</w:t>
      </w:r>
      <w:r w:rsidRPr="007D6366">
        <w:rPr>
          <w:rFonts w:ascii="Times New Roman" w:hAnsi="Times New Roman"/>
          <w:lang w:val="en-HK"/>
        </w:rPr>
        <w:t xml:space="preserve">: Denning LJ stated, </w:t>
      </w:r>
      <w:r w:rsidRPr="007D6366">
        <w:rPr>
          <w:rFonts w:ascii="Times New Roman" w:hAnsi="Times New Roman"/>
          <w:i/>
          <w:iCs/>
          <w:lang w:val="en-HK"/>
        </w:rPr>
        <w:t>“The owner must consent to the agent having them for a purpose connected with his business as a mercantile agent.”</w:t>
      </w:r>
    </w:p>
    <w:p w14:paraId="223FB63A" w14:textId="77777777" w:rsidR="0041711A" w:rsidRPr="007D6366" w:rsidRDefault="0041711A" w:rsidP="007D6366">
      <w:pPr>
        <w:numPr>
          <w:ilvl w:val="0"/>
          <w:numId w:val="2"/>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Ordinary Course of Business</w:t>
      </w:r>
      <w:r w:rsidRPr="007D6366">
        <w:rPr>
          <w:rFonts w:ascii="Times New Roman" w:hAnsi="Times New Roman"/>
          <w:lang w:val="en-HK"/>
        </w:rPr>
        <w:t>:</w:t>
      </w:r>
    </w:p>
    <w:p w14:paraId="013EA431"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sale must be consistent with the normal business practices of a mercantile agent.</w:t>
      </w:r>
    </w:p>
    <w:p w14:paraId="5B2DAC76"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Criticism</w:t>
      </w:r>
      <w:r w:rsidRPr="007D6366">
        <w:rPr>
          <w:rFonts w:ascii="Times New Roman" w:hAnsi="Times New Roman"/>
          <w:lang w:val="en-HK"/>
        </w:rPr>
        <w:t>:</w:t>
      </w:r>
    </w:p>
    <w:p w14:paraId="023E21B5"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highlights that this requirement restricts the exception’s application, limiting its impact in protecting third-party buyers.</w:t>
      </w:r>
    </w:p>
    <w:p w14:paraId="249FDED8" w14:textId="77777777" w:rsidR="0041711A" w:rsidRPr="007D6366" w:rsidRDefault="0041711A" w:rsidP="007D6366">
      <w:pPr>
        <w:numPr>
          <w:ilvl w:val="0"/>
          <w:numId w:val="2"/>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Good Faith and Notice</w:t>
      </w:r>
      <w:r w:rsidRPr="007D6366">
        <w:rPr>
          <w:rFonts w:ascii="Times New Roman" w:hAnsi="Times New Roman"/>
          <w:lang w:val="en-HK"/>
        </w:rPr>
        <w:t>:</w:t>
      </w:r>
    </w:p>
    <w:p w14:paraId="16B259E2" w14:textId="2BD62195"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Buyers must act in good faith and without notice of the agent’s lack of authority.</w:t>
      </w:r>
    </w:p>
    <w:p w14:paraId="532EF497"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B. Sales by Sellers in Possession (Section 24 SGA 1979)</w:t>
      </w:r>
    </w:p>
    <w:p w14:paraId="4B6A1541" w14:textId="77777777" w:rsidR="0041711A" w:rsidRPr="007D6366" w:rsidRDefault="0041711A" w:rsidP="007D6366">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Provision</w:t>
      </w:r>
      <w:r w:rsidRPr="007D6366">
        <w:rPr>
          <w:rFonts w:ascii="Times New Roman" w:hAnsi="Times New Roman"/>
          <w:lang w:val="en-HK"/>
        </w:rPr>
        <w:t>:</w:t>
      </w:r>
    </w:p>
    <w:p w14:paraId="7EF5F268" w14:textId="50215DE5" w:rsidR="0041711A" w:rsidRPr="007D6366" w:rsidRDefault="0041711A" w:rsidP="007D6366">
      <w:pPr>
        <w:spacing w:beforeAutospacing="1" w:afterAutospacing="1" w:line="360" w:lineRule="auto"/>
        <w:rPr>
          <w:rFonts w:ascii="Times New Roman" w:hAnsi="Times New Roman"/>
          <w:lang w:val="en-HK"/>
        </w:rPr>
      </w:pPr>
      <w:r w:rsidRPr="007D6366">
        <w:rPr>
          <w:rFonts w:ascii="Times New Roman" w:hAnsi="Times New Roman"/>
          <w:lang w:val="en-HK"/>
        </w:rPr>
        <w:t xml:space="preserve">“Where a person having sold goods continues or is in possession of the goods, or of the documents of title to the goods, the delivery or transfer by that person… to any person </w:t>
      </w:r>
      <w:r w:rsidRPr="007D6366">
        <w:rPr>
          <w:rFonts w:ascii="Times New Roman" w:hAnsi="Times New Roman"/>
          <w:lang w:val="en-HK"/>
        </w:rPr>
        <w:lastRenderedPageBreak/>
        <w:t>receiving the same in good faith and without notice of the previous sale, has the same effect as if the person making the delivery or transfer were expressly authorised by the owner of the goods to make the same.”</w:t>
      </w:r>
    </w:p>
    <w:p w14:paraId="3C616B87"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Origins and Case Law</w:t>
      </w:r>
    </w:p>
    <w:p w14:paraId="0066FB87"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Johnson v. Credit Lyonnais (1877)</w:t>
      </w:r>
      <w:r w:rsidRPr="007D6366">
        <w:rPr>
          <w:rFonts w:ascii="Times New Roman" w:hAnsi="Times New Roman"/>
          <w:lang w:val="en-HK"/>
        </w:rPr>
        <w:t>:</w:t>
      </w:r>
    </w:p>
    <w:p w14:paraId="09CC2996"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seller retained dock warrants (documents of title) after selling goods but could not transfer valid title to a second buyer. This strict application of nemo </w:t>
      </w:r>
      <w:proofErr w:type="spellStart"/>
      <w:r w:rsidRPr="007D6366">
        <w:rPr>
          <w:rFonts w:ascii="Times New Roman" w:hAnsi="Times New Roman"/>
          <w:lang w:val="en-HK"/>
        </w:rPr>
        <w:t>dat</w:t>
      </w:r>
      <w:proofErr w:type="spellEnd"/>
      <w:r w:rsidRPr="007D6366">
        <w:rPr>
          <w:rFonts w:ascii="Times New Roman" w:hAnsi="Times New Roman"/>
          <w:lang w:val="en-HK"/>
        </w:rPr>
        <w:t xml:space="preserve"> sparked discontent in commercial circles.</w:t>
      </w:r>
    </w:p>
    <w:p w14:paraId="7864142A"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Merrett notes, </w:t>
      </w:r>
      <w:r w:rsidRPr="007D6366">
        <w:rPr>
          <w:rFonts w:ascii="Times New Roman" w:hAnsi="Times New Roman"/>
          <w:i/>
          <w:iCs/>
          <w:lang w:val="en-HK"/>
        </w:rPr>
        <w:t>“The outcry led to Section 3 of the Factors Amendment Act 1877, which reversed the decision and treated sellers in possession of goods like mercantile agents under Section 2(1) FA 1889.”</w:t>
      </w:r>
    </w:p>
    <w:p w14:paraId="32669213"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Staffs Motor Guarantee Ltd v. British Wagon Co Ltd [1934]</w:t>
      </w:r>
      <w:r w:rsidRPr="007D6366">
        <w:rPr>
          <w:rFonts w:ascii="Times New Roman" w:hAnsi="Times New Roman"/>
          <w:lang w:val="en-HK"/>
        </w:rPr>
        <w:t>:</w:t>
      </w:r>
    </w:p>
    <w:p w14:paraId="23FEB301"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delivery was deemed sufficient to terminate the seller’s possession, invalidating subsequent sales under Section 24.</w:t>
      </w:r>
    </w:p>
    <w:p w14:paraId="7D25E781"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Pacific Motor Auctions Pty Ltd v. Motor Credits (1965)</w:t>
      </w:r>
      <w:r w:rsidRPr="007D6366">
        <w:rPr>
          <w:rFonts w:ascii="Times New Roman" w:hAnsi="Times New Roman"/>
          <w:lang w:val="en-HK"/>
        </w:rPr>
        <w:t>:</w:t>
      </w:r>
    </w:p>
    <w:p w14:paraId="322F3E45"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Privy Council overturned the reasoning in Staffs Motor, holding that physical possession suffices under Section 24.</w:t>
      </w:r>
    </w:p>
    <w:p w14:paraId="5974A106"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Critical Analysis</w:t>
      </w:r>
    </w:p>
    <w:p w14:paraId="6A5259B7" w14:textId="77777777" w:rsidR="0041711A" w:rsidRPr="007D6366" w:rsidRDefault="0041711A"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critiques the inconsistency in judicial reasoning:</w:t>
      </w:r>
    </w:p>
    <w:p w14:paraId="7448A8F4"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Physical possession is sometimes treated as sufficient (</w:t>
      </w:r>
      <w:r w:rsidRPr="007D6366">
        <w:rPr>
          <w:rFonts w:ascii="Times New Roman" w:hAnsi="Times New Roman"/>
          <w:b/>
          <w:bCs/>
          <w:lang w:val="en-HK"/>
        </w:rPr>
        <w:t>Pacific Motor</w:t>
      </w:r>
      <w:r w:rsidRPr="007D6366">
        <w:rPr>
          <w:rFonts w:ascii="Times New Roman" w:hAnsi="Times New Roman"/>
          <w:lang w:val="en-HK"/>
        </w:rPr>
        <w:t xml:space="preserve">), while other cases (e.g., </w:t>
      </w:r>
      <w:r w:rsidRPr="007D6366">
        <w:rPr>
          <w:rFonts w:ascii="Times New Roman" w:hAnsi="Times New Roman"/>
          <w:b/>
          <w:bCs/>
          <w:lang w:val="en-HK"/>
        </w:rPr>
        <w:t>Staffs Motor</w:t>
      </w:r>
      <w:r w:rsidRPr="007D6366">
        <w:rPr>
          <w:rFonts w:ascii="Times New Roman" w:hAnsi="Times New Roman"/>
          <w:lang w:val="en-HK"/>
        </w:rPr>
        <w:t>) require constructive delivery to end the seller’s possession.</w:t>
      </w:r>
    </w:p>
    <w:p w14:paraId="228692ED"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She argues, </w:t>
      </w:r>
      <w:r w:rsidRPr="007D6366">
        <w:rPr>
          <w:rFonts w:ascii="Times New Roman" w:hAnsi="Times New Roman"/>
          <w:i/>
          <w:iCs/>
          <w:lang w:val="en-HK"/>
        </w:rPr>
        <w:t>“The section’s operation is inconsistent with the rationale of promoting commerce, as it creates risks for innocent buyers.”</w:t>
      </w:r>
    </w:p>
    <w:p w14:paraId="1FBF525C" w14:textId="2B1BF7B4" w:rsidR="0041711A" w:rsidRPr="007D6366" w:rsidRDefault="0041711A" w:rsidP="007D6366">
      <w:pPr>
        <w:spacing w:line="360" w:lineRule="auto"/>
        <w:rPr>
          <w:rFonts w:ascii="Times New Roman" w:hAnsi="Times New Roman"/>
          <w:lang w:val="en-HK"/>
        </w:rPr>
      </w:pPr>
    </w:p>
    <w:p w14:paraId="07D68C11" w14:textId="77777777" w:rsidR="0041711A" w:rsidRPr="007D6366" w:rsidRDefault="0041711A" w:rsidP="007D6366">
      <w:pPr>
        <w:spacing w:before="100" w:beforeAutospacing="1" w:after="100" w:afterAutospacing="1" w:line="360" w:lineRule="auto"/>
        <w:outlineLvl w:val="2"/>
        <w:rPr>
          <w:rFonts w:ascii="Times New Roman" w:hAnsi="Times New Roman"/>
          <w:b/>
          <w:bCs/>
        </w:rPr>
      </w:pPr>
      <w:r w:rsidRPr="007D6366">
        <w:rPr>
          <w:rFonts w:ascii="Times New Roman" w:hAnsi="Times New Roman"/>
          <w:b/>
          <w:bCs/>
          <w:lang w:val="en-HK"/>
        </w:rPr>
        <w:lastRenderedPageBreak/>
        <w:t xml:space="preserve">III. </w:t>
      </w:r>
      <w:r w:rsidRPr="007D6366">
        <w:rPr>
          <w:rFonts w:ascii="Times New Roman" w:hAnsi="Times New Roman"/>
          <w:b/>
          <w:bCs/>
        </w:rPr>
        <w:t>The Seller Who "Continues or Is in Possession of Goods</w:t>
      </w:r>
    </w:p>
    <w:p w14:paraId="35895224"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A. Key Concepts Considered</w:t>
      </w:r>
    </w:p>
    <w:p w14:paraId="7020F43C"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1. Ownership and Possession</w:t>
      </w:r>
    </w:p>
    <w:p w14:paraId="3B4694BD"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Ownership</w:t>
      </w:r>
      <w:r w:rsidRPr="007D6366">
        <w:rPr>
          <w:rFonts w:ascii="Times New Roman" w:hAnsi="Times New Roman"/>
          <w:lang w:val="en-HK"/>
        </w:rPr>
        <w:t>:</w:t>
      </w:r>
    </w:p>
    <w:p w14:paraId="78327AE8" w14:textId="77777777" w:rsidR="00615E83"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Defined in </w:t>
      </w:r>
      <w:r w:rsidRPr="007D6366">
        <w:rPr>
          <w:rFonts w:ascii="Times New Roman" w:hAnsi="Times New Roman"/>
          <w:b/>
          <w:bCs/>
          <w:lang w:val="en-HK"/>
        </w:rPr>
        <w:t>Section 61 of the Sale of Goods Act 1979</w:t>
      </w:r>
      <w:r w:rsidRPr="007D6366">
        <w:rPr>
          <w:rFonts w:ascii="Times New Roman" w:hAnsi="Times New Roman"/>
          <w:lang w:val="en-HK"/>
        </w:rPr>
        <w:t>:</w:t>
      </w:r>
    </w:p>
    <w:p w14:paraId="2534883A" w14:textId="21028198"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“Property means the </w:t>
      </w:r>
      <w:r w:rsidRPr="00615E83">
        <w:rPr>
          <w:rFonts w:ascii="Times New Roman" w:hAnsi="Times New Roman"/>
          <w:color w:val="FF0000"/>
          <w:highlight w:val="yellow"/>
          <w:lang w:val="en-HK"/>
        </w:rPr>
        <w:t>general property in goods</w:t>
      </w:r>
      <w:r w:rsidRPr="007D6366">
        <w:rPr>
          <w:rFonts w:ascii="Times New Roman" w:hAnsi="Times New Roman"/>
          <w:lang w:val="en-HK"/>
        </w:rPr>
        <w:t>, not merely a special property.”</w:t>
      </w:r>
    </w:p>
    <w:p w14:paraId="6B5AF1B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Ownership (or title) is distinct from possession. Title can pass to the buyer without the buyer acquiring possession.</w:t>
      </w:r>
    </w:p>
    <w:p w14:paraId="1AF7A863"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615E83">
        <w:rPr>
          <w:rFonts w:ascii="Times New Roman" w:hAnsi="Times New Roman"/>
          <w:b/>
          <w:bCs/>
          <w:highlight w:val="yellow"/>
          <w:lang w:val="en-HK"/>
        </w:rPr>
        <w:t>Possession</w:t>
      </w:r>
      <w:r w:rsidRPr="00615E83">
        <w:rPr>
          <w:rFonts w:ascii="Times New Roman" w:hAnsi="Times New Roman"/>
          <w:highlight w:val="yellow"/>
          <w:lang w:val="en-HK"/>
        </w:rPr>
        <w:t>:</w:t>
      </w:r>
    </w:p>
    <w:p w14:paraId="2A03AC91"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Actual: </w:t>
      </w:r>
      <w:r w:rsidRPr="00615E83">
        <w:rPr>
          <w:rFonts w:ascii="Times New Roman" w:hAnsi="Times New Roman"/>
          <w:b/>
          <w:bCs/>
          <w:lang w:val="en-HK"/>
        </w:rPr>
        <w:t>Physical control</w:t>
      </w:r>
      <w:r w:rsidRPr="007D6366">
        <w:rPr>
          <w:rFonts w:ascii="Times New Roman" w:hAnsi="Times New Roman"/>
          <w:lang w:val="en-HK"/>
        </w:rPr>
        <w:t xml:space="preserve"> of goods.</w:t>
      </w:r>
    </w:p>
    <w:p w14:paraId="69FFFEE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615E83">
        <w:rPr>
          <w:rFonts w:ascii="Times New Roman" w:hAnsi="Times New Roman"/>
          <w:highlight w:val="yellow"/>
          <w:lang w:val="en-HK"/>
        </w:rPr>
        <w:t>Constructive</w:t>
      </w:r>
      <w:r w:rsidRPr="007D6366">
        <w:rPr>
          <w:rFonts w:ascii="Times New Roman" w:hAnsi="Times New Roman"/>
          <w:lang w:val="en-HK"/>
        </w:rPr>
        <w:t xml:space="preserve">: </w:t>
      </w:r>
      <w:r w:rsidRPr="00615E83">
        <w:rPr>
          <w:rFonts w:ascii="Times New Roman" w:hAnsi="Times New Roman"/>
          <w:color w:val="FF0000"/>
          <w:lang w:val="en-HK"/>
        </w:rPr>
        <w:t xml:space="preserve">Control over goods </w:t>
      </w:r>
      <w:r w:rsidRPr="007D6366">
        <w:rPr>
          <w:rFonts w:ascii="Times New Roman" w:hAnsi="Times New Roman"/>
          <w:lang w:val="en-HK"/>
        </w:rPr>
        <w:t xml:space="preserve">through </w:t>
      </w:r>
      <w:r w:rsidRPr="00615E83">
        <w:rPr>
          <w:rFonts w:ascii="Times New Roman" w:hAnsi="Times New Roman"/>
          <w:color w:val="FF0000"/>
          <w:lang w:val="en-HK"/>
        </w:rPr>
        <w:t xml:space="preserve">acknowledgment by another party </w:t>
      </w:r>
      <w:r w:rsidRPr="007D6366">
        <w:rPr>
          <w:rFonts w:ascii="Times New Roman" w:hAnsi="Times New Roman"/>
          <w:lang w:val="en-HK"/>
        </w:rPr>
        <w:t>(e.g., seller holding goods for the buyer as a bailee).</w:t>
      </w:r>
    </w:p>
    <w:p w14:paraId="1CE2E805"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2. Importance of Possession</w:t>
      </w:r>
    </w:p>
    <w:p w14:paraId="47EBC43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Possession determines rights under Section 24 and other statutory exceptions to nemo dat.</w:t>
      </w:r>
    </w:p>
    <w:p w14:paraId="3AD30E87"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Section 41 SGA 1979</w:t>
      </w:r>
      <w:r w:rsidRPr="007D6366">
        <w:rPr>
          <w:rFonts w:ascii="Times New Roman" w:hAnsi="Times New Roman"/>
          <w:lang w:val="en-HK"/>
        </w:rPr>
        <w:t>:</w:t>
      </w:r>
    </w:p>
    <w:p w14:paraId="4DE132C0"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Provides a lien for an unpaid seller in possession of goods.</w:t>
      </w:r>
    </w:p>
    <w:p w14:paraId="5364C431"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3. Delivery</w:t>
      </w:r>
    </w:p>
    <w:p w14:paraId="5BC780D6"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Actual Delivery</w:t>
      </w:r>
      <w:r w:rsidRPr="007D6366">
        <w:rPr>
          <w:rFonts w:ascii="Times New Roman" w:hAnsi="Times New Roman"/>
          <w:lang w:val="en-HK"/>
        </w:rPr>
        <w:t>: Physical transfer of goods.</w:t>
      </w:r>
    </w:p>
    <w:p w14:paraId="0FA6874F"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Constructive Delivery</w:t>
      </w:r>
      <w:r w:rsidRPr="007D6366">
        <w:rPr>
          <w:rFonts w:ascii="Times New Roman" w:hAnsi="Times New Roman"/>
          <w:lang w:val="en-HK"/>
        </w:rPr>
        <w:t>:</w:t>
      </w:r>
    </w:p>
    <w:p w14:paraId="02A194F4"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Occurs when no physical transfer takes place, but acknowledgment of the buyer's rights is made (e.g., by attornment).</w:t>
      </w:r>
    </w:p>
    <w:p w14:paraId="0BDC1169"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lastRenderedPageBreak/>
        <w:t>Judicial Opinions</w:t>
      </w:r>
    </w:p>
    <w:p w14:paraId="1494A88A"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Michael Gerson (Leasing) Ltd v. Wilkinson [2001] Q.B. 514</w:t>
      </w:r>
      <w:r w:rsidRPr="007D6366">
        <w:rPr>
          <w:rFonts w:ascii="Times New Roman" w:hAnsi="Times New Roman"/>
          <w:lang w:val="en-HK"/>
        </w:rPr>
        <w:t>:</w:t>
      </w:r>
    </w:p>
    <w:p w14:paraId="261273DE"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Clarke LJ:</w:t>
      </w:r>
    </w:p>
    <w:p w14:paraId="2CF3C9A7" w14:textId="77777777" w:rsidR="00B130AD" w:rsidRPr="007D6366" w:rsidRDefault="00B130AD" w:rsidP="00615E83">
      <w:pPr>
        <w:spacing w:beforeAutospacing="1" w:afterAutospacing="1" w:line="360" w:lineRule="auto"/>
        <w:rPr>
          <w:rFonts w:ascii="Times New Roman" w:hAnsi="Times New Roman"/>
          <w:lang w:val="en-HK"/>
        </w:rPr>
      </w:pPr>
      <w:r w:rsidRPr="007D6366">
        <w:rPr>
          <w:rFonts w:ascii="Times New Roman" w:hAnsi="Times New Roman"/>
          <w:lang w:val="en-HK"/>
        </w:rPr>
        <w:t>“Attornment does not require specific words or acts. The seller’s acknowledgment of the buyer’s right to possession suffices.”</w:t>
      </w:r>
    </w:p>
    <w:p w14:paraId="1F8BDE21"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0C9F5E3F">
          <v:rect id="_x0000_i1036" alt="" style="width:451.3pt;height:.05pt;mso-width-percent:0;mso-height-percent:0;mso-width-percent:0;mso-height-percent:0" o:hralign="center" o:hrstd="t" o:hr="t" fillcolor="#a0a0a0" stroked="f"/>
        </w:pict>
      </w:r>
    </w:p>
    <w:p w14:paraId="53D55AA3"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B. When Does a Seller “Continue in Possession of Goods”?</w:t>
      </w:r>
    </w:p>
    <w:p w14:paraId="3B02FBB7" w14:textId="77777777" w:rsidR="00B130AD" w:rsidRPr="007D6366" w:rsidRDefault="00B130AD"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This issue hinges on whether physical possession or constructive delivery affects the seller’s possession.</w:t>
      </w:r>
    </w:p>
    <w:p w14:paraId="7C7F6B33"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Key Cases</w:t>
      </w:r>
    </w:p>
    <w:p w14:paraId="3F408DEC" w14:textId="77777777" w:rsidR="00B130AD" w:rsidRPr="007D6366" w:rsidRDefault="00B130AD" w:rsidP="007D6366">
      <w:pPr>
        <w:numPr>
          <w:ilvl w:val="0"/>
          <w:numId w:val="19"/>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Mitchell v. Jones (1905) 24 N.Z.L.R. 932</w:t>
      </w:r>
      <w:r w:rsidRPr="007D6366">
        <w:rPr>
          <w:rFonts w:ascii="Times New Roman" w:hAnsi="Times New Roman"/>
          <w:lang w:val="en-HK"/>
        </w:rPr>
        <w:t>:</w:t>
      </w:r>
    </w:p>
    <w:p w14:paraId="2A915D1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Facts</w:t>
      </w:r>
      <w:r w:rsidRPr="007D6366">
        <w:rPr>
          <w:rFonts w:ascii="Times New Roman" w:hAnsi="Times New Roman"/>
          <w:lang w:val="en-HK"/>
        </w:rPr>
        <w:t>:</w:t>
      </w:r>
    </w:p>
    <w:p w14:paraId="25AD2AB3"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A seller sold and delivered a horse to a first buyer, then regained possession under a lease. The seller resold the horse to a second buyer.</w:t>
      </w:r>
    </w:p>
    <w:p w14:paraId="7F4BEBB7"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Judgment</w:t>
      </w:r>
      <w:r w:rsidRPr="007D6366">
        <w:rPr>
          <w:rFonts w:ascii="Times New Roman" w:hAnsi="Times New Roman"/>
          <w:lang w:val="en-HK"/>
        </w:rPr>
        <w:t>:</w:t>
      </w:r>
    </w:p>
    <w:p w14:paraId="039978A5" w14:textId="77777777" w:rsidR="00615E83"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Stout CJ held:</w:t>
      </w:r>
    </w:p>
    <w:p w14:paraId="4DE19FC5" w14:textId="00D196F9" w:rsidR="00B130AD" w:rsidRPr="00615E83" w:rsidRDefault="00B130AD" w:rsidP="00615E83">
      <w:pPr>
        <w:spacing w:before="100" w:beforeAutospacing="1" w:after="100" w:afterAutospacing="1" w:line="360" w:lineRule="auto"/>
        <w:rPr>
          <w:rFonts w:ascii="Times New Roman" w:hAnsi="Times New Roman"/>
          <w:color w:val="FF0000"/>
          <w:lang w:val="en-HK"/>
        </w:rPr>
      </w:pPr>
      <w:r w:rsidRPr="007D6366">
        <w:rPr>
          <w:rFonts w:ascii="Times New Roman" w:hAnsi="Times New Roman"/>
          <w:lang w:val="en-HK"/>
        </w:rPr>
        <w:t xml:space="preserve">“The seller did not ‘continue in possession’ after the first sale because </w:t>
      </w:r>
      <w:r w:rsidRPr="00615E83">
        <w:rPr>
          <w:rFonts w:ascii="Times New Roman" w:hAnsi="Times New Roman"/>
          <w:color w:val="FF0000"/>
          <w:lang w:val="en-HK"/>
        </w:rPr>
        <w:t>possession passed through delivery.”</w:t>
      </w:r>
    </w:p>
    <w:p w14:paraId="63BB2D6B"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Principle</w:t>
      </w:r>
      <w:r w:rsidRPr="007D6366">
        <w:rPr>
          <w:rFonts w:ascii="Times New Roman" w:hAnsi="Times New Roman"/>
          <w:lang w:val="en-HK"/>
        </w:rPr>
        <w:t>: Constructive delivery terminates the seller’s possession.</w:t>
      </w:r>
    </w:p>
    <w:p w14:paraId="1ECA4E72" w14:textId="77777777" w:rsidR="00B130AD" w:rsidRPr="007D6366" w:rsidRDefault="00B130AD" w:rsidP="007D6366">
      <w:pPr>
        <w:numPr>
          <w:ilvl w:val="0"/>
          <w:numId w:val="19"/>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Staffs Motor Guarantee Ltd v. British Wagon Co Ltd [1934] 2 K.B. 305</w:t>
      </w:r>
      <w:r w:rsidRPr="007D6366">
        <w:rPr>
          <w:rFonts w:ascii="Times New Roman" w:hAnsi="Times New Roman"/>
          <w:lang w:val="en-HK"/>
        </w:rPr>
        <w:t>:</w:t>
      </w:r>
    </w:p>
    <w:p w14:paraId="5230267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Facts</w:t>
      </w:r>
      <w:r w:rsidRPr="007D6366">
        <w:rPr>
          <w:rFonts w:ascii="Times New Roman" w:hAnsi="Times New Roman"/>
          <w:lang w:val="en-HK"/>
        </w:rPr>
        <w:t>:</w:t>
      </w:r>
    </w:p>
    <w:p w14:paraId="1C403571"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lastRenderedPageBreak/>
        <w:t>A lorry was sold and constructively delivered to a buyer who leased it back to the seller. The seller then resold the lorry.</w:t>
      </w:r>
    </w:p>
    <w:p w14:paraId="664EE8D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Judgment</w:t>
      </w:r>
      <w:r w:rsidRPr="007D6366">
        <w:rPr>
          <w:rFonts w:ascii="Times New Roman" w:hAnsi="Times New Roman"/>
          <w:lang w:val="en-HK"/>
        </w:rPr>
        <w:t>:</w:t>
      </w:r>
    </w:p>
    <w:p w14:paraId="0A6EE047" w14:textId="77777777" w:rsidR="00615E83"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Mackinnon J:</w:t>
      </w:r>
    </w:p>
    <w:p w14:paraId="62003B1B" w14:textId="307EC596"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delivery ended the seller’s possession, invalidating the second sale under Section 24.”</w:t>
      </w:r>
    </w:p>
    <w:p w14:paraId="3DE863A2" w14:textId="77777777" w:rsidR="00B130AD" w:rsidRPr="007D6366" w:rsidRDefault="00B130AD" w:rsidP="007D6366">
      <w:pPr>
        <w:numPr>
          <w:ilvl w:val="0"/>
          <w:numId w:val="19"/>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Pacific Motor Auctions Pty Ltd v. Motor Credits (1965)</w:t>
      </w:r>
      <w:r w:rsidRPr="007D6366">
        <w:rPr>
          <w:rFonts w:ascii="Times New Roman" w:hAnsi="Times New Roman"/>
          <w:lang w:val="en-HK"/>
        </w:rPr>
        <w:t>:</w:t>
      </w:r>
    </w:p>
    <w:p w14:paraId="17431C1D"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Facts</w:t>
      </w:r>
      <w:r w:rsidRPr="007D6366">
        <w:rPr>
          <w:rFonts w:ascii="Times New Roman" w:hAnsi="Times New Roman"/>
          <w:lang w:val="en-HK"/>
        </w:rPr>
        <w:t>:</w:t>
      </w:r>
    </w:p>
    <w:p w14:paraId="049A4B59"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Cars were sold under a display agreement, but the seller retained physical possession.</w:t>
      </w:r>
    </w:p>
    <w:p w14:paraId="2E493B66"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Judgment</w:t>
      </w:r>
      <w:r w:rsidRPr="007D6366">
        <w:rPr>
          <w:rFonts w:ascii="Times New Roman" w:hAnsi="Times New Roman"/>
          <w:lang w:val="en-HK"/>
        </w:rPr>
        <w:t>:</w:t>
      </w:r>
    </w:p>
    <w:p w14:paraId="4A78760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Privy Council ruled:</w:t>
      </w:r>
    </w:p>
    <w:p w14:paraId="0A547FFA" w14:textId="77777777" w:rsidR="00B130AD" w:rsidRPr="00615E83" w:rsidRDefault="00B130AD" w:rsidP="00615E83">
      <w:pPr>
        <w:spacing w:beforeAutospacing="1" w:afterAutospacing="1" w:line="360" w:lineRule="auto"/>
        <w:rPr>
          <w:rFonts w:ascii="Times New Roman" w:hAnsi="Times New Roman"/>
          <w:lang w:val="en-HK"/>
        </w:rPr>
      </w:pPr>
      <w:r w:rsidRPr="00615E83">
        <w:rPr>
          <w:rFonts w:ascii="Times New Roman" w:hAnsi="Times New Roman"/>
          <w:lang w:val="en-HK"/>
        </w:rPr>
        <w:t>“Physical possession suffices under Section 24, irrespective of constructive delivery.”</w:t>
      </w:r>
    </w:p>
    <w:p w14:paraId="66BE4B59"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Criticism</w:t>
      </w:r>
      <w:r w:rsidRPr="007D6366">
        <w:rPr>
          <w:rFonts w:ascii="Times New Roman" w:hAnsi="Times New Roman"/>
          <w:lang w:val="en-HK"/>
        </w:rPr>
        <w:t>:</w:t>
      </w:r>
    </w:p>
    <w:p w14:paraId="2D5D71A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w:t>
      </w:r>
    </w:p>
    <w:p w14:paraId="74DD9863" w14:textId="77777777" w:rsidR="00B130AD" w:rsidRPr="00615E83" w:rsidRDefault="00B130AD" w:rsidP="00615E83">
      <w:pPr>
        <w:spacing w:beforeAutospacing="1" w:afterAutospacing="1" w:line="360" w:lineRule="auto"/>
        <w:rPr>
          <w:rFonts w:ascii="Times New Roman" w:hAnsi="Times New Roman"/>
          <w:lang w:val="en-HK"/>
        </w:rPr>
      </w:pPr>
      <w:r w:rsidRPr="00615E83">
        <w:rPr>
          <w:rFonts w:ascii="Times New Roman" w:hAnsi="Times New Roman"/>
          <w:lang w:val="en-HK"/>
        </w:rPr>
        <w:t xml:space="preserve">“This undermines consistency by </w:t>
      </w:r>
      <w:r w:rsidRPr="00615E83">
        <w:rPr>
          <w:rFonts w:ascii="Times New Roman" w:hAnsi="Times New Roman"/>
          <w:b/>
          <w:bCs/>
          <w:lang w:val="en-HK"/>
        </w:rPr>
        <w:t>ignoring the effect of constructive delivery</w:t>
      </w:r>
      <w:r w:rsidRPr="00615E83">
        <w:rPr>
          <w:rFonts w:ascii="Times New Roman" w:hAnsi="Times New Roman"/>
          <w:lang w:val="en-HK"/>
        </w:rPr>
        <w:t>.”</w:t>
      </w:r>
    </w:p>
    <w:p w14:paraId="742BF8CF"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58EF45DC">
          <v:rect id="_x0000_i1035" alt="" style="width:451.3pt;height:.05pt;mso-width-percent:0;mso-height-percent:0;mso-width-percent:0;mso-height-percent:0" o:hralign="center" o:hrstd="t" o:hr="t" fillcolor="#a0a0a0" stroked="f"/>
        </w:pict>
      </w:r>
    </w:p>
    <w:p w14:paraId="55F51E26"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C. When Is a Seller “In Possession of Goods”?</w:t>
      </w:r>
    </w:p>
    <w:p w14:paraId="379288DF"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Mitchell v. Jones (1905)</w:t>
      </w:r>
    </w:p>
    <w:p w14:paraId="0B99B087"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Principle</w:t>
      </w:r>
      <w:r w:rsidRPr="007D6366">
        <w:rPr>
          <w:rFonts w:ascii="Times New Roman" w:hAnsi="Times New Roman"/>
          <w:lang w:val="en-HK"/>
        </w:rPr>
        <w:t>:</w:t>
      </w:r>
    </w:p>
    <w:p w14:paraId="2215D28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Possession must be in the capacity of a seller, not as a bailee or lessee.</w:t>
      </w:r>
    </w:p>
    <w:p w14:paraId="3A3A7AAE"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Stout CJ:</w:t>
      </w:r>
    </w:p>
    <w:p w14:paraId="708145CA" w14:textId="77777777" w:rsidR="00B130AD" w:rsidRPr="007D6366" w:rsidRDefault="00B130AD" w:rsidP="00615E83">
      <w:pPr>
        <w:spacing w:beforeAutospacing="1" w:afterAutospacing="1" w:line="360" w:lineRule="auto"/>
        <w:rPr>
          <w:rFonts w:ascii="Times New Roman" w:hAnsi="Times New Roman"/>
          <w:lang w:val="en-HK"/>
        </w:rPr>
      </w:pPr>
      <w:r w:rsidRPr="007D6366">
        <w:rPr>
          <w:rFonts w:ascii="Times New Roman" w:hAnsi="Times New Roman"/>
          <w:lang w:val="en-HK"/>
        </w:rPr>
        <w:lastRenderedPageBreak/>
        <w:t>“If possession is regained, it must be as seller, not as bailee.”</w:t>
      </w:r>
    </w:p>
    <w:p w14:paraId="2A5F5BC2"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Michael Gerson (Leasing) Ltd v. Wilkinson [2001]</w:t>
      </w:r>
    </w:p>
    <w:p w14:paraId="274FE13E"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possession suffices when possession relates to the sale agreement.</w:t>
      </w:r>
    </w:p>
    <w:p w14:paraId="3E80D11A"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Broader Interpretation</w:t>
      </w:r>
    </w:p>
    <w:p w14:paraId="6EE2BA8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argues that possession should be:</w:t>
      </w:r>
    </w:p>
    <w:p w14:paraId="0B1A659F" w14:textId="77777777" w:rsidR="00B130AD" w:rsidRPr="007D6366" w:rsidRDefault="00B130AD" w:rsidP="007D6366">
      <w:pPr>
        <w:numPr>
          <w:ilvl w:val="1"/>
          <w:numId w:val="22"/>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Broadly interpreted to include any connection with the sale.</w:t>
      </w:r>
    </w:p>
    <w:p w14:paraId="0EB94E6B" w14:textId="77777777" w:rsidR="00B130AD" w:rsidRPr="007D6366" w:rsidRDefault="00B130AD" w:rsidP="007D6366">
      <w:pPr>
        <w:numPr>
          <w:ilvl w:val="1"/>
          <w:numId w:val="22"/>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Exclude incidental possession, such as servicing or repair.</w:t>
      </w:r>
    </w:p>
    <w:p w14:paraId="7602278C"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6E57F1BA">
          <v:rect id="_x0000_i1034" alt="" style="width:451.3pt;height:.05pt;mso-width-percent:0;mso-height-percent:0;mso-width-percent:0;mso-height-percent:0" o:hralign="center" o:hrstd="t" o:hr="t" fillcolor="#a0a0a0" stroked="f"/>
        </w:pict>
      </w:r>
    </w:p>
    <w:p w14:paraId="4BB42D67"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D. Consistency with Other Exceptions</w:t>
      </w:r>
    </w:p>
    <w:p w14:paraId="5A3EB8E2"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Mercantile Agents Under Section 2(1) FA 1889</w:t>
      </w:r>
    </w:p>
    <w:p w14:paraId="3347A89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Goods must be entrusted to the mercantile agent </w:t>
      </w:r>
      <w:r w:rsidRPr="007D6366">
        <w:rPr>
          <w:rFonts w:ascii="Times New Roman" w:hAnsi="Times New Roman"/>
          <w:b/>
          <w:bCs/>
          <w:lang w:val="en-HK"/>
        </w:rPr>
        <w:t>in that capacity</w:t>
      </w:r>
      <w:r w:rsidRPr="007D6366">
        <w:rPr>
          <w:rFonts w:ascii="Times New Roman" w:hAnsi="Times New Roman"/>
          <w:lang w:val="en-HK"/>
        </w:rPr>
        <w:t>.</w:t>
      </w:r>
    </w:p>
    <w:p w14:paraId="5F1B97AC"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Pearson v. Rose &amp; Young, Ltd. [1951]</w:t>
      </w:r>
      <w:r w:rsidRPr="007D6366">
        <w:rPr>
          <w:rFonts w:ascii="Times New Roman" w:hAnsi="Times New Roman"/>
          <w:lang w:val="en-HK"/>
        </w:rPr>
        <w:t>:</w:t>
      </w:r>
    </w:p>
    <w:p w14:paraId="40969420"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Denning LJ:</w:t>
      </w:r>
    </w:p>
    <w:p w14:paraId="6BBD6604" w14:textId="77777777" w:rsidR="00B130AD" w:rsidRPr="007D6366" w:rsidRDefault="00B130AD" w:rsidP="00615E83">
      <w:pPr>
        <w:spacing w:beforeAutospacing="1" w:afterAutospacing="1" w:line="360" w:lineRule="auto"/>
        <w:rPr>
          <w:rFonts w:ascii="Times New Roman" w:hAnsi="Times New Roman"/>
          <w:lang w:val="en-HK"/>
        </w:rPr>
      </w:pPr>
      <w:r w:rsidRPr="007D6366">
        <w:rPr>
          <w:rFonts w:ascii="Times New Roman" w:hAnsi="Times New Roman"/>
          <w:lang w:val="en-HK"/>
        </w:rPr>
        <w:t>“Goods entrusted for any purpose related to the agent’s business suffice (e.g., for display or solicitation of offers).”</w:t>
      </w:r>
    </w:p>
    <w:p w14:paraId="5BFF91DA"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Parallels to Section 24 SGA 1979</w:t>
      </w:r>
    </w:p>
    <w:p w14:paraId="768B2F5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w:t>
      </w:r>
    </w:p>
    <w:p w14:paraId="54A3D999" w14:textId="77777777" w:rsidR="00B130AD" w:rsidRPr="007D6366" w:rsidRDefault="00B130AD" w:rsidP="00615E83">
      <w:pPr>
        <w:spacing w:beforeAutospacing="1" w:afterAutospacing="1" w:line="360" w:lineRule="auto"/>
        <w:rPr>
          <w:rFonts w:ascii="Times New Roman" w:hAnsi="Times New Roman"/>
          <w:lang w:val="en-HK"/>
        </w:rPr>
      </w:pPr>
      <w:r w:rsidRPr="007D6366">
        <w:rPr>
          <w:rFonts w:ascii="Times New Roman" w:hAnsi="Times New Roman"/>
          <w:lang w:val="en-HK"/>
        </w:rPr>
        <w:t>“Possession under Section 24 must relate to the sale, mirroring the requirements for mercantile agents under Section 2(1).”</w:t>
      </w:r>
    </w:p>
    <w:p w14:paraId="2CDF96E1"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3EE152B3">
          <v:rect id="_x0000_i1033" alt="" style="width:451.3pt;height:.05pt;mso-width-percent:0;mso-height-percent:0;mso-width-percent:0;mso-height-percent:0" o:hralign="center" o:hrstd="t" o:hr="t" fillcolor="#a0a0a0" stroked="f"/>
        </w:pict>
      </w:r>
    </w:p>
    <w:p w14:paraId="18ABF67B"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E. Practical Difficulties</w:t>
      </w:r>
    </w:p>
    <w:p w14:paraId="181B7DC4"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lastRenderedPageBreak/>
        <w:t>1. Continuous Physical Possession</w:t>
      </w:r>
    </w:p>
    <w:p w14:paraId="71B47AB4"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Issues arise when physical possession is disrupted symbolically or temporarily.</w:t>
      </w:r>
    </w:p>
    <w:p w14:paraId="33D43591"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Example:</w:t>
      </w:r>
    </w:p>
    <w:p w14:paraId="6F17BDFC"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A finance company temporarily drives cars during a stocking plan (discussed in </w:t>
      </w:r>
      <w:r w:rsidRPr="007D6366">
        <w:rPr>
          <w:rFonts w:ascii="Times New Roman" w:hAnsi="Times New Roman"/>
          <w:b/>
          <w:bCs/>
          <w:lang w:val="en-HK"/>
        </w:rPr>
        <w:t>Pacific Motor</w:t>
      </w:r>
      <w:r w:rsidRPr="007D6366">
        <w:rPr>
          <w:rFonts w:ascii="Times New Roman" w:hAnsi="Times New Roman"/>
          <w:lang w:val="en-HK"/>
        </w:rPr>
        <w:t>).</w:t>
      </w:r>
    </w:p>
    <w:p w14:paraId="7CE0633B"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2. Constructive Possession</w:t>
      </w:r>
    </w:p>
    <w:p w14:paraId="474BC3D9"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Applying Section 24 to cases involving constructive possession is complex.</w:t>
      </w:r>
    </w:p>
    <w:p w14:paraId="40A52796"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w:t>
      </w:r>
    </w:p>
    <w:p w14:paraId="1AEC7179" w14:textId="77777777" w:rsidR="00B130AD" w:rsidRPr="00615E83" w:rsidRDefault="00B130AD" w:rsidP="00615E83">
      <w:pPr>
        <w:spacing w:beforeAutospacing="1" w:afterAutospacing="1" w:line="360" w:lineRule="auto"/>
        <w:rPr>
          <w:rFonts w:ascii="Times New Roman" w:hAnsi="Times New Roman"/>
          <w:b/>
          <w:bCs/>
          <w:lang w:val="en-HK"/>
        </w:rPr>
      </w:pPr>
      <w:r w:rsidRPr="007D6366">
        <w:rPr>
          <w:rFonts w:ascii="Times New Roman" w:hAnsi="Times New Roman"/>
          <w:lang w:val="en-HK"/>
        </w:rPr>
        <w:t xml:space="preserve">“Section 24 must consider constructive possession </w:t>
      </w:r>
      <w:r w:rsidRPr="00615E83">
        <w:rPr>
          <w:rFonts w:ascii="Times New Roman" w:hAnsi="Times New Roman"/>
          <w:b/>
          <w:bCs/>
          <w:lang w:val="en-HK"/>
        </w:rPr>
        <w:t>to avoid unfairly prioritizing physical possession.”</w:t>
      </w:r>
    </w:p>
    <w:p w14:paraId="7BC9E979"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652E66AE">
          <v:rect id="_x0000_i1032" alt="" style="width:451.3pt;height:.05pt;mso-width-percent:0;mso-height-percent:0;mso-width-percent:0;mso-height-percent:0" o:hralign="center" o:hrstd="t" o:hr="t" fillcolor="#a0a0a0" stroked="f"/>
        </w:pict>
      </w:r>
    </w:p>
    <w:p w14:paraId="0C0EC1D8"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F. Consistency in the Meaning of “Possession” and “Delivery”</w:t>
      </w:r>
    </w:p>
    <w:p w14:paraId="2D2F2AC0"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 xml:space="preserve">City Fur Manufacturing Co. v. </w:t>
      </w:r>
      <w:proofErr w:type="spellStart"/>
      <w:r w:rsidRPr="007D6366">
        <w:rPr>
          <w:rFonts w:ascii="Times New Roman" w:hAnsi="Times New Roman"/>
          <w:b/>
          <w:bCs/>
          <w:lang w:val="en-HK"/>
        </w:rPr>
        <w:t>Fureenbond</w:t>
      </w:r>
      <w:proofErr w:type="spellEnd"/>
      <w:r w:rsidRPr="007D6366">
        <w:rPr>
          <w:rFonts w:ascii="Times New Roman" w:hAnsi="Times New Roman"/>
          <w:b/>
          <w:bCs/>
          <w:lang w:val="en-HK"/>
        </w:rPr>
        <w:t xml:space="preserve"> (1937)</w:t>
      </w:r>
    </w:p>
    <w:p w14:paraId="0587D2D5"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possession suffices under Section 24.</w:t>
      </w:r>
    </w:p>
    <w:p w14:paraId="3AFCDA8A" w14:textId="77777777" w:rsidR="00615E83"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w:t>
      </w:r>
    </w:p>
    <w:p w14:paraId="658AAAF8" w14:textId="41D59D35"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“Delivery and possession should be interpreted consistently across statutes.”</w:t>
      </w:r>
    </w:p>
    <w:p w14:paraId="13CDE39B"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Forsythe International (UK) Ltd v. Silver Shipping Co. Ltd [1994]</w:t>
      </w:r>
    </w:p>
    <w:p w14:paraId="5CA18048"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delivery satisfies Section 24 requirements.</w:t>
      </w:r>
    </w:p>
    <w:p w14:paraId="3AC3353B"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40261041">
          <v:rect id="_x0000_i1031" alt="" style="width:451.3pt;height:.05pt;mso-width-percent:0;mso-height-percent:0;mso-width-percent:0;mso-height-percent:0" o:hralign="center" o:hrstd="t" o:hr="t" fillcolor="#a0a0a0" stroked="f"/>
        </w:pict>
      </w:r>
    </w:p>
    <w:p w14:paraId="6DDDE190" w14:textId="77777777" w:rsidR="00B130AD" w:rsidRPr="007D6366" w:rsidRDefault="00B130AD"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G. Application to Double Sale and Leaseback Agreements</w:t>
      </w:r>
    </w:p>
    <w:p w14:paraId="742335F0"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Michael Gerson (Leasing) Ltd v. Wilkinson [2001]</w:t>
      </w:r>
    </w:p>
    <w:p w14:paraId="05D9364C"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lastRenderedPageBreak/>
        <w:t>Facts</w:t>
      </w:r>
      <w:r w:rsidRPr="007D6366">
        <w:rPr>
          <w:rFonts w:ascii="Times New Roman" w:hAnsi="Times New Roman"/>
          <w:lang w:val="en-HK"/>
        </w:rPr>
        <w:t>:</w:t>
      </w:r>
    </w:p>
    <w:p w14:paraId="7904A9B1"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seller conducted a double sale and leaseback, retaining physical possession at all times.</w:t>
      </w:r>
    </w:p>
    <w:p w14:paraId="42EEF252"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Judgment</w:t>
      </w:r>
      <w:r w:rsidRPr="007D6366">
        <w:rPr>
          <w:rFonts w:ascii="Times New Roman" w:hAnsi="Times New Roman"/>
          <w:lang w:val="en-HK"/>
        </w:rPr>
        <w:t>:</w:t>
      </w:r>
    </w:p>
    <w:p w14:paraId="63D319C4"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second buyer acquired title under Section 24.</w:t>
      </w:r>
    </w:p>
    <w:p w14:paraId="34905636"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Constructive delivery was deemed sufficient.</w:t>
      </w:r>
    </w:p>
    <w:p w14:paraId="20481F93" w14:textId="77777777" w:rsidR="00B130AD" w:rsidRPr="007D6366" w:rsidRDefault="00B130AD"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Criticism</w:t>
      </w:r>
    </w:p>
    <w:p w14:paraId="09F00899"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w:t>
      </w:r>
    </w:p>
    <w:p w14:paraId="58867FEA" w14:textId="77777777" w:rsidR="00B130AD" w:rsidRPr="007D6366" w:rsidRDefault="00B130AD" w:rsidP="00615E83">
      <w:pPr>
        <w:spacing w:beforeAutospacing="1" w:afterAutospacing="1" w:line="360" w:lineRule="auto"/>
        <w:rPr>
          <w:rFonts w:ascii="Times New Roman" w:hAnsi="Times New Roman"/>
          <w:lang w:val="en-HK"/>
        </w:rPr>
      </w:pPr>
      <w:r w:rsidRPr="007D6366">
        <w:rPr>
          <w:rFonts w:ascii="Times New Roman" w:hAnsi="Times New Roman"/>
          <w:lang w:val="en-HK"/>
        </w:rPr>
        <w:t>“The seller’s possession should have been deemed attributable to the lease, not the sale.”</w:t>
      </w:r>
    </w:p>
    <w:p w14:paraId="3AE625E6" w14:textId="77777777" w:rsidR="00B130AD"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0F4A6ECC">
          <v:rect id="_x0000_i1030" alt="" style="width:451.3pt;height:.05pt;mso-width-percent:0;mso-height-percent:0;mso-width-percent:0;mso-height-percent:0" o:hralign="center" o:hrstd="t" o:hr="t" fillcolor="#a0a0a0" stroked="f"/>
        </w:pict>
      </w:r>
    </w:p>
    <w:p w14:paraId="44E06828" w14:textId="77777777" w:rsidR="00B130AD" w:rsidRPr="007D6366" w:rsidRDefault="00B130AD" w:rsidP="007D6366">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calls for:</w:t>
      </w:r>
    </w:p>
    <w:p w14:paraId="700899ED" w14:textId="77777777" w:rsidR="00B130AD" w:rsidRPr="007D6366" w:rsidRDefault="00B130AD" w:rsidP="007D6366">
      <w:pPr>
        <w:numPr>
          <w:ilvl w:val="0"/>
          <w:numId w:val="31"/>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Recognition of Constructive Delivery</w:t>
      </w:r>
      <w:r w:rsidRPr="007D6366">
        <w:rPr>
          <w:rFonts w:ascii="Times New Roman" w:hAnsi="Times New Roman"/>
          <w:lang w:val="en-HK"/>
        </w:rPr>
        <w:t>:</w:t>
      </w:r>
    </w:p>
    <w:p w14:paraId="1505F94F"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It should terminate possession under Section 24, aligning with principles in lien cases.</w:t>
      </w:r>
    </w:p>
    <w:p w14:paraId="213A07DE" w14:textId="77777777" w:rsidR="00B130AD" w:rsidRPr="007D6366" w:rsidRDefault="00B130AD" w:rsidP="007D6366">
      <w:pPr>
        <w:numPr>
          <w:ilvl w:val="0"/>
          <w:numId w:val="31"/>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Revisiting Physical Possession</w:t>
      </w:r>
      <w:r w:rsidRPr="007D6366">
        <w:rPr>
          <w:rFonts w:ascii="Times New Roman" w:hAnsi="Times New Roman"/>
          <w:lang w:val="en-HK"/>
        </w:rPr>
        <w:t>:</w:t>
      </w:r>
    </w:p>
    <w:p w14:paraId="4A4CA404"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Courts must prioritize the relationship between possession and the sale agreement over mere physical control.</w:t>
      </w:r>
    </w:p>
    <w:p w14:paraId="793D1B85" w14:textId="77777777" w:rsidR="00B130AD" w:rsidRPr="007D6366" w:rsidRDefault="00B130AD" w:rsidP="007D6366">
      <w:pPr>
        <w:numPr>
          <w:ilvl w:val="0"/>
          <w:numId w:val="31"/>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Uniform Interpretation</w:t>
      </w:r>
      <w:r w:rsidRPr="007D6366">
        <w:rPr>
          <w:rFonts w:ascii="Times New Roman" w:hAnsi="Times New Roman"/>
          <w:lang w:val="en-HK"/>
        </w:rPr>
        <w:t>:</w:t>
      </w:r>
    </w:p>
    <w:p w14:paraId="3855B700" w14:textId="77777777" w:rsidR="00B130AD" w:rsidRPr="007D6366" w:rsidRDefault="00B130AD"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Terms like “delivery” and “possession” must be consistently applied across the SGA and FA.</w:t>
      </w:r>
    </w:p>
    <w:p w14:paraId="7BF2F24B" w14:textId="661393A7" w:rsidR="00B130AD" w:rsidRPr="007D6366" w:rsidRDefault="00E45A02" w:rsidP="007D6366">
      <w:pPr>
        <w:spacing w:before="100" w:beforeAutospacing="1" w:after="100" w:afterAutospacing="1" w:line="360" w:lineRule="auto"/>
        <w:rPr>
          <w:rFonts w:ascii="Times New Roman" w:hAnsi="Times New Roman"/>
          <w:lang w:val="en-HK"/>
        </w:rPr>
      </w:pPr>
      <w:r w:rsidRPr="00E45A02">
        <w:rPr>
          <w:rFonts w:ascii="Times New Roman" w:hAnsi="Times New Roman"/>
          <w:noProof/>
          <w:lang w:val="en-HK"/>
          <w14:ligatures w14:val="standardContextual"/>
        </w:rPr>
        <w:pict w14:anchorId="18145F0A">
          <v:rect id="_x0000_i1029" alt="" style="width:451.3pt;height:.05pt;mso-width-percent:0;mso-height-percent:0;mso-width-percent:0;mso-height-percent:0" o:hralign="center" o:hrstd="t" o:hr="t" fillcolor="#a0a0a0" stroked="f"/>
        </w:pict>
      </w:r>
    </w:p>
    <w:p w14:paraId="5E3AEF4A" w14:textId="77777777" w:rsidR="0041711A" w:rsidRPr="007D6366" w:rsidRDefault="0041711A"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IV. The Buyer in Possession of Goods</w:t>
      </w:r>
    </w:p>
    <w:p w14:paraId="15FAE598"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Statutory Basis</w:t>
      </w:r>
    </w:p>
    <w:p w14:paraId="5546A76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Section 25(1) of the Sale of Goods Act 1979</w:t>
      </w:r>
      <w:r w:rsidRPr="007D6366">
        <w:rPr>
          <w:rFonts w:ascii="Times New Roman" w:hAnsi="Times New Roman"/>
          <w:lang w:val="en-HK"/>
        </w:rPr>
        <w:t>:</w:t>
      </w:r>
    </w:p>
    <w:p w14:paraId="1291C4B6"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lastRenderedPageBreak/>
        <w:t xml:space="preserve">Protects innocent third-party purchasers when a </w:t>
      </w:r>
      <w:r w:rsidRPr="007D6366">
        <w:rPr>
          <w:rFonts w:ascii="Times New Roman" w:hAnsi="Times New Roman"/>
          <w:b/>
          <w:bCs/>
          <w:lang w:val="en-HK"/>
        </w:rPr>
        <w:t>buyer in possession</w:t>
      </w:r>
      <w:r w:rsidRPr="007D6366">
        <w:rPr>
          <w:rFonts w:ascii="Times New Roman" w:hAnsi="Times New Roman"/>
          <w:lang w:val="en-HK"/>
        </w:rPr>
        <w:t xml:space="preserve"> of goods sells them prematurely.</w:t>
      </w:r>
    </w:p>
    <w:p w14:paraId="7D3431D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Provision:</w:t>
      </w:r>
    </w:p>
    <w:p w14:paraId="5669CA85"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t>“Where a person having bought or agreed to buy goods obtains, with the consent of the seller, possession of the goods or the documents of title to the goods, the delivery or transfer by that person… to any person receiving the same in good faith and without notice of any lien or other right of the original seller in respect of the goods, has the same effect as if the person making the delivery or transfer were a mercantile agent in possession of the goods… with the consent of the owner.”</w:t>
      </w:r>
    </w:p>
    <w:p w14:paraId="338B2510"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Application</w:t>
      </w:r>
    </w:p>
    <w:p w14:paraId="7C199AFE"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This section typically applies when a buyer has possession of goods but has not yet obtained title because:</w:t>
      </w:r>
    </w:p>
    <w:p w14:paraId="7D5C0DB6" w14:textId="77777777" w:rsidR="0041711A" w:rsidRPr="007D6366" w:rsidRDefault="0041711A" w:rsidP="007D6366">
      <w:pPr>
        <w:numPr>
          <w:ilvl w:val="1"/>
          <w:numId w:val="9"/>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Payment is incomplete.</w:t>
      </w:r>
    </w:p>
    <w:p w14:paraId="4F8700AB" w14:textId="77777777" w:rsidR="0041711A" w:rsidRPr="007D6366" w:rsidRDefault="0041711A" w:rsidP="007D6366">
      <w:pPr>
        <w:numPr>
          <w:ilvl w:val="1"/>
          <w:numId w:val="9"/>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seller retains ownership until conditions are met.</w:t>
      </w:r>
    </w:p>
    <w:p w14:paraId="09317C36"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Case Law and Analysis</w:t>
      </w:r>
    </w:p>
    <w:p w14:paraId="4A76E029" w14:textId="77777777" w:rsidR="0041711A" w:rsidRPr="007D6366" w:rsidRDefault="0041711A" w:rsidP="007D6366">
      <w:pPr>
        <w:numPr>
          <w:ilvl w:val="0"/>
          <w:numId w:val="10"/>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Langmead v. Thyer Rubber Co. Ltd [1947] S.A.S.R. 29</w:t>
      </w:r>
      <w:r w:rsidRPr="007D6366">
        <w:rPr>
          <w:rFonts w:ascii="Times New Roman" w:hAnsi="Times New Roman"/>
          <w:lang w:val="en-HK"/>
        </w:rPr>
        <w:t>:</w:t>
      </w:r>
    </w:p>
    <w:p w14:paraId="4D8255BE"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Facts</w:t>
      </w:r>
      <w:r w:rsidRPr="007D6366">
        <w:rPr>
          <w:rFonts w:ascii="Times New Roman" w:hAnsi="Times New Roman"/>
          <w:lang w:val="en-HK"/>
        </w:rPr>
        <w:t>: The buyer obtained possession of a car before purchase for painting purposes.</w:t>
      </w:r>
    </w:p>
    <w:p w14:paraId="1C20337E"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Judgment</w:t>
      </w:r>
      <w:r w:rsidRPr="007D6366">
        <w:rPr>
          <w:rFonts w:ascii="Times New Roman" w:hAnsi="Times New Roman"/>
          <w:lang w:val="en-HK"/>
        </w:rPr>
        <w:t>:</w:t>
      </w:r>
    </w:p>
    <w:p w14:paraId="1A64179B"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South Australian Supreme Court held that possession was </w:t>
      </w:r>
      <w:r w:rsidRPr="007D6366">
        <w:rPr>
          <w:rFonts w:ascii="Times New Roman" w:hAnsi="Times New Roman"/>
          <w:b/>
          <w:bCs/>
          <w:lang w:val="en-HK"/>
        </w:rPr>
        <w:t>causally connected</w:t>
      </w:r>
      <w:r w:rsidRPr="007D6366">
        <w:rPr>
          <w:rFonts w:ascii="Times New Roman" w:hAnsi="Times New Roman"/>
          <w:lang w:val="en-HK"/>
        </w:rPr>
        <w:t xml:space="preserve"> to the sale.</w:t>
      </w:r>
    </w:p>
    <w:p w14:paraId="0CEA5CF2"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Napier CJ stated:</w:t>
      </w:r>
    </w:p>
    <w:p w14:paraId="15FC55E8"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t>“The subsection contemplates something resembling a causal connection between the agreement to buy and the obtaining of possession… possession obtained for a special and temporary purpose unrelated to the sale should not apply.”</w:t>
      </w:r>
    </w:p>
    <w:p w14:paraId="0C785C48"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Key Principle</w:t>
      </w:r>
      <w:r w:rsidRPr="007D6366">
        <w:rPr>
          <w:rFonts w:ascii="Times New Roman" w:hAnsi="Times New Roman"/>
          <w:lang w:val="en-HK"/>
        </w:rPr>
        <w:t xml:space="preserve">: Possession must </w:t>
      </w:r>
      <w:r w:rsidRPr="007D6366">
        <w:rPr>
          <w:rFonts w:ascii="Times New Roman" w:hAnsi="Times New Roman"/>
          <w:b/>
          <w:bCs/>
          <w:lang w:val="en-HK"/>
        </w:rPr>
        <w:t>relate to the sale</w:t>
      </w:r>
      <w:r w:rsidRPr="007D6366">
        <w:rPr>
          <w:rFonts w:ascii="Times New Roman" w:hAnsi="Times New Roman"/>
          <w:lang w:val="en-HK"/>
        </w:rPr>
        <w:t>.</w:t>
      </w:r>
    </w:p>
    <w:p w14:paraId="0078F613" w14:textId="77777777" w:rsidR="0041711A" w:rsidRPr="007D6366" w:rsidRDefault="0041711A" w:rsidP="007D6366">
      <w:pPr>
        <w:numPr>
          <w:ilvl w:val="0"/>
          <w:numId w:val="10"/>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lastRenderedPageBreak/>
        <w:t>Marten v. Whale [1917] 2 K.B. 480</w:t>
      </w:r>
      <w:r w:rsidRPr="007D6366">
        <w:rPr>
          <w:rFonts w:ascii="Times New Roman" w:hAnsi="Times New Roman"/>
          <w:lang w:val="en-HK"/>
        </w:rPr>
        <w:t>:</w:t>
      </w:r>
    </w:p>
    <w:p w14:paraId="3B84E80E"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Section 25 applied even though the buyer temporarily borrowed the goods before acquiring full ownership.</w:t>
      </w:r>
    </w:p>
    <w:p w14:paraId="74C740EB"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However, the issue of whether possession was causally connected to the sale was not directly addressed.</w:t>
      </w:r>
    </w:p>
    <w:p w14:paraId="1B1268E4" w14:textId="77777777" w:rsidR="0041711A" w:rsidRPr="007D6366" w:rsidRDefault="0041711A" w:rsidP="007D6366">
      <w:pPr>
        <w:numPr>
          <w:ilvl w:val="0"/>
          <w:numId w:val="10"/>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Newton of Wembley Ltd v. Williams [1965] 1 Q.B. 560</w:t>
      </w:r>
      <w:r w:rsidRPr="007D6366">
        <w:rPr>
          <w:rFonts w:ascii="Times New Roman" w:hAnsi="Times New Roman"/>
          <w:lang w:val="en-HK"/>
        </w:rPr>
        <w:t>:</w:t>
      </w:r>
    </w:p>
    <w:p w14:paraId="2C4EAD80"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A buyer who “bought” goods but failed to </w:t>
      </w:r>
      <w:proofErr w:type="spellStart"/>
      <w:r w:rsidRPr="007D6366">
        <w:rPr>
          <w:rFonts w:ascii="Times New Roman" w:hAnsi="Times New Roman"/>
          <w:lang w:val="en-HK"/>
        </w:rPr>
        <w:t>fulfill</w:t>
      </w:r>
      <w:proofErr w:type="spellEnd"/>
      <w:r w:rsidRPr="007D6366">
        <w:rPr>
          <w:rFonts w:ascii="Times New Roman" w:hAnsi="Times New Roman"/>
          <w:lang w:val="en-HK"/>
        </w:rPr>
        <w:t xml:space="preserve"> payment obligations sold them to a third party.</w:t>
      </w:r>
    </w:p>
    <w:p w14:paraId="6162C397"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court discussed the limits of Section 25 protections, emphasizing the requirement of </w:t>
      </w:r>
      <w:r w:rsidRPr="007D6366">
        <w:rPr>
          <w:rFonts w:ascii="Times New Roman" w:hAnsi="Times New Roman"/>
          <w:b/>
          <w:bCs/>
          <w:lang w:val="en-HK"/>
        </w:rPr>
        <w:t>good faith</w:t>
      </w:r>
      <w:r w:rsidRPr="007D6366">
        <w:rPr>
          <w:rFonts w:ascii="Times New Roman" w:hAnsi="Times New Roman"/>
          <w:lang w:val="en-HK"/>
        </w:rPr>
        <w:t xml:space="preserve"> and the </w:t>
      </w:r>
      <w:r w:rsidRPr="007D6366">
        <w:rPr>
          <w:rFonts w:ascii="Times New Roman" w:hAnsi="Times New Roman"/>
          <w:b/>
          <w:bCs/>
          <w:lang w:val="en-HK"/>
        </w:rPr>
        <w:t>absence of notice</w:t>
      </w:r>
      <w:r w:rsidRPr="007D6366">
        <w:rPr>
          <w:rFonts w:ascii="Times New Roman" w:hAnsi="Times New Roman"/>
          <w:lang w:val="en-HK"/>
        </w:rPr>
        <w:t>.</w:t>
      </w:r>
    </w:p>
    <w:p w14:paraId="24F66B9F" w14:textId="77777777" w:rsidR="0041711A"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4189CAEE">
          <v:rect id="_x0000_i1028" alt="" style="width:451.3pt;height:.05pt;mso-width-percent:0;mso-height-percent:0;mso-width-percent:0;mso-height-percent:0" o:hralign="center" o:hrstd="t" o:hr="t" fillcolor="#a0a0a0" stroked="f"/>
        </w:pict>
      </w:r>
    </w:p>
    <w:p w14:paraId="1C8B7E97"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Scholarly Observations</w:t>
      </w:r>
    </w:p>
    <w:p w14:paraId="2E8439CD"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Character of Possession</w:t>
      </w:r>
      <w:r w:rsidRPr="007D6366">
        <w:rPr>
          <w:rFonts w:ascii="Times New Roman" w:hAnsi="Times New Roman"/>
          <w:lang w:val="en-HK"/>
        </w:rPr>
        <w:t>:</w:t>
      </w:r>
    </w:p>
    <w:p w14:paraId="21AA4A3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critiques overly broad interpretations, noting:</w:t>
      </w:r>
    </w:p>
    <w:p w14:paraId="1CEEB4B1"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t>“It is unlikely that Section 25 applies to all instances where possession is held. Possession must be attributable to the sale itself.”</w:t>
      </w:r>
    </w:p>
    <w:p w14:paraId="0C96BC6D" w14:textId="515D975B" w:rsidR="0041711A" w:rsidRPr="007D6366" w:rsidRDefault="00615E83" w:rsidP="00615E83">
      <w:pPr>
        <w:spacing w:before="100" w:beforeAutospacing="1" w:after="100" w:afterAutospacing="1" w:line="360" w:lineRule="auto"/>
        <w:rPr>
          <w:rFonts w:ascii="Times New Roman" w:hAnsi="Times New Roman"/>
          <w:lang w:val="en-HK"/>
        </w:rPr>
      </w:pPr>
      <w:r>
        <w:rPr>
          <w:rFonts w:ascii="Times New Roman" w:hAnsi="Times New Roman"/>
          <w:lang w:val="en-HK"/>
        </w:rPr>
        <w:t>F</w:t>
      </w:r>
      <w:r w:rsidR="0041711A" w:rsidRPr="007D6366">
        <w:rPr>
          <w:rFonts w:ascii="Times New Roman" w:hAnsi="Times New Roman"/>
          <w:lang w:val="en-HK"/>
        </w:rPr>
        <w:t>or instance, possession for unrelated purposes (e.g., servicing a car) should not trigger Section 25.</w:t>
      </w:r>
    </w:p>
    <w:p w14:paraId="0DC75813"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Causal Connection</w:t>
      </w:r>
      <w:r w:rsidRPr="007D6366">
        <w:rPr>
          <w:rFonts w:ascii="Times New Roman" w:hAnsi="Times New Roman"/>
          <w:lang w:val="en-HK"/>
        </w:rPr>
        <w:t>:</w:t>
      </w:r>
    </w:p>
    <w:p w14:paraId="338A8667"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Merrett emphasizes that courts should ensure possession is not incidental or for a temporary purpose, aligning with Napier CJ’s reasoning in </w:t>
      </w:r>
      <w:r w:rsidRPr="007D6366">
        <w:rPr>
          <w:rFonts w:ascii="Times New Roman" w:hAnsi="Times New Roman"/>
          <w:b/>
          <w:bCs/>
          <w:lang w:val="en-HK"/>
        </w:rPr>
        <w:t>Langmead</w:t>
      </w:r>
      <w:r w:rsidRPr="007D6366">
        <w:rPr>
          <w:rFonts w:ascii="Times New Roman" w:hAnsi="Times New Roman"/>
          <w:lang w:val="en-HK"/>
        </w:rPr>
        <w:t>.</w:t>
      </w:r>
    </w:p>
    <w:p w14:paraId="4122B349" w14:textId="77777777" w:rsidR="0041711A" w:rsidRPr="007D6366" w:rsidRDefault="0041711A" w:rsidP="007D6366">
      <w:pPr>
        <w:spacing w:before="100" w:beforeAutospacing="1" w:after="100" w:afterAutospacing="1" w:line="360" w:lineRule="auto"/>
        <w:outlineLvl w:val="2"/>
        <w:rPr>
          <w:rFonts w:ascii="Times New Roman" w:hAnsi="Times New Roman"/>
          <w:b/>
          <w:bCs/>
          <w:lang w:val="en-HK"/>
        </w:rPr>
      </w:pPr>
      <w:r w:rsidRPr="007D6366">
        <w:rPr>
          <w:rFonts w:ascii="Times New Roman" w:hAnsi="Times New Roman"/>
          <w:b/>
          <w:bCs/>
          <w:lang w:val="en-HK"/>
        </w:rPr>
        <w:t>V. Conclusions</w:t>
      </w:r>
    </w:p>
    <w:p w14:paraId="6B44CDD6"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Summary of Issues</w:t>
      </w:r>
    </w:p>
    <w:p w14:paraId="49996E2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lastRenderedPageBreak/>
        <w:t xml:space="preserve">The nemo </w:t>
      </w:r>
      <w:proofErr w:type="spellStart"/>
      <w:r w:rsidRPr="007D6366">
        <w:rPr>
          <w:rFonts w:ascii="Times New Roman" w:hAnsi="Times New Roman"/>
          <w:lang w:val="en-HK"/>
        </w:rPr>
        <w:t>dat</w:t>
      </w:r>
      <w:proofErr w:type="spellEnd"/>
      <w:r w:rsidRPr="007D6366">
        <w:rPr>
          <w:rFonts w:ascii="Times New Roman" w:hAnsi="Times New Roman"/>
          <w:lang w:val="en-HK"/>
        </w:rPr>
        <w:t xml:space="preserve"> rule is central to English property law, ensuring owners retain title unless exceptions apply.</w:t>
      </w:r>
    </w:p>
    <w:p w14:paraId="1E246953"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Sections 24 and 25 of SGA 1979</w:t>
      </w:r>
      <w:r w:rsidRPr="007D6366">
        <w:rPr>
          <w:rFonts w:ascii="Times New Roman" w:hAnsi="Times New Roman"/>
          <w:lang w:val="en-HK"/>
        </w:rPr>
        <w:t>:</w:t>
      </w:r>
    </w:p>
    <w:p w14:paraId="75E958BC" w14:textId="77777777" w:rsidR="0041711A" w:rsidRPr="007D6366" w:rsidRDefault="0041711A" w:rsidP="00615E83">
      <w:pPr>
        <w:numPr>
          <w:ilvl w:val="1"/>
          <w:numId w:val="33"/>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Based on possession and delivery, these exceptions aim to balance commercial efficiency with owner protection.</w:t>
      </w:r>
    </w:p>
    <w:p w14:paraId="13FE1E5C" w14:textId="77777777" w:rsidR="0041711A" w:rsidRPr="007D6366" w:rsidRDefault="0041711A" w:rsidP="00615E83">
      <w:pPr>
        <w:numPr>
          <w:ilvl w:val="1"/>
          <w:numId w:val="33"/>
        </w:num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However, Merrett identifies inconsistencies in judicial reasoning, particularly regarding </w:t>
      </w:r>
      <w:r w:rsidRPr="007D6366">
        <w:rPr>
          <w:rFonts w:ascii="Times New Roman" w:hAnsi="Times New Roman"/>
          <w:b/>
          <w:bCs/>
          <w:lang w:val="en-HK"/>
        </w:rPr>
        <w:t>constructive delivery</w:t>
      </w:r>
      <w:r w:rsidRPr="007D6366">
        <w:rPr>
          <w:rFonts w:ascii="Times New Roman" w:hAnsi="Times New Roman"/>
          <w:lang w:val="en-HK"/>
        </w:rPr>
        <w:t xml:space="preserve"> and the </w:t>
      </w:r>
      <w:r w:rsidRPr="007D6366">
        <w:rPr>
          <w:rFonts w:ascii="Times New Roman" w:hAnsi="Times New Roman"/>
          <w:b/>
          <w:bCs/>
          <w:lang w:val="en-HK"/>
        </w:rPr>
        <w:t>character of possession</w:t>
      </w:r>
      <w:r w:rsidRPr="007D6366">
        <w:rPr>
          <w:rFonts w:ascii="Times New Roman" w:hAnsi="Times New Roman"/>
          <w:lang w:val="en-HK"/>
        </w:rPr>
        <w:t>.</w:t>
      </w:r>
    </w:p>
    <w:p w14:paraId="16DF5EDB" w14:textId="77777777" w:rsidR="0041711A"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7E3C716F">
          <v:rect id="_x0000_i1027" alt="" style="width:451.3pt;height:.05pt;mso-width-percent:0;mso-height-percent:0;mso-width-percent:0;mso-height-percent:0" o:hralign="center" o:hrstd="t" o:hr="t" fillcolor="#a0a0a0" stroked="f"/>
        </w:pict>
      </w:r>
    </w:p>
    <w:p w14:paraId="1246AA37"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Key Observations</w:t>
      </w:r>
    </w:p>
    <w:p w14:paraId="3BFCAB5D" w14:textId="77777777" w:rsidR="0041711A" w:rsidRPr="007D6366" w:rsidRDefault="0041711A" w:rsidP="007D6366">
      <w:pPr>
        <w:numPr>
          <w:ilvl w:val="0"/>
          <w:numId w:val="13"/>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Possession Attributable to Sale</w:t>
      </w:r>
      <w:r w:rsidRPr="007D6366">
        <w:rPr>
          <w:rFonts w:ascii="Times New Roman" w:hAnsi="Times New Roman"/>
          <w:lang w:val="en-HK"/>
        </w:rPr>
        <w:t>:</w:t>
      </w:r>
    </w:p>
    <w:p w14:paraId="6746EF24"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Consistently with </w:t>
      </w:r>
      <w:r w:rsidRPr="007D6366">
        <w:rPr>
          <w:rFonts w:ascii="Times New Roman" w:hAnsi="Times New Roman"/>
          <w:b/>
          <w:bCs/>
          <w:lang w:val="en-HK"/>
        </w:rPr>
        <w:t>Section 2(1) of the Factors Act 1889</w:t>
      </w:r>
      <w:r w:rsidRPr="007D6366">
        <w:rPr>
          <w:rFonts w:ascii="Times New Roman" w:hAnsi="Times New Roman"/>
          <w:lang w:val="en-HK"/>
        </w:rPr>
        <w:t>, Merrett argues:</w:t>
      </w:r>
    </w:p>
    <w:p w14:paraId="2751288C"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t xml:space="preserve">“Possession must relate to the sale to justify overriding the nemo </w:t>
      </w:r>
      <w:proofErr w:type="spellStart"/>
      <w:r w:rsidRPr="007D6366">
        <w:rPr>
          <w:rFonts w:ascii="Times New Roman" w:hAnsi="Times New Roman"/>
          <w:lang w:val="en-HK"/>
        </w:rPr>
        <w:t>dat</w:t>
      </w:r>
      <w:proofErr w:type="spellEnd"/>
      <w:r w:rsidRPr="007D6366">
        <w:rPr>
          <w:rFonts w:ascii="Times New Roman" w:hAnsi="Times New Roman"/>
          <w:lang w:val="en-HK"/>
        </w:rPr>
        <w:t xml:space="preserve"> rule. The conduct of the original owner or buyer must support this attribution.”</w:t>
      </w:r>
    </w:p>
    <w:p w14:paraId="6F8D4EF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This principle ensures exceptions do not unfairly disadvantage innocent parties.</w:t>
      </w:r>
    </w:p>
    <w:p w14:paraId="1B1C085E" w14:textId="77777777" w:rsidR="0041711A" w:rsidRPr="007D6366" w:rsidRDefault="0041711A" w:rsidP="007D6366">
      <w:pPr>
        <w:numPr>
          <w:ilvl w:val="0"/>
          <w:numId w:val="13"/>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Constructive Delivery</w:t>
      </w:r>
      <w:r w:rsidRPr="007D6366">
        <w:rPr>
          <w:rFonts w:ascii="Times New Roman" w:hAnsi="Times New Roman"/>
          <w:lang w:val="en-HK"/>
        </w:rPr>
        <w:t>:</w:t>
      </w:r>
    </w:p>
    <w:p w14:paraId="1D79CA81"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Judicial inconsistencies:</w:t>
      </w:r>
    </w:p>
    <w:p w14:paraId="645A6DDC"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Mitchell v. Jones (1905)</w:t>
      </w:r>
      <w:r w:rsidRPr="007D6366">
        <w:rPr>
          <w:rFonts w:ascii="Times New Roman" w:hAnsi="Times New Roman"/>
          <w:lang w:val="en-HK"/>
        </w:rPr>
        <w:t>: Constructive delivery ended the seller’s possession.</w:t>
      </w:r>
    </w:p>
    <w:p w14:paraId="7C357732"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Pacific Motor Auctions Pty Ltd v. Motor Credits (1965)</w:t>
      </w:r>
      <w:r w:rsidRPr="007D6366">
        <w:rPr>
          <w:rFonts w:ascii="Times New Roman" w:hAnsi="Times New Roman"/>
          <w:lang w:val="en-HK"/>
        </w:rPr>
        <w:t>: Contrarily, physical possession sufficed for Section 24.</w:t>
      </w:r>
    </w:p>
    <w:p w14:paraId="43BD00D4" w14:textId="26F46D8E"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Merrett critiques the lack of </w:t>
      </w:r>
      <w:proofErr w:type="spellStart"/>
      <w:r w:rsidRPr="007D6366">
        <w:rPr>
          <w:rFonts w:ascii="Times New Roman" w:hAnsi="Times New Roman"/>
          <w:lang w:val="en-HK"/>
        </w:rPr>
        <w:t>clarity:“Constructive</w:t>
      </w:r>
      <w:proofErr w:type="spellEnd"/>
      <w:r w:rsidRPr="007D6366">
        <w:rPr>
          <w:rFonts w:ascii="Times New Roman" w:hAnsi="Times New Roman"/>
          <w:lang w:val="en-HK"/>
        </w:rPr>
        <w:t xml:space="preserve"> delivery and possession should terminate the seller’s rights under Section 24 to avoid confusion and protect buyers.”</w:t>
      </w:r>
    </w:p>
    <w:p w14:paraId="44D5AB11" w14:textId="77777777" w:rsidR="0041711A" w:rsidRPr="007D6366" w:rsidRDefault="0041711A" w:rsidP="007D6366">
      <w:pPr>
        <w:numPr>
          <w:ilvl w:val="0"/>
          <w:numId w:val="13"/>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Logical Consistency</w:t>
      </w:r>
      <w:r w:rsidRPr="007D6366">
        <w:rPr>
          <w:rFonts w:ascii="Times New Roman" w:hAnsi="Times New Roman"/>
          <w:lang w:val="en-HK"/>
        </w:rPr>
        <w:t>:</w:t>
      </w:r>
    </w:p>
    <w:p w14:paraId="54109426"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identifies contradictions in judicial interpretations:</w:t>
      </w:r>
    </w:p>
    <w:p w14:paraId="1B106201"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lastRenderedPageBreak/>
        <w:t>“The judgments on the character of possession fail to align with policy goals, creating risks for commerce and buyers.”</w:t>
      </w:r>
    </w:p>
    <w:p w14:paraId="5E8C7EED"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For instance, distinguishing between sellers "continuing in possession" and merely "in possession" remains unclear.</w:t>
      </w:r>
    </w:p>
    <w:p w14:paraId="4EEE3DA3" w14:textId="77777777" w:rsidR="0041711A" w:rsidRPr="007D6366" w:rsidRDefault="0041711A" w:rsidP="007D6366">
      <w:pPr>
        <w:numPr>
          <w:ilvl w:val="0"/>
          <w:numId w:val="13"/>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Practical Implications</w:t>
      </w:r>
      <w:r w:rsidRPr="007D6366">
        <w:rPr>
          <w:rFonts w:ascii="Times New Roman" w:hAnsi="Times New Roman"/>
          <w:lang w:val="en-HK"/>
        </w:rPr>
        <w:t>:</w:t>
      </w:r>
    </w:p>
    <w:p w14:paraId="24BF7381"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The reliance on </w:t>
      </w:r>
      <w:r w:rsidRPr="007D6366">
        <w:rPr>
          <w:rFonts w:ascii="Times New Roman" w:hAnsi="Times New Roman"/>
          <w:b/>
          <w:bCs/>
          <w:lang w:val="en-HK"/>
        </w:rPr>
        <w:t>physical possession</w:t>
      </w:r>
      <w:r w:rsidRPr="007D6366">
        <w:rPr>
          <w:rFonts w:ascii="Times New Roman" w:hAnsi="Times New Roman"/>
          <w:lang w:val="en-HK"/>
        </w:rPr>
        <w:t xml:space="preserve"> under Section 24 (e.g., Pacific Motor) creates difficulties for buyers who cannot verify prior dealings.</w:t>
      </w:r>
    </w:p>
    <w:p w14:paraId="5FBED4CF"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 xml:space="preserve">Merrett argues for a more consistent application of </w:t>
      </w:r>
      <w:r w:rsidRPr="007D6366">
        <w:rPr>
          <w:rFonts w:ascii="Times New Roman" w:hAnsi="Times New Roman"/>
          <w:b/>
          <w:bCs/>
          <w:lang w:val="en-HK"/>
        </w:rPr>
        <w:t>constructive possession</w:t>
      </w:r>
      <w:r w:rsidRPr="007D6366">
        <w:rPr>
          <w:rFonts w:ascii="Times New Roman" w:hAnsi="Times New Roman"/>
          <w:lang w:val="en-HK"/>
        </w:rPr>
        <w:t>.</w:t>
      </w:r>
    </w:p>
    <w:p w14:paraId="36F6E4D6" w14:textId="77777777" w:rsidR="0041711A"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6FD8B093">
          <v:rect id="_x0000_i1026" alt="" style="width:451.3pt;height:.05pt;mso-width-percent:0;mso-height-percent:0;mso-width-percent:0;mso-height-percent:0" o:hralign="center" o:hrstd="t" o:hr="t" fillcolor="#a0a0a0" stroked="f"/>
        </w:pict>
      </w:r>
    </w:p>
    <w:p w14:paraId="38B5C534" w14:textId="77777777" w:rsidR="0041711A" w:rsidRPr="007D6366" w:rsidRDefault="0041711A" w:rsidP="007D6366">
      <w:pPr>
        <w:spacing w:before="100" w:beforeAutospacing="1" w:after="100" w:afterAutospacing="1" w:line="360" w:lineRule="auto"/>
        <w:outlineLvl w:val="3"/>
        <w:rPr>
          <w:rFonts w:ascii="Times New Roman" w:hAnsi="Times New Roman"/>
          <w:b/>
          <w:bCs/>
          <w:lang w:val="en-HK"/>
        </w:rPr>
      </w:pPr>
      <w:r w:rsidRPr="007D6366">
        <w:rPr>
          <w:rFonts w:ascii="Times New Roman" w:hAnsi="Times New Roman"/>
          <w:b/>
          <w:bCs/>
          <w:lang w:val="en-HK"/>
        </w:rPr>
        <w:t>Proposed Reforms</w:t>
      </w:r>
    </w:p>
    <w:p w14:paraId="305B1F1A" w14:textId="77777777" w:rsidR="0041711A" w:rsidRPr="007D6366" w:rsidRDefault="0041711A" w:rsidP="007D6366">
      <w:pPr>
        <w:numPr>
          <w:ilvl w:val="0"/>
          <w:numId w:val="14"/>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Uniform Interpretation of Possession and Delivery</w:t>
      </w:r>
      <w:r w:rsidRPr="007D6366">
        <w:rPr>
          <w:rFonts w:ascii="Times New Roman" w:hAnsi="Times New Roman"/>
          <w:lang w:val="en-HK"/>
        </w:rPr>
        <w:t>:</w:t>
      </w:r>
    </w:p>
    <w:p w14:paraId="32C4FFAA"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Terms like "delivery" and "possession" should have consistent meanings across related statutes (e.g., SGA 1979, FA 1889).</w:t>
      </w:r>
    </w:p>
    <w:p w14:paraId="4A90E0B8"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Merrett asserts:</w:t>
      </w:r>
    </w:p>
    <w:p w14:paraId="3309C305" w14:textId="77777777" w:rsidR="0041711A" w:rsidRPr="007D6366" w:rsidRDefault="0041711A" w:rsidP="00615E83">
      <w:pPr>
        <w:spacing w:beforeAutospacing="1" w:afterAutospacing="1" w:line="360" w:lineRule="auto"/>
        <w:rPr>
          <w:rFonts w:ascii="Times New Roman" w:hAnsi="Times New Roman"/>
          <w:lang w:val="en-HK"/>
        </w:rPr>
      </w:pPr>
      <w:r w:rsidRPr="007D6366">
        <w:rPr>
          <w:rFonts w:ascii="Times New Roman" w:hAnsi="Times New Roman"/>
          <w:lang w:val="en-HK"/>
        </w:rPr>
        <w:t xml:space="preserve">“Delivery must include constructive delivery, as recognized in cases like </w:t>
      </w:r>
      <w:r w:rsidRPr="007D6366">
        <w:rPr>
          <w:rFonts w:ascii="Times New Roman" w:hAnsi="Times New Roman"/>
          <w:b/>
          <w:bCs/>
          <w:lang w:val="en-HK"/>
        </w:rPr>
        <w:t>Michael Gerson (Leasing) Ltd v. Wilkinson [2001]</w:t>
      </w:r>
      <w:r w:rsidRPr="007D6366">
        <w:rPr>
          <w:rFonts w:ascii="Times New Roman" w:hAnsi="Times New Roman"/>
          <w:lang w:val="en-HK"/>
        </w:rPr>
        <w:t>.”</w:t>
      </w:r>
    </w:p>
    <w:p w14:paraId="188B57EF" w14:textId="77777777" w:rsidR="0041711A" w:rsidRPr="007D6366" w:rsidRDefault="0041711A" w:rsidP="007D6366">
      <w:pPr>
        <w:numPr>
          <w:ilvl w:val="0"/>
          <w:numId w:val="14"/>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Focus on Conduct</w:t>
      </w:r>
      <w:r w:rsidRPr="007D6366">
        <w:rPr>
          <w:rFonts w:ascii="Times New Roman" w:hAnsi="Times New Roman"/>
          <w:lang w:val="en-HK"/>
        </w:rPr>
        <w:t>:</w:t>
      </w:r>
    </w:p>
    <w:p w14:paraId="34B91962"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The exceptions should prioritize the conduct of the original buyer or seller rather than the mere appearance of possession.</w:t>
      </w:r>
    </w:p>
    <w:p w14:paraId="3C0F88DD" w14:textId="77777777" w:rsidR="0041711A" w:rsidRPr="007D6366" w:rsidRDefault="0041711A" w:rsidP="007D6366">
      <w:pPr>
        <w:numPr>
          <w:ilvl w:val="0"/>
          <w:numId w:val="14"/>
        </w:numPr>
        <w:spacing w:before="100" w:beforeAutospacing="1" w:after="100" w:afterAutospacing="1" w:line="360" w:lineRule="auto"/>
        <w:rPr>
          <w:rFonts w:ascii="Times New Roman" w:hAnsi="Times New Roman"/>
          <w:lang w:val="en-HK"/>
        </w:rPr>
      </w:pPr>
      <w:r w:rsidRPr="007D6366">
        <w:rPr>
          <w:rFonts w:ascii="Times New Roman" w:hAnsi="Times New Roman"/>
          <w:b/>
          <w:bCs/>
          <w:lang w:val="en-HK"/>
        </w:rPr>
        <w:t>Policy-Oriented Application</w:t>
      </w:r>
      <w:r w:rsidRPr="007D6366">
        <w:rPr>
          <w:rFonts w:ascii="Times New Roman" w:hAnsi="Times New Roman"/>
          <w:lang w:val="en-HK"/>
        </w:rPr>
        <w:t>:</w:t>
      </w:r>
    </w:p>
    <w:p w14:paraId="3B024BF8" w14:textId="77777777" w:rsidR="0041711A" w:rsidRPr="007D6366" w:rsidRDefault="0041711A" w:rsidP="00615E83">
      <w:pPr>
        <w:spacing w:before="100" w:beforeAutospacing="1" w:after="100" w:afterAutospacing="1" w:line="360" w:lineRule="auto"/>
        <w:rPr>
          <w:rFonts w:ascii="Times New Roman" w:hAnsi="Times New Roman"/>
          <w:lang w:val="en-HK"/>
        </w:rPr>
      </w:pPr>
      <w:r w:rsidRPr="007D6366">
        <w:rPr>
          <w:rFonts w:ascii="Times New Roman" w:hAnsi="Times New Roman"/>
          <w:lang w:val="en-HK"/>
        </w:rPr>
        <w:t>Align Sections 24 and 25 with commercial realities to reduce risks for innocent purchasers.</w:t>
      </w:r>
    </w:p>
    <w:p w14:paraId="62294015" w14:textId="77777777" w:rsidR="0041711A" w:rsidRPr="007D6366" w:rsidRDefault="00E45A02" w:rsidP="007D6366">
      <w:pPr>
        <w:spacing w:line="360" w:lineRule="auto"/>
        <w:rPr>
          <w:rFonts w:ascii="Times New Roman" w:hAnsi="Times New Roman"/>
          <w:lang w:val="en-HK"/>
        </w:rPr>
      </w:pPr>
      <w:r w:rsidRPr="00E45A02">
        <w:rPr>
          <w:rFonts w:ascii="Times New Roman" w:hAnsi="Times New Roman"/>
          <w:noProof/>
          <w:lang w:val="en-HK"/>
          <w14:ligatures w14:val="standardContextual"/>
        </w:rPr>
        <w:pict w14:anchorId="66FADDFA">
          <v:rect id="_x0000_i1025" alt="" style="width:451.3pt;height:.05pt;mso-width-percent:0;mso-height-percent:0;mso-width-percent:0;mso-height-percent:0" o:hralign="center" o:hrstd="t" o:hr="t" fillcolor="#a0a0a0" stroked="f"/>
        </w:pict>
      </w:r>
    </w:p>
    <w:p w14:paraId="0C1797C4" w14:textId="77777777" w:rsidR="00CD39F1" w:rsidRPr="007D6366" w:rsidRDefault="00CD39F1" w:rsidP="007D6366">
      <w:pPr>
        <w:spacing w:line="360" w:lineRule="auto"/>
      </w:pPr>
    </w:p>
    <w:sectPr w:rsidR="00CD39F1" w:rsidRPr="007D6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F3C9A"/>
    <w:multiLevelType w:val="multilevel"/>
    <w:tmpl w:val="2B64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4161"/>
    <w:multiLevelType w:val="multilevel"/>
    <w:tmpl w:val="D212A5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F7E77BF"/>
    <w:multiLevelType w:val="multilevel"/>
    <w:tmpl w:val="45C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2E2A"/>
    <w:multiLevelType w:val="multilevel"/>
    <w:tmpl w:val="17D226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702"/>
    <w:multiLevelType w:val="multilevel"/>
    <w:tmpl w:val="F86CE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5B49"/>
    <w:multiLevelType w:val="multilevel"/>
    <w:tmpl w:val="95B2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17330"/>
    <w:multiLevelType w:val="multilevel"/>
    <w:tmpl w:val="A5DE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42381"/>
    <w:multiLevelType w:val="multilevel"/>
    <w:tmpl w:val="A230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979AF"/>
    <w:multiLevelType w:val="multilevel"/>
    <w:tmpl w:val="F5820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B5615"/>
    <w:multiLevelType w:val="multilevel"/>
    <w:tmpl w:val="493CE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83549"/>
    <w:multiLevelType w:val="multilevel"/>
    <w:tmpl w:val="E52E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733B4"/>
    <w:multiLevelType w:val="multilevel"/>
    <w:tmpl w:val="8212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20314"/>
    <w:multiLevelType w:val="multilevel"/>
    <w:tmpl w:val="777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D599F"/>
    <w:multiLevelType w:val="multilevel"/>
    <w:tmpl w:val="08B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A674D"/>
    <w:multiLevelType w:val="hybridMultilevel"/>
    <w:tmpl w:val="5FEC44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3F39C5"/>
    <w:multiLevelType w:val="multilevel"/>
    <w:tmpl w:val="0FDCB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55832"/>
    <w:multiLevelType w:val="multilevel"/>
    <w:tmpl w:val="73DC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936AD"/>
    <w:multiLevelType w:val="multilevel"/>
    <w:tmpl w:val="8A6A97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D9512B3"/>
    <w:multiLevelType w:val="multilevel"/>
    <w:tmpl w:val="0456C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4563"/>
    <w:multiLevelType w:val="multilevel"/>
    <w:tmpl w:val="700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63CD0"/>
    <w:multiLevelType w:val="multilevel"/>
    <w:tmpl w:val="4C9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86854"/>
    <w:multiLevelType w:val="multilevel"/>
    <w:tmpl w:val="3CB6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43364"/>
    <w:multiLevelType w:val="multilevel"/>
    <w:tmpl w:val="67C46A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74A68E1"/>
    <w:multiLevelType w:val="multilevel"/>
    <w:tmpl w:val="9DA8B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8026F"/>
    <w:multiLevelType w:val="multilevel"/>
    <w:tmpl w:val="121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E12E6"/>
    <w:multiLevelType w:val="multilevel"/>
    <w:tmpl w:val="714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D4267"/>
    <w:multiLevelType w:val="multilevel"/>
    <w:tmpl w:val="64CC5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55C7B"/>
    <w:multiLevelType w:val="multilevel"/>
    <w:tmpl w:val="6D40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B77A4"/>
    <w:multiLevelType w:val="multilevel"/>
    <w:tmpl w:val="294E0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31CFB"/>
    <w:multiLevelType w:val="multilevel"/>
    <w:tmpl w:val="146A9C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655658B"/>
    <w:multiLevelType w:val="multilevel"/>
    <w:tmpl w:val="9AE4AD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A962ABD"/>
    <w:multiLevelType w:val="multilevel"/>
    <w:tmpl w:val="A8F8D2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C50625E"/>
    <w:multiLevelType w:val="multilevel"/>
    <w:tmpl w:val="0C28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798624">
    <w:abstractNumId w:val="3"/>
  </w:num>
  <w:num w:numId="2" w16cid:durableId="1701710188">
    <w:abstractNumId w:val="30"/>
  </w:num>
  <w:num w:numId="3" w16cid:durableId="711609711">
    <w:abstractNumId w:val="27"/>
  </w:num>
  <w:num w:numId="4" w16cid:durableId="731657947">
    <w:abstractNumId w:val="19"/>
  </w:num>
  <w:num w:numId="5" w16cid:durableId="1605840318">
    <w:abstractNumId w:val="11"/>
  </w:num>
  <w:num w:numId="6" w16cid:durableId="2027293534">
    <w:abstractNumId w:val="5"/>
  </w:num>
  <w:num w:numId="7" w16cid:durableId="763915306">
    <w:abstractNumId w:val="18"/>
  </w:num>
  <w:num w:numId="8" w16cid:durableId="162553201">
    <w:abstractNumId w:val="16"/>
  </w:num>
  <w:num w:numId="9" w16cid:durableId="830491108">
    <w:abstractNumId w:val="28"/>
  </w:num>
  <w:num w:numId="10" w16cid:durableId="338198005">
    <w:abstractNumId w:val="29"/>
  </w:num>
  <w:num w:numId="11" w16cid:durableId="1030494993">
    <w:abstractNumId w:val="0"/>
  </w:num>
  <w:num w:numId="12" w16cid:durableId="1210070349">
    <w:abstractNumId w:val="8"/>
  </w:num>
  <w:num w:numId="13" w16cid:durableId="859664906">
    <w:abstractNumId w:val="1"/>
  </w:num>
  <w:num w:numId="14" w16cid:durableId="2042513251">
    <w:abstractNumId w:val="17"/>
  </w:num>
  <w:num w:numId="15" w16cid:durableId="943195367">
    <w:abstractNumId w:val="6"/>
  </w:num>
  <w:num w:numId="16" w16cid:durableId="1379625681">
    <w:abstractNumId w:val="26"/>
  </w:num>
  <w:num w:numId="17" w16cid:durableId="1742554624">
    <w:abstractNumId w:val="7"/>
  </w:num>
  <w:num w:numId="18" w16cid:durableId="1272737961">
    <w:abstractNumId w:val="10"/>
  </w:num>
  <w:num w:numId="19" w16cid:durableId="85731091">
    <w:abstractNumId w:val="22"/>
  </w:num>
  <w:num w:numId="20" w16cid:durableId="802235179">
    <w:abstractNumId w:val="15"/>
  </w:num>
  <w:num w:numId="21" w16cid:durableId="962033984">
    <w:abstractNumId w:val="24"/>
  </w:num>
  <w:num w:numId="22" w16cid:durableId="241526053">
    <w:abstractNumId w:val="23"/>
  </w:num>
  <w:num w:numId="23" w16cid:durableId="371729819">
    <w:abstractNumId w:val="4"/>
  </w:num>
  <w:num w:numId="24" w16cid:durableId="108163413">
    <w:abstractNumId w:val="2"/>
  </w:num>
  <w:num w:numId="25" w16cid:durableId="774061314">
    <w:abstractNumId w:val="21"/>
  </w:num>
  <w:num w:numId="26" w16cid:durableId="1158883176">
    <w:abstractNumId w:val="12"/>
  </w:num>
  <w:num w:numId="27" w16cid:durableId="1649361318">
    <w:abstractNumId w:val="13"/>
  </w:num>
  <w:num w:numId="28" w16cid:durableId="360277215">
    <w:abstractNumId w:val="20"/>
  </w:num>
  <w:num w:numId="29" w16cid:durableId="501823493">
    <w:abstractNumId w:val="32"/>
  </w:num>
  <w:num w:numId="30" w16cid:durableId="295181292">
    <w:abstractNumId w:val="25"/>
  </w:num>
  <w:num w:numId="31" w16cid:durableId="509684810">
    <w:abstractNumId w:val="31"/>
  </w:num>
  <w:num w:numId="32" w16cid:durableId="281229330">
    <w:abstractNumId w:val="14"/>
  </w:num>
  <w:num w:numId="33" w16cid:durableId="660547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06"/>
    <w:rsid w:val="00012117"/>
    <w:rsid w:val="000147A9"/>
    <w:rsid w:val="00020A06"/>
    <w:rsid w:val="000413D8"/>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7252D"/>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1711A"/>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5E07"/>
    <w:rsid w:val="005B61CD"/>
    <w:rsid w:val="005C4FF3"/>
    <w:rsid w:val="005C50B3"/>
    <w:rsid w:val="005C6B83"/>
    <w:rsid w:val="005D57DA"/>
    <w:rsid w:val="005E7702"/>
    <w:rsid w:val="005F33FC"/>
    <w:rsid w:val="00605F8E"/>
    <w:rsid w:val="00613954"/>
    <w:rsid w:val="00615E83"/>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366"/>
    <w:rsid w:val="007D68F0"/>
    <w:rsid w:val="007E1559"/>
    <w:rsid w:val="007F776E"/>
    <w:rsid w:val="00816563"/>
    <w:rsid w:val="00830C88"/>
    <w:rsid w:val="00861B11"/>
    <w:rsid w:val="008829C2"/>
    <w:rsid w:val="008A54BE"/>
    <w:rsid w:val="008A59CD"/>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130AD"/>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45A02"/>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6D3F"/>
  <w15:chartTrackingRefBased/>
  <w15:docId w15:val="{0C1B7446-8FB4-DD46-AAF6-F012558B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20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0A0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20A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0A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0A0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A0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A0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A0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A0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20A0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20A0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20A0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20A0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20A0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20A0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20A0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20A0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20A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A0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20A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A0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20A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A0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20A06"/>
    <w:pPr>
      <w:ind w:left="720"/>
      <w:contextualSpacing/>
    </w:pPr>
  </w:style>
  <w:style w:type="character" w:styleId="IntenseEmphasis">
    <w:name w:val="Intense Emphasis"/>
    <w:basedOn w:val="DefaultParagraphFont"/>
    <w:uiPriority w:val="21"/>
    <w:qFormat/>
    <w:rsid w:val="00020A06"/>
    <w:rPr>
      <w:i/>
      <w:iCs/>
      <w:color w:val="2F5496" w:themeColor="accent1" w:themeShade="BF"/>
    </w:rPr>
  </w:style>
  <w:style w:type="paragraph" w:styleId="IntenseQuote">
    <w:name w:val="Intense Quote"/>
    <w:basedOn w:val="Normal"/>
    <w:next w:val="Normal"/>
    <w:link w:val="IntenseQuoteChar"/>
    <w:uiPriority w:val="30"/>
    <w:qFormat/>
    <w:rsid w:val="00020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A0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20A06"/>
    <w:rPr>
      <w:b/>
      <w:bCs/>
      <w:smallCaps/>
      <w:color w:val="2F5496" w:themeColor="accent1" w:themeShade="BF"/>
      <w:spacing w:val="5"/>
    </w:rPr>
  </w:style>
  <w:style w:type="character" w:styleId="Strong">
    <w:name w:val="Strong"/>
    <w:basedOn w:val="DefaultParagraphFont"/>
    <w:uiPriority w:val="22"/>
    <w:qFormat/>
    <w:rsid w:val="008A59CD"/>
    <w:rPr>
      <w:b/>
      <w:bCs/>
    </w:rPr>
  </w:style>
  <w:style w:type="paragraph" w:styleId="NormalWeb">
    <w:name w:val="Normal (Web)"/>
    <w:basedOn w:val="Normal"/>
    <w:uiPriority w:val="99"/>
    <w:semiHidden/>
    <w:unhideWhenUsed/>
    <w:rsid w:val="0041711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4171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499650">
      <w:bodyDiv w:val="1"/>
      <w:marLeft w:val="0"/>
      <w:marRight w:val="0"/>
      <w:marTop w:val="0"/>
      <w:marBottom w:val="0"/>
      <w:divBdr>
        <w:top w:val="none" w:sz="0" w:space="0" w:color="auto"/>
        <w:left w:val="none" w:sz="0" w:space="0" w:color="auto"/>
        <w:bottom w:val="none" w:sz="0" w:space="0" w:color="auto"/>
        <w:right w:val="none" w:sz="0" w:space="0" w:color="auto"/>
      </w:divBdr>
    </w:div>
    <w:div w:id="527329552">
      <w:bodyDiv w:val="1"/>
      <w:marLeft w:val="0"/>
      <w:marRight w:val="0"/>
      <w:marTop w:val="0"/>
      <w:marBottom w:val="0"/>
      <w:divBdr>
        <w:top w:val="none" w:sz="0" w:space="0" w:color="auto"/>
        <w:left w:val="none" w:sz="0" w:space="0" w:color="auto"/>
        <w:bottom w:val="none" w:sz="0" w:space="0" w:color="auto"/>
        <w:right w:val="none" w:sz="0" w:space="0" w:color="auto"/>
      </w:divBdr>
      <w:divsChild>
        <w:div w:id="17334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19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0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631592">
      <w:bodyDiv w:val="1"/>
      <w:marLeft w:val="0"/>
      <w:marRight w:val="0"/>
      <w:marTop w:val="0"/>
      <w:marBottom w:val="0"/>
      <w:divBdr>
        <w:top w:val="none" w:sz="0" w:space="0" w:color="auto"/>
        <w:left w:val="none" w:sz="0" w:space="0" w:color="auto"/>
        <w:bottom w:val="none" w:sz="0" w:space="0" w:color="auto"/>
        <w:right w:val="none" w:sz="0" w:space="0" w:color="auto"/>
      </w:divBdr>
      <w:divsChild>
        <w:div w:id="8979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91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49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152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20285">
      <w:bodyDiv w:val="1"/>
      <w:marLeft w:val="0"/>
      <w:marRight w:val="0"/>
      <w:marTop w:val="0"/>
      <w:marBottom w:val="0"/>
      <w:divBdr>
        <w:top w:val="none" w:sz="0" w:space="0" w:color="auto"/>
        <w:left w:val="none" w:sz="0" w:space="0" w:color="auto"/>
        <w:bottom w:val="none" w:sz="0" w:space="0" w:color="auto"/>
        <w:right w:val="none" w:sz="0" w:space="0" w:color="auto"/>
      </w:divBdr>
      <w:divsChild>
        <w:div w:id="113240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65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460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267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30593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2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641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954803">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4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23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80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8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416018">
      <w:bodyDiv w:val="1"/>
      <w:marLeft w:val="0"/>
      <w:marRight w:val="0"/>
      <w:marTop w:val="0"/>
      <w:marBottom w:val="0"/>
      <w:divBdr>
        <w:top w:val="none" w:sz="0" w:space="0" w:color="auto"/>
        <w:left w:val="none" w:sz="0" w:space="0" w:color="auto"/>
        <w:bottom w:val="none" w:sz="0" w:space="0" w:color="auto"/>
        <w:right w:val="none" w:sz="0" w:space="0" w:color="auto"/>
      </w:divBdr>
      <w:divsChild>
        <w:div w:id="63144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96424005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002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2025-01-13T20:56:00Z</dcterms:created>
  <dcterms:modified xsi:type="dcterms:W3CDTF">2025-01-14T10:34:00Z</dcterms:modified>
</cp:coreProperties>
</file>