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B665C1E" w14:textId="739F490B" w:rsidR="00CD39F1" w:rsidRPr="00BF72FE" w:rsidRDefault="00494D91" w:rsidP="00BF72FE">
      <w:pPr>
        <w:spacing w:line="276" w:lineRule="auto"/>
      </w:pPr>
      <w:r w:rsidRPr="00BF72FE">
        <w:t xml:space="preserve">Q: </w:t>
      </w:r>
      <w:r w:rsidR="00AF77D5" w:rsidRPr="00BF72FE">
        <w:t xml:space="preserve">The exceptions to the nemo </w:t>
      </w:r>
      <w:proofErr w:type="spellStart"/>
      <w:r w:rsidR="00AF77D5" w:rsidRPr="00BF72FE">
        <w:t>dat</w:t>
      </w:r>
      <w:proofErr w:type="spellEnd"/>
      <w:r w:rsidR="00AF77D5" w:rsidRPr="00BF72FE">
        <w:t xml:space="preserve"> rule give too much protection to purchasers of goods and pay insufficient regard to the rights of the original owner. In view of insufficient protection, any suggestions on reforms,’ With references to case laws and journals.</w:t>
      </w:r>
    </w:p>
    <w:p w14:paraId="2D99DE73" w14:textId="77777777" w:rsidR="00EC5C76" w:rsidRPr="00BF72FE" w:rsidRDefault="00EC5C76" w:rsidP="00BF72FE">
      <w:pPr>
        <w:spacing w:line="276" w:lineRule="auto"/>
      </w:pPr>
    </w:p>
    <w:p w14:paraId="0AC53FF9" w14:textId="77777777" w:rsidR="00EC5C76" w:rsidRPr="00BF72FE" w:rsidRDefault="00EC5C76" w:rsidP="00BF72FE">
      <w:pPr>
        <w:spacing w:before="100" w:beforeAutospacing="1" w:after="100" w:afterAutospacing="1" w:line="276" w:lineRule="auto"/>
        <w:outlineLvl w:val="3"/>
        <w:rPr>
          <w:color w:val="2F5496" w:themeColor="accent1" w:themeShade="BF"/>
        </w:rPr>
      </w:pPr>
      <w:r w:rsidRPr="00BF72FE">
        <w:rPr>
          <w:color w:val="2F5496" w:themeColor="accent1" w:themeShade="BF"/>
        </w:rPr>
        <w:t>Introduction</w:t>
      </w:r>
    </w:p>
    <w:p w14:paraId="1BB301DE" w14:textId="77777777" w:rsidR="00665649" w:rsidRPr="00BF72FE" w:rsidRDefault="00665649" w:rsidP="00BF72FE">
      <w:pPr>
        <w:pStyle w:val="NormalWeb"/>
        <w:spacing w:line="276" w:lineRule="auto"/>
      </w:pPr>
      <w:r w:rsidRPr="00BF72FE">
        <w:t xml:space="preserve">The principle of </w:t>
      </w:r>
      <w:r w:rsidRPr="00BF72FE">
        <w:rPr>
          <w:rStyle w:val="Strong"/>
          <w:rFonts w:eastAsiaTheme="majorEastAsia"/>
        </w:rPr>
        <w:t xml:space="preserve">nemo </w:t>
      </w:r>
      <w:proofErr w:type="spellStart"/>
      <w:r w:rsidRPr="00BF72FE">
        <w:rPr>
          <w:rStyle w:val="Strong"/>
          <w:rFonts w:eastAsiaTheme="majorEastAsia"/>
        </w:rPr>
        <w:t>dat</w:t>
      </w:r>
      <w:proofErr w:type="spellEnd"/>
      <w:r w:rsidRPr="00BF72FE">
        <w:rPr>
          <w:rStyle w:val="Strong"/>
          <w:rFonts w:eastAsiaTheme="majorEastAsia"/>
        </w:rPr>
        <w:t xml:space="preserve"> quod non </w:t>
      </w:r>
      <w:proofErr w:type="spellStart"/>
      <w:r w:rsidRPr="00BF72FE">
        <w:rPr>
          <w:rStyle w:val="Strong"/>
          <w:rFonts w:eastAsiaTheme="majorEastAsia"/>
        </w:rPr>
        <w:t>habet</w:t>
      </w:r>
      <w:proofErr w:type="spellEnd"/>
      <w:r w:rsidRPr="00BF72FE">
        <w:t>—“no one can give what they do not have”—is foundational to English property law, codified in Section 21(1) of the Sale of Goods Act 1979 (SGA 1979). It establishes that unauthorized transfers cannot deprive true owners of their proprietary rights, thus prioritizing ownership security. As Louise Merrett observes, the rule "ensures that the chain of ownership is not severed without clear authorization" (The Importance of Delivery and Possession in the Passing of Title, Louise Merrett, 2008). However, the law incorporates various statutory and common law exceptions—such as estoppel, sales in market overt (now repealed), sales by mercantile agents, sales under voidable title, and possession-based sales under Sections 24 and 25 of the SGA. While these exceptions were introduced to promote commercial fluidity and protect good faith purchasers, they have been criticized for creating disproportionate burdens on true owners. Scholars like Foster argue that these exceptions often "undermine ownership security without achieving a cohesive balance between fairness and commercial needs" (Sale by a non-owner: striking a fair balance between the rights of the true owner and a buyer in good faith, Angela Foster, 2004).</w:t>
      </w:r>
    </w:p>
    <w:p w14:paraId="3D5B56FF" w14:textId="77777777" w:rsidR="00665649" w:rsidRPr="00BF72FE" w:rsidRDefault="00665649" w:rsidP="00BF72FE">
      <w:pPr>
        <w:pStyle w:val="NormalWeb"/>
        <w:spacing w:line="276" w:lineRule="auto"/>
      </w:pPr>
      <w:r w:rsidRPr="00BF72FE">
        <w:t xml:space="preserve">This essay critically examines the exceptions to the </w:t>
      </w:r>
      <w:r w:rsidRPr="00BF72FE">
        <w:rPr>
          <w:rStyle w:val="Strong"/>
          <w:rFonts w:eastAsiaTheme="majorEastAsia"/>
        </w:rPr>
        <w:t xml:space="preserve">nemo </w:t>
      </w:r>
      <w:proofErr w:type="spellStart"/>
      <w:r w:rsidRPr="00BF72FE">
        <w:rPr>
          <w:rStyle w:val="Strong"/>
          <w:rFonts w:eastAsiaTheme="majorEastAsia"/>
        </w:rPr>
        <w:t>dat</w:t>
      </w:r>
      <w:proofErr w:type="spellEnd"/>
      <w:r w:rsidRPr="00BF72FE">
        <w:t xml:space="preserve"> rule, highlighting their impact on ownership rights and their alignment with modern commercial realities. It argues that the current framework excessively </w:t>
      </w:r>
      <w:proofErr w:type="spellStart"/>
      <w:r w:rsidRPr="00BF72FE">
        <w:t>favors</w:t>
      </w:r>
      <w:proofErr w:type="spellEnd"/>
      <w:r w:rsidRPr="00BF72FE">
        <w:t xml:space="preserve"> good faith purchasers, leaving original owners vulnerable to loss. The essay also evaluates judicial and academic perspectives, such as those in </w:t>
      </w:r>
      <w:r w:rsidRPr="00BF72FE">
        <w:rPr>
          <w:rStyle w:val="Emphasis"/>
          <w:rFonts w:eastAsiaTheme="majorEastAsia"/>
        </w:rPr>
        <w:t>National Employers' Mutual General Insurance Association v Jones</w:t>
      </w:r>
      <w:r w:rsidRPr="00BF72FE">
        <w:t xml:space="preserve"> [1990] and </w:t>
      </w:r>
      <w:r w:rsidRPr="00BF72FE">
        <w:rPr>
          <w:rStyle w:val="Emphasis"/>
          <w:rFonts w:eastAsiaTheme="majorEastAsia"/>
        </w:rPr>
        <w:t>Shogun Finance Ltd v Hudson</w:t>
      </w:r>
      <w:r w:rsidRPr="00BF72FE">
        <w:t xml:space="preserve"> [2003], to assess the adequacy of these exceptions. Finally, it explores potential reforms, including codification, apportionment mechanisms, and enhanced consumer protections, to better reconcile proprietary security with commercial certainty.</w:t>
      </w:r>
    </w:p>
    <w:p w14:paraId="6B44F48A" w14:textId="77777777" w:rsidR="00665649" w:rsidRPr="00BF72FE" w:rsidRDefault="00665649" w:rsidP="00BF72FE">
      <w:pPr>
        <w:pStyle w:val="Heading3"/>
        <w:spacing w:line="276" w:lineRule="auto"/>
        <w:rPr>
          <w:rFonts w:ascii="Times New Roman" w:hAnsi="Times New Roman" w:cs="Times New Roman"/>
          <w:sz w:val="24"/>
          <w:szCs w:val="24"/>
        </w:rPr>
      </w:pPr>
      <w:r w:rsidRPr="00BF72FE">
        <w:rPr>
          <w:rStyle w:val="Strong"/>
          <w:rFonts w:ascii="Times New Roman" w:hAnsi="Times New Roman" w:cs="Times New Roman"/>
          <w:b w:val="0"/>
          <w:bCs w:val="0"/>
          <w:sz w:val="24"/>
          <w:szCs w:val="24"/>
        </w:rPr>
        <w:t>1. The General Rule and Its Purpose</w:t>
      </w:r>
    </w:p>
    <w:p w14:paraId="4F6630D7" w14:textId="77777777" w:rsidR="00665649" w:rsidRPr="00BF72FE" w:rsidRDefault="00665649" w:rsidP="00BF72FE">
      <w:pPr>
        <w:pStyle w:val="Heading4"/>
        <w:spacing w:line="276" w:lineRule="auto"/>
        <w:rPr>
          <w:rFonts w:ascii="Times New Roman" w:hAnsi="Times New Roman" w:cs="Times New Roman"/>
        </w:rPr>
      </w:pPr>
      <w:r w:rsidRPr="00BF72FE">
        <w:rPr>
          <w:rStyle w:val="Strong"/>
          <w:rFonts w:ascii="Times New Roman" w:hAnsi="Times New Roman" w:cs="Times New Roman"/>
          <w:b w:val="0"/>
          <w:bCs w:val="0"/>
        </w:rPr>
        <w:t>Legal Basis of the Nemo Dat Rule</w:t>
      </w:r>
    </w:p>
    <w:p w14:paraId="1E6C98BA" w14:textId="77777777" w:rsidR="00665649" w:rsidRPr="00BF72FE" w:rsidRDefault="00665649" w:rsidP="00BF72FE">
      <w:pPr>
        <w:pStyle w:val="NormalWeb"/>
        <w:spacing w:line="276" w:lineRule="auto"/>
      </w:pPr>
      <w:r w:rsidRPr="00BF72FE">
        <w:t xml:space="preserve">The principle </w:t>
      </w:r>
      <w:r w:rsidRPr="00BF72FE">
        <w:rPr>
          <w:rStyle w:val="Strong"/>
          <w:rFonts w:eastAsiaTheme="majorEastAsia"/>
        </w:rPr>
        <w:t xml:space="preserve">nemo </w:t>
      </w:r>
      <w:proofErr w:type="spellStart"/>
      <w:r w:rsidRPr="00BF72FE">
        <w:rPr>
          <w:rStyle w:val="Strong"/>
          <w:rFonts w:eastAsiaTheme="majorEastAsia"/>
        </w:rPr>
        <w:t>dat</w:t>
      </w:r>
      <w:proofErr w:type="spellEnd"/>
      <w:r w:rsidRPr="00BF72FE">
        <w:rPr>
          <w:rStyle w:val="Strong"/>
          <w:rFonts w:eastAsiaTheme="majorEastAsia"/>
        </w:rPr>
        <w:t xml:space="preserve"> quod non </w:t>
      </w:r>
      <w:proofErr w:type="spellStart"/>
      <w:r w:rsidRPr="00BF72FE">
        <w:rPr>
          <w:rStyle w:val="Strong"/>
          <w:rFonts w:eastAsiaTheme="majorEastAsia"/>
        </w:rPr>
        <w:t>habet</w:t>
      </w:r>
      <w:proofErr w:type="spellEnd"/>
      <w:r w:rsidRPr="00BF72FE">
        <w:t>, codified in Section 21(1) of the Sale of Goods Act 1979 (SGA 1979), provides that:</w:t>
      </w:r>
    </w:p>
    <w:p w14:paraId="472BCB45" w14:textId="77777777" w:rsidR="00665649" w:rsidRPr="00BF72FE" w:rsidRDefault="00665649" w:rsidP="00BF72FE">
      <w:pPr>
        <w:pStyle w:val="NormalWeb"/>
        <w:spacing w:line="276" w:lineRule="auto"/>
      </w:pPr>
      <w:r w:rsidRPr="00BF72FE">
        <w:t>"Subject to this Act, where goods are sold by a person who is not their owner, and who does not sell them under the authority or with the consent of the owner, the buyer acquires no better title to the goods than the seller had."</w:t>
      </w:r>
    </w:p>
    <w:p w14:paraId="10E612F9" w14:textId="64321C27" w:rsidR="00665649" w:rsidRPr="00BF72FE" w:rsidRDefault="00665649" w:rsidP="00BF72FE">
      <w:pPr>
        <w:pStyle w:val="NormalWeb"/>
        <w:spacing w:line="276" w:lineRule="auto"/>
      </w:pPr>
      <w:r w:rsidRPr="00BF72FE">
        <w:t xml:space="preserve">This rule ensures that unauthorized transactions do not disturb the proprietary rights of the true owner unless statutory exceptions apply. It reflects a fundamental balance between </w:t>
      </w:r>
      <w:r w:rsidRPr="00BF72FE">
        <w:lastRenderedPageBreak/>
        <w:t>ownership security and commercial functionality. As Louise Merrett notes, the rule "ensures clarity and integrity in the chain of ownership, avoiding unjust enrichment for parties lacking legitimate title" (</w:t>
      </w:r>
      <w:r w:rsidRPr="00BF72FE">
        <w:rPr>
          <w:rStyle w:val="Emphasis"/>
          <w:rFonts w:eastAsiaTheme="majorEastAsia"/>
        </w:rPr>
        <w:t>The Importance of Delivery and Possession in the Passing of Title</w:t>
      </w:r>
      <w:r w:rsidRPr="00BF72FE">
        <w:t>, Louise Merrett, 2008).</w:t>
      </w:r>
    </w:p>
    <w:p w14:paraId="65728371" w14:textId="77777777" w:rsidR="00665649" w:rsidRPr="00BF72FE" w:rsidRDefault="00665649" w:rsidP="00BF72FE">
      <w:pPr>
        <w:pStyle w:val="Heading4"/>
        <w:spacing w:line="276" w:lineRule="auto"/>
        <w:rPr>
          <w:rFonts w:ascii="Times New Roman" w:hAnsi="Times New Roman" w:cs="Times New Roman"/>
        </w:rPr>
      </w:pPr>
      <w:r w:rsidRPr="00BF72FE">
        <w:rPr>
          <w:rStyle w:val="Strong"/>
          <w:rFonts w:ascii="Times New Roman" w:hAnsi="Times New Roman" w:cs="Times New Roman"/>
          <w:b w:val="0"/>
          <w:bCs w:val="0"/>
        </w:rPr>
        <w:t>Purpose of the Rule</w:t>
      </w:r>
    </w:p>
    <w:p w14:paraId="75296D99" w14:textId="77777777" w:rsidR="00665649" w:rsidRPr="00BF72FE" w:rsidRDefault="00665649" w:rsidP="00BF72FE">
      <w:pPr>
        <w:pStyle w:val="NormalWeb"/>
        <w:numPr>
          <w:ilvl w:val="0"/>
          <w:numId w:val="11"/>
        </w:numPr>
        <w:spacing w:line="276" w:lineRule="auto"/>
      </w:pPr>
      <w:r w:rsidRPr="00BF72FE">
        <w:rPr>
          <w:rStyle w:val="Strong"/>
          <w:rFonts w:eastAsiaTheme="majorEastAsia"/>
        </w:rPr>
        <w:t>Protection of Ownership:</w:t>
      </w:r>
    </w:p>
    <w:p w14:paraId="515E87D5" w14:textId="77777777" w:rsidR="00665649" w:rsidRPr="00BF72FE" w:rsidRDefault="00665649" w:rsidP="00BF72FE">
      <w:pPr>
        <w:numPr>
          <w:ilvl w:val="1"/>
          <w:numId w:val="11"/>
        </w:numPr>
        <w:spacing w:before="100" w:beforeAutospacing="1" w:after="100" w:afterAutospacing="1" w:line="276" w:lineRule="auto"/>
      </w:pPr>
      <w:r w:rsidRPr="00BF72FE">
        <w:t xml:space="preserve">The </w:t>
      </w:r>
      <w:r w:rsidRPr="00BF72FE">
        <w:rPr>
          <w:rStyle w:val="Strong"/>
          <w:rFonts w:eastAsiaTheme="majorEastAsia"/>
        </w:rPr>
        <w:t xml:space="preserve">nemo </w:t>
      </w:r>
      <w:proofErr w:type="spellStart"/>
      <w:r w:rsidRPr="00BF72FE">
        <w:rPr>
          <w:rStyle w:val="Strong"/>
          <w:rFonts w:eastAsiaTheme="majorEastAsia"/>
        </w:rPr>
        <w:t>dat</w:t>
      </w:r>
      <w:proofErr w:type="spellEnd"/>
      <w:r w:rsidRPr="00BF72FE">
        <w:t xml:space="preserve"> rule is rooted in safeguarding ownership rights, ensuring that unauthorized disposals do not deprive true owners of their proprietary interests. Graham Battersby highlights that "ease of commercial transfer must not undermine the sanctity of legitimate ownership" (</w:t>
      </w:r>
      <w:r w:rsidRPr="00BF72FE">
        <w:rPr>
          <w:rStyle w:val="Emphasis"/>
          <w:rFonts w:eastAsiaTheme="majorEastAsia"/>
        </w:rPr>
        <w:t>The Sale of Stolen Goods: A Dilemma for the Law</w:t>
      </w:r>
      <w:r w:rsidRPr="00BF72FE">
        <w:t>, Graham Battersby, 1991).</w:t>
      </w:r>
    </w:p>
    <w:p w14:paraId="328DDCF5" w14:textId="77777777" w:rsidR="00665649" w:rsidRPr="00BF72FE" w:rsidRDefault="00665649" w:rsidP="00BF72FE">
      <w:pPr>
        <w:numPr>
          <w:ilvl w:val="1"/>
          <w:numId w:val="11"/>
        </w:numPr>
        <w:spacing w:before="100" w:beforeAutospacing="1" w:after="100" w:afterAutospacing="1" w:line="276" w:lineRule="auto"/>
      </w:pPr>
      <w:r w:rsidRPr="00BF72FE">
        <w:t xml:space="preserve">This principle was reaffirmed in </w:t>
      </w:r>
      <w:r w:rsidRPr="00BF72FE">
        <w:rPr>
          <w:rStyle w:val="Emphasis"/>
          <w:rFonts w:eastAsiaTheme="majorEastAsia"/>
        </w:rPr>
        <w:t>National Employers’ Mutual General Insurance Association v Jones</w:t>
      </w:r>
      <w:r w:rsidRPr="00BF72FE">
        <w:t xml:space="preserve"> [1990] AC 24, where the court emphasized the inviolability of true ownership over the rights of subsequent good faith purchasers. </w:t>
      </w:r>
      <w:proofErr w:type="spellStart"/>
      <w:r w:rsidRPr="00BF72FE">
        <w:t>Thornely</w:t>
      </w:r>
      <w:proofErr w:type="spellEnd"/>
      <w:r w:rsidRPr="00BF72FE">
        <w:t xml:space="preserve"> further critiques the challenges arising from ownership security in cases of theft, noting the principle's historical tension with equitable outcomes (</w:t>
      </w:r>
      <w:r w:rsidRPr="00BF72FE">
        <w:rPr>
          <w:rStyle w:val="Emphasis"/>
          <w:rFonts w:eastAsiaTheme="majorEastAsia"/>
        </w:rPr>
        <w:t>Thieves, Rogues, Innocent Purchasers and Legislative Tangles</w:t>
      </w:r>
      <w:r w:rsidRPr="00BF72FE">
        <w:t xml:space="preserve">, J.W.A. </w:t>
      </w:r>
      <w:proofErr w:type="spellStart"/>
      <w:r w:rsidRPr="00BF72FE">
        <w:t>Thornely</w:t>
      </w:r>
      <w:proofErr w:type="spellEnd"/>
      <w:r w:rsidRPr="00BF72FE">
        <w:t>, 1988).</w:t>
      </w:r>
    </w:p>
    <w:p w14:paraId="07627009" w14:textId="77777777" w:rsidR="00665649" w:rsidRPr="00BF72FE" w:rsidRDefault="00665649" w:rsidP="00BF72FE">
      <w:pPr>
        <w:pStyle w:val="NormalWeb"/>
        <w:numPr>
          <w:ilvl w:val="0"/>
          <w:numId w:val="11"/>
        </w:numPr>
        <w:spacing w:line="276" w:lineRule="auto"/>
      </w:pPr>
      <w:r w:rsidRPr="00BF72FE">
        <w:rPr>
          <w:rStyle w:val="Strong"/>
          <w:rFonts w:eastAsiaTheme="majorEastAsia"/>
        </w:rPr>
        <w:t>Commercial Certainty:</w:t>
      </w:r>
    </w:p>
    <w:p w14:paraId="6670B241" w14:textId="77777777" w:rsidR="00665649" w:rsidRPr="00BF72FE" w:rsidRDefault="00665649" w:rsidP="00BF72FE">
      <w:pPr>
        <w:numPr>
          <w:ilvl w:val="1"/>
          <w:numId w:val="11"/>
        </w:numPr>
        <w:spacing w:before="100" w:beforeAutospacing="1" w:after="100" w:afterAutospacing="1" w:line="276" w:lineRule="auto"/>
      </w:pPr>
      <w:r w:rsidRPr="00BF72FE">
        <w:t xml:space="preserve">Despite prioritizing ownership, the rule indirectly contributes to commercial certainty by promoting due diligence. Justice Denning, in </w:t>
      </w:r>
      <w:r w:rsidRPr="00BF72FE">
        <w:rPr>
          <w:rStyle w:val="Emphasis"/>
          <w:rFonts w:eastAsiaTheme="majorEastAsia"/>
        </w:rPr>
        <w:t>Bishopsgate Motor Finance Corp v Transport Brakes Ltd</w:t>
      </w:r>
      <w:r w:rsidRPr="00BF72FE">
        <w:t xml:space="preserve"> [1949] KB 322, recognized the inherent tension between protecting property rights and ensuring transactional simplicity, emphasizing that "the balance must be maintained to foster confidence in commerce."</w:t>
      </w:r>
    </w:p>
    <w:p w14:paraId="3EB0D925" w14:textId="4AAC1588" w:rsidR="00665649" w:rsidRPr="00BF72FE" w:rsidRDefault="00665649" w:rsidP="00BF72FE">
      <w:pPr>
        <w:numPr>
          <w:ilvl w:val="1"/>
          <w:numId w:val="11"/>
        </w:numPr>
        <w:spacing w:before="100" w:beforeAutospacing="1" w:after="100" w:afterAutospacing="1" w:line="276" w:lineRule="auto"/>
      </w:pPr>
      <w:r w:rsidRPr="00BF72FE">
        <w:t>Merrett also notes that the rule incentivizes verification of a seller’s authority, fostering trust in legitimate transactions (</w:t>
      </w:r>
      <w:r w:rsidRPr="00BF72FE">
        <w:rPr>
          <w:rStyle w:val="Emphasis"/>
          <w:rFonts w:eastAsiaTheme="majorEastAsia"/>
        </w:rPr>
        <w:t>The Importance of Delivery and Possession in the Passing of Title</w:t>
      </w:r>
      <w:r w:rsidRPr="00BF72FE">
        <w:t>, Louise Merrett, 2008).</w:t>
      </w:r>
    </w:p>
    <w:p w14:paraId="218746F2" w14:textId="77777777" w:rsidR="00665649" w:rsidRPr="00BF72FE" w:rsidRDefault="00665649" w:rsidP="00BF72FE">
      <w:pPr>
        <w:pStyle w:val="Heading4"/>
        <w:spacing w:line="276" w:lineRule="auto"/>
        <w:rPr>
          <w:rFonts w:ascii="Times New Roman" w:hAnsi="Times New Roman" w:cs="Times New Roman"/>
        </w:rPr>
      </w:pPr>
      <w:r w:rsidRPr="00BF72FE">
        <w:rPr>
          <w:rStyle w:val="Strong"/>
          <w:rFonts w:ascii="Times New Roman" w:hAnsi="Times New Roman" w:cs="Times New Roman"/>
          <w:b w:val="0"/>
          <w:bCs w:val="0"/>
        </w:rPr>
        <w:t>Rationale Behind the Rule</w:t>
      </w:r>
    </w:p>
    <w:p w14:paraId="5DB977F8" w14:textId="77777777" w:rsidR="00665649" w:rsidRPr="00BF72FE" w:rsidRDefault="00665649" w:rsidP="00BF72FE">
      <w:pPr>
        <w:pStyle w:val="NormalWeb"/>
        <w:numPr>
          <w:ilvl w:val="0"/>
          <w:numId w:val="12"/>
        </w:numPr>
        <w:spacing w:line="276" w:lineRule="auto"/>
      </w:pPr>
      <w:r w:rsidRPr="00BF72FE">
        <w:rPr>
          <w:rStyle w:val="Strong"/>
          <w:rFonts w:eastAsiaTheme="majorEastAsia"/>
        </w:rPr>
        <w:t>Historical Context:</w:t>
      </w:r>
    </w:p>
    <w:p w14:paraId="2F3C5EEE" w14:textId="77777777" w:rsidR="00665649" w:rsidRPr="00BF72FE" w:rsidRDefault="00665649" w:rsidP="00BF72FE">
      <w:pPr>
        <w:spacing w:before="100" w:beforeAutospacing="1" w:after="100" w:afterAutospacing="1" w:line="276" w:lineRule="auto"/>
      </w:pPr>
      <w:r w:rsidRPr="00BF72FE">
        <w:t xml:space="preserve">Originating in Roman law, the </w:t>
      </w:r>
      <w:r w:rsidRPr="00BF72FE">
        <w:rPr>
          <w:rStyle w:val="Strong"/>
          <w:rFonts w:eastAsiaTheme="majorEastAsia"/>
        </w:rPr>
        <w:t xml:space="preserve">nemo </w:t>
      </w:r>
      <w:proofErr w:type="spellStart"/>
      <w:r w:rsidRPr="00BF72FE">
        <w:rPr>
          <w:rStyle w:val="Strong"/>
          <w:rFonts w:eastAsiaTheme="majorEastAsia"/>
        </w:rPr>
        <w:t>dat</w:t>
      </w:r>
      <w:proofErr w:type="spellEnd"/>
      <w:r w:rsidRPr="00BF72FE">
        <w:t xml:space="preserve"> rule evolved as a safeguard in structured economies to define proprietary priorities and prevent chaos in ownership disputes. Merrett observes that its development reflects the legal system’s emphasis on ownership continuity (</w:t>
      </w:r>
      <w:r w:rsidRPr="00BF72FE">
        <w:rPr>
          <w:rStyle w:val="Emphasis"/>
          <w:rFonts w:eastAsiaTheme="majorEastAsia"/>
        </w:rPr>
        <w:t>The Importance of Delivery and Possession in the Passing of Title</w:t>
      </w:r>
      <w:r w:rsidRPr="00BF72FE">
        <w:t>, Louise Merrett, 2008).</w:t>
      </w:r>
    </w:p>
    <w:p w14:paraId="3A129146" w14:textId="77777777" w:rsidR="00665649" w:rsidRPr="00BF72FE" w:rsidRDefault="00665649" w:rsidP="00BF72FE">
      <w:pPr>
        <w:pStyle w:val="NormalWeb"/>
        <w:numPr>
          <w:ilvl w:val="0"/>
          <w:numId w:val="12"/>
        </w:numPr>
        <w:spacing w:line="276" w:lineRule="auto"/>
      </w:pPr>
      <w:r w:rsidRPr="00BF72FE">
        <w:rPr>
          <w:rStyle w:val="Strong"/>
          <w:rFonts w:eastAsiaTheme="majorEastAsia"/>
        </w:rPr>
        <w:t>Deterrence of Theft and Fraud:</w:t>
      </w:r>
    </w:p>
    <w:p w14:paraId="755C08D6" w14:textId="77777777" w:rsidR="00665649" w:rsidRPr="00BF72FE" w:rsidRDefault="00665649" w:rsidP="00BF72FE">
      <w:pPr>
        <w:spacing w:before="100" w:beforeAutospacing="1" w:after="100" w:afterAutospacing="1" w:line="276" w:lineRule="auto"/>
      </w:pPr>
      <w:r w:rsidRPr="00BF72FE">
        <w:t>The rule acts as a deterrent by ensuring that unauthorized transfers are unenforceable, reducing incentives for theft and fraudulent sales. As Battersby argues, this reinforces the legitimacy of ownership and discourages illicit trade (</w:t>
      </w:r>
      <w:r w:rsidRPr="00BF72FE">
        <w:rPr>
          <w:rStyle w:val="Emphasis"/>
          <w:rFonts w:eastAsiaTheme="majorEastAsia"/>
        </w:rPr>
        <w:t>The Sale of Stolen Goods: A Dilemma for the Law</w:t>
      </w:r>
      <w:r w:rsidRPr="00BF72FE">
        <w:t>, Graham Battersby, 1991).</w:t>
      </w:r>
    </w:p>
    <w:p w14:paraId="66CBF4D9" w14:textId="77777777" w:rsidR="00665649" w:rsidRPr="00BF72FE" w:rsidRDefault="00665649" w:rsidP="00BF72FE">
      <w:pPr>
        <w:pStyle w:val="NormalWeb"/>
        <w:numPr>
          <w:ilvl w:val="0"/>
          <w:numId w:val="12"/>
        </w:numPr>
        <w:spacing w:line="276" w:lineRule="auto"/>
      </w:pPr>
      <w:r w:rsidRPr="00BF72FE">
        <w:rPr>
          <w:rStyle w:val="Strong"/>
          <w:rFonts w:eastAsiaTheme="majorEastAsia"/>
        </w:rPr>
        <w:lastRenderedPageBreak/>
        <w:t>Equity and Relativity of Title:</w:t>
      </w:r>
    </w:p>
    <w:p w14:paraId="0E603531" w14:textId="50E7C0B0" w:rsidR="00665649" w:rsidRPr="00BF72FE" w:rsidRDefault="00665649" w:rsidP="00BF72FE">
      <w:pPr>
        <w:spacing w:before="100" w:beforeAutospacing="1" w:after="100" w:afterAutospacing="1" w:line="276" w:lineRule="auto"/>
      </w:pPr>
      <w:r w:rsidRPr="00BF72FE">
        <w:t xml:space="preserve">English law treats title as relative, resolving competing claims through equitable principles. In </w:t>
      </w:r>
      <w:r w:rsidRPr="00BF72FE">
        <w:rPr>
          <w:rStyle w:val="Emphasis"/>
          <w:rFonts w:eastAsiaTheme="majorEastAsia"/>
        </w:rPr>
        <w:t>Waverly Borough Council v Fletcher</w:t>
      </w:r>
      <w:r w:rsidRPr="00BF72FE">
        <w:t xml:space="preserve"> [1996] QB 334, the court underscored that "the relativity of title preserves the chain of legitimate ownership," ensuring fairness in disputes. </w:t>
      </w:r>
      <w:proofErr w:type="spellStart"/>
      <w:r w:rsidRPr="00BF72FE">
        <w:t>Thornely</w:t>
      </w:r>
      <w:proofErr w:type="spellEnd"/>
      <w:r w:rsidRPr="00BF72FE">
        <w:t xml:space="preserve"> critiques the rigidity of this principle, suggesting that its application can sometimes disproportionately burden innocent purchasers (</w:t>
      </w:r>
      <w:r w:rsidRPr="00BF72FE">
        <w:rPr>
          <w:rStyle w:val="Emphasis"/>
          <w:rFonts w:eastAsiaTheme="majorEastAsia"/>
        </w:rPr>
        <w:t>Thieves, Rogues, Innocent Purchasers and Legislative Tangles</w:t>
      </w:r>
      <w:r w:rsidRPr="00BF72FE">
        <w:t xml:space="preserve">, J.W.A. </w:t>
      </w:r>
      <w:proofErr w:type="spellStart"/>
      <w:r w:rsidRPr="00BF72FE">
        <w:t>Thornely</w:t>
      </w:r>
      <w:proofErr w:type="spellEnd"/>
      <w:r w:rsidRPr="00BF72FE">
        <w:t>, 1988).</w:t>
      </w:r>
    </w:p>
    <w:p w14:paraId="1BE5496F" w14:textId="77777777" w:rsidR="00665649" w:rsidRPr="00BF72FE" w:rsidRDefault="00665649" w:rsidP="00BF72FE">
      <w:pPr>
        <w:pStyle w:val="Heading4"/>
        <w:spacing w:line="276" w:lineRule="auto"/>
        <w:rPr>
          <w:rFonts w:ascii="Times New Roman" w:hAnsi="Times New Roman" w:cs="Times New Roman"/>
        </w:rPr>
      </w:pPr>
      <w:r w:rsidRPr="00BF72FE">
        <w:rPr>
          <w:rStyle w:val="Strong"/>
          <w:rFonts w:ascii="Times New Roman" w:hAnsi="Times New Roman" w:cs="Times New Roman"/>
          <w:b w:val="0"/>
          <w:bCs w:val="0"/>
        </w:rPr>
        <w:t>Evaluation</w:t>
      </w:r>
    </w:p>
    <w:p w14:paraId="463ED661" w14:textId="77777777" w:rsidR="00665649" w:rsidRPr="00BF72FE" w:rsidRDefault="00665649" w:rsidP="00BF72FE">
      <w:pPr>
        <w:pStyle w:val="NormalWeb"/>
        <w:spacing w:line="276" w:lineRule="auto"/>
      </w:pPr>
      <w:r w:rsidRPr="00BF72FE">
        <w:t xml:space="preserve">The </w:t>
      </w:r>
      <w:r w:rsidRPr="00BF72FE">
        <w:rPr>
          <w:rStyle w:val="Strong"/>
          <w:rFonts w:eastAsiaTheme="majorEastAsia"/>
        </w:rPr>
        <w:t xml:space="preserve">nemo </w:t>
      </w:r>
      <w:proofErr w:type="spellStart"/>
      <w:r w:rsidRPr="00BF72FE">
        <w:rPr>
          <w:rStyle w:val="Strong"/>
          <w:rFonts w:eastAsiaTheme="majorEastAsia"/>
        </w:rPr>
        <w:t>dat</w:t>
      </w:r>
      <w:proofErr w:type="spellEnd"/>
      <w:r w:rsidRPr="00BF72FE">
        <w:t xml:space="preserve"> principle remains a cornerstone of property law, striking a foundational balance between the sanctity of ownership and the realities of commerce. However, its rigid application often leads to tension between these two objectives, especially in modern commercial contexts. While the rule safeguards true owners, its exceptions, as explored in subsequent sections, frequently </w:t>
      </w:r>
      <w:proofErr w:type="spellStart"/>
      <w:r w:rsidRPr="00BF72FE">
        <w:t>favor</w:t>
      </w:r>
      <w:proofErr w:type="spellEnd"/>
      <w:r w:rsidRPr="00BF72FE">
        <w:t xml:space="preserve"> purchasers at the expense of ownership security, raising critical questions about its effectiveness in achieving equitable outcomes.</w:t>
      </w:r>
    </w:p>
    <w:p w14:paraId="13F0AB38" w14:textId="77777777" w:rsidR="00665649" w:rsidRPr="00BF72FE" w:rsidRDefault="00665649" w:rsidP="00BF72FE">
      <w:pPr>
        <w:pStyle w:val="Heading3"/>
        <w:spacing w:line="276" w:lineRule="auto"/>
        <w:rPr>
          <w:rFonts w:ascii="Times New Roman" w:hAnsi="Times New Roman" w:cs="Times New Roman"/>
          <w:sz w:val="24"/>
          <w:szCs w:val="24"/>
        </w:rPr>
      </w:pPr>
      <w:r w:rsidRPr="00BF72FE">
        <w:rPr>
          <w:rStyle w:val="Strong"/>
          <w:rFonts w:ascii="Times New Roman" w:hAnsi="Times New Roman" w:cs="Times New Roman"/>
          <w:b w:val="0"/>
          <w:bCs w:val="0"/>
          <w:sz w:val="24"/>
          <w:szCs w:val="24"/>
        </w:rPr>
        <w:t>2. Exceptions to the Nemo Dat Rule</w:t>
      </w:r>
    </w:p>
    <w:p w14:paraId="02579239" w14:textId="3BECF58B" w:rsidR="00665649" w:rsidRPr="00BF72FE" w:rsidRDefault="00665649" w:rsidP="00BF72FE">
      <w:pPr>
        <w:pStyle w:val="NormalWeb"/>
        <w:spacing w:line="276" w:lineRule="auto"/>
      </w:pPr>
      <w:r w:rsidRPr="00BF72FE">
        <w:t xml:space="preserve">The maxim </w:t>
      </w:r>
      <w:r w:rsidRPr="00BF72FE">
        <w:rPr>
          <w:rStyle w:val="Strong"/>
          <w:rFonts w:eastAsiaTheme="majorEastAsia"/>
        </w:rPr>
        <w:t xml:space="preserve">nemo </w:t>
      </w:r>
      <w:proofErr w:type="spellStart"/>
      <w:r w:rsidRPr="00BF72FE">
        <w:rPr>
          <w:rStyle w:val="Strong"/>
          <w:rFonts w:eastAsiaTheme="majorEastAsia"/>
        </w:rPr>
        <w:t>dat</w:t>
      </w:r>
      <w:proofErr w:type="spellEnd"/>
      <w:r w:rsidRPr="00BF72FE">
        <w:rPr>
          <w:rStyle w:val="Strong"/>
          <w:rFonts w:eastAsiaTheme="majorEastAsia"/>
        </w:rPr>
        <w:t xml:space="preserve"> quod non </w:t>
      </w:r>
      <w:proofErr w:type="spellStart"/>
      <w:r w:rsidRPr="00BF72FE">
        <w:rPr>
          <w:rStyle w:val="Strong"/>
          <w:rFonts w:eastAsiaTheme="majorEastAsia"/>
        </w:rPr>
        <w:t>habet</w:t>
      </w:r>
      <w:proofErr w:type="spellEnd"/>
      <w:r w:rsidRPr="00BF72FE">
        <w:t xml:space="preserve">, codified in Section 21(1) of the Sale of Goods Act 1979 (SGA 1979), ensures that a non-owner cannot transfer better title than they possess, protecting the proprietary rights of true owners. However, in recognition of the practical needs of commerce, various statutory and common law exceptions have evolved. While these exceptions aim to balance ownership security with commercial fluidity, critics argue they often disproportionately </w:t>
      </w:r>
      <w:proofErr w:type="spellStart"/>
      <w:r w:rsidRPr="00BF72FE">
        <w:t>favor</w:t>
      </w:r>
      <w:proofErr w:type="spellEnd"/>
      <w:r w:rsidRPr="00BF72FE">
        <w:t xml:space="preserve"> good faith purchasers at the expense of original owners. As Graham Battersby aptly notes, "the law leans heavily towards facilitating trade, sometimes to the detriment of rightful ownership" (</w:t>
      </w:r>
      <w:r w:rsidRPr="00BF72FE">
        <w:rPr>
          <w:rStyle w:val="Emphasis"/>
          <w:rFonts w:eastAsiaTheme="majorEastAsia"/>
        </w:rPr>
        <w:t>The Sale of Stolen Goods: A Dilemma for the Law</w:t>
      </w:r>
      <w:r w:rsidRPr="00BF72FE">
        <w:t>, Graham Battersby, 1991).</w:t>
      </w:r>
    </w:p>
    <w:p w14:paraId="74913838" w14:textId="77777777" w:rsidR="00665649" w:rsidRPr="00BF72FE" w:rsidRDefault="00665649" w:rsidP="00BF72FE">
      <w:pPr>
        <w:pStyle w:val="Heading4"/>
        <w:spacing w:line="276" w:lineRule="auto"/>
        <w:rPr>
          <w:rFonts w:ascii="Times New Roman" w:hAnsi="Times New Roman" w:cs="Times New Roman"/>
        </w:rPr>
      </w:pPr>
      <w:r w:rsidRPr="00BF72FE">
        <w:rPr>
          <w:rStyle w:val="Strong"/>
          <w:rFonts w:ascii="Times New Roman" w:hAnsi="Times New Roman" w:cs="Times New Roman"/>
          <w:b w:val="0"/>
          <w:bCs w:val="0"/>
        </w:rPr>
        <w:t>1. Estoppel</w:t>
      </w:r>
    </w:p>
    <w:p w14:paraId="0226C04D" w14:textId="77777777" w:rsidR="00665649" w:rsidRPr="00BF72FE" w:rsidRDefault="00665649" w:rsidP="00BF72FE">
      <w:pPr>
        <w:pStyle w:val="NormalWeb"/>
        <w:spacing w:line="276" w:lineRule="auto"/>
      </w:pPr>
      <w:r w:rsidRPr="00BF72FE">
        <w:t>Under Section 21(1), estoppel prevents an owner from asserting their title when their actions, negligence, or representations induce a purchaser to rely on the seller’s apparent authority. However, courts have historically applied estoppel narrowly:</w:t>
      </w:r>
    </w:p>
    <w:p w14:paraId="23ABE912" w14:textId="77777777" w:rsidR="00665649" w:rsidRPr="00BF72FE" w:rsidRDefault="00665649" w:rsidP="00BF72FE">
      <w:pPr>
        <w:spacing w:before="100" w:beforeAutospacing="1" w:after="100" w:afterAutospacing="1" w:line="276" w:lineRule="auto"/>
      </w:pPr>
      <w:r w:rsidRPr="00BF72FE">
        <w:t xml:space="preserve">In </w:t>
      </w:r>
      <w:r w:rsidRPr="00BF72FE">
        <w:rPr>
          <w:rStyle w:val="Emphasis"/>
          <w:rFonts w:eastAsiaTheme="majorEastAsia"/>
        </w:rPr>
        <w:t xml:space="preserve">Moorgate Mercantile Co Ltd v </w:t>
      </w:r>
      <w:proofErr w:type="spellStart"/>
      <w:r w:rsidRPr="00BF72FE">
        <w:rPr>
          <w:rStyle w:val="Emphasis"/>
          <w:rFonts w:eastAsiaTheme="majorEastAsia"/>
        </w:rPr>
        <w:t>Twitchings</w:t>
      </w:r>
      <w:proofErr w:type="spellEnd"/>
      <w:r w:rsidRPr="00BF72FE">
        <w:t xml:space="preserve"> [1977] AC 890, the House of Lords rejected estoppel by negligence, holding that owners owe no duty of care to third parties in this context. The case emphasized that estoppel arises only where the owner’s conduct unequivocally misleads the purchaser.</w:t>
      </w:r>
    </w:p>
    <w:p w14:paraId="151919A2" w14:textId="77777777" w:rsidR="00665649" w:rsidRPr="00BF72FE" w:rsidRDefault="00665649" w:rsidP="00BF72FE">
      <w:pPr>
        <w:spacing w:before="100" w:beforeAutospacing="1" w:after="100" w:afterAutospacing="1" w:line="276" w:lineRule="auto"/>
      </w:pPr>
      <w:r w:rsidRPr="00BF72FE">
        <w:t>Angela Foster critiques this limited scope, observing that "the restrictive application of estoppel undermines its potential to achieve fairness for innocent purchasers" (</w:t>
      </w:r>
      <w:r w:rsidRPr="00BF72FE">
        <w:rPr>
          <w:rStyle w:val="Emphasis"/>
          <w:rFonts w:eastAsiaTheme="majorEastAsia"/>
        </w:rPr>
        <w:t>Sale by a Non-Owner: Striking a Fair Balance</w:t>
      </w:r>
      <w:r w:rsidRPr="00BF72FE">
        <w:t>, Angela Foster, 2004).</w:t>
      </w:r>
    </w:p>
    <w:p w14:paraId="32B147FE" w14:textId="3DE0D5E2" w:rsidR="00665649" w:rsidRPr="00BF72FE" w:rsidRDefault="00665649" w:rsidP="00BF72FE">
      <w:pPr>
        <w:spacing w:before="100" w:beforeAutospacing="1" w:after="100" w:afterAutospacing="1" w:line="276" w:lineRule="auto"/>
      </w:pPr>
      <w:r w:rsidRPr="00BF72FE">
        <w:lastRenderedPageBreak/>
        <w:t>Catherine Elliott echoes this sentiment, stating that "narrow judicial interpretation often leaves good faith purchasers unprotected despite their reasonable reliance" (</w:t>
      </w:r>
      <w:r w:rsidRPr="00BF72FE">
        <w:rPr>
          <w:rStyle w:val="Emphasis"/>
          <w:rFonts w:eastAsiaTheme="majorEastAsia"/>
        </w:rPr>
        <w:t>No Justice for Innocent Purchasers of Dishonestly Obtained Goods</w:t>
      </w:r>
      <w:r w:rsidRPr="00BF72FE">
        <w:t>, Catherine Elliott, 2004).</w:t>
      </w:r>
    </w:p>
    <w:p w14:paraId="5623A6BA" w14:textId="77777777" w:rsidR="00665649" w:rsidRPr="00BF72FE" w:rsidRDefault="00665649" w:rsidP="00BF72FE">
      <w:pPr>
        <w:pStyle w:val="Heading4"/>
        <w:spacing w:line="276" w:lineRule="auto"/>
        <w:rPr>
          <w:rFonts w:ascii="Times New Roman" w:hAnsi="Times New Roman" w:cs="Times New Roman"/>
        </w:rPr>
      </w:pPr>
      <w:r w:rsidRPr="00BF72FE">
        <w:rPr>
          <w:rStyle w:val="Strong"/>
          <w:rFonts w:ascii="Times New Roman" w:hAnsi="Times New Roman" w:cs="Times New Roman"/>
          <w:b w:val="0"/>
          <w:bCs w:val="0"/>
        </w:rPr>
        <w:t>2. Sale in Market Overt (Repealed in 1994)</w:t>
      </w:r>
    </w:p>
    <w:p w14:paraId="30C0040A" w14:textId="77777777" w:rsidR="00665649" w:rsidRPr="00BF72FE" w:rsidRDefault="00665649" w:rsidP="00BF72FE">
      <w:pPr>
        <w:pStyle w:val="NormalWeb"/>
        <w:spacing w:line="276" w:lineRule="auto"/>
      </w:pPr>
      <w:r w:rsidRPr="00BF72FE">
        <w:t>Historically, Section 22 of the SGA allowed good title to pass when goods were sold in market overt, provided the purchaser acted in good faith and without notice of any defect in title. This medieval exception prioritized commercial certainty over ownership security:</w:t>
      </w:r>
    </w:p>
    <w:p w14:paraId="5167BEA3" w14:textId="77777777" w:rsidR="00665649" w:rsidRPr="00BF72FE" w:rsidRDefault="00665649" w:rsidP="00BF72FE">
      <w:pPr>
        <w:numPr>
          <w:ilvl w:val="0"/>
          <w:numId w:val="14"/>
        </w:numPr>
        <w:spacing w:before="100" w:beforeAutospacing="1" w:after="100" w:afterAutospacing="1" w:line="276" w:lineRule="auto"/>
      </w:pPr>
      <w:r w:rsidRPr="00BF72FE">
        <w:t>Louise Merrett critiques the rule as "an anachronism rooted in outdated trade practices, unsuitable for modern commerce" (</w:t>
      </w:r>
      <w:r w:rsidRPr="00BF72FE">
        <w:rPr>
          <w:rStyle w:val="Emphasis"/>
          <w:rFonts w:eastAsiaTheme="majorEastAsia"/>
        </w:rPr>
        <w:t>The Importance of Delivery and Possession in the Passing of Title</w:t>
      </w:r>
      <w:r w:rsidRPr="00BF72FE">
        <w:t>, Louise Merrett, 2008).</w:t>
      </w:r>
    </w:p>
    <w:p w14:paraId="42D84F87" w14:textId="602D4B97" w:rsidR="00665649" w:rsidRPr="00BF72FE" w:rsidRDefault="00665649" w:rsidP="00BF72FE">
      <w:pPr>
        <w:numPr>
          <w:ilvl w:val="0"/>
          <w:numId w:val="14"/>
        </w:numPr>
        <w:spacing w:before="100" w:beforeAutospacing="1" w:after="100" w:afterAutospacing="1" w:line="276" w:lineRule="auto"/>
      </w:pPr>
      <w:r w:rsidRPr="00BF72FE">
        <w:t>Its abolition by the Sale of Goods (Amendment) Act 1994 reflects the legal system’s shift towards prioritizing ownership rights over commercial convenience. Nonetheless, this removal has sparked debate about the erosion of protections for good faith purchasers.</w:t>
      </w:r>
    </w:p>
    <w:p w14:paraId="7F6FBED0" w14:textId="77777777" w:rsidR="00665649" w:rsidRPr="00BF72FE" w:rsidRDefault="00665649" w:rsidP="00BF72FE">
      <w:pPr>
        <w:pStyle w:val="Heading4"/>
        <w:spacing w:line="276" w:lineRule="auto"/>
        <w:rPr>
          <w:rFonts w:ascii="Times New Roman" w:hAnsi="Times New Roman" w:cs="Times New Roman"/>
        </w:rPr>
      </w:pPr>
      <w:r w:rsidRPr="00BF72FE">
        <w:rPr>
          <w:rStyle w:val="Strong"/>
          <w:rFonts w:ascii="Times New Roman" w:hAnsi="Times New Roman" w:cs="Times New Roman"/>
          <w:b w:val="0"/>
          <w:bCs w:val="0"/>
        </w:rPr>
        <w:t>3. Sale by a Mercantile Agent</w:t>
      </w:r>
    </w:p>
    <w:p w14:paraId="7CF82A6B" w14:textId="77777777" w:rsidR="00665649" w:rsidRPr="00BF72FE" w:rsidRDefault="00665649" w:rsidP="00BF72FE">
      <w:pPr>
        <w:pStyle w:val="NormalWeb"/>
        <w:spacing w:line="276" w:lineRule="auto"/>
      </w:pPr>
      <w:r w:rsidRPr="00BF72FE">
        <w:t>Under Section 2(1) of the Factors Act 1889, a mercantile agent in possession of goods with the owner’s consent can transfer good title when acting within their ordinary course of business. This exception facilitates trade by enabling third parties to rely on the apparent authority of mercantile agents:</w:t>
      </w:r>
    </w:p>
    <w:p w14:paraId="57804A9F" w14:textId="77777777" w:rsidR="00665649" w:rsidRPr="00BF72FE" w:rsidRDefault="00665649" w:rsidP="00BF72FE">
      <w:pPr>
        <w:numPr>
          <w:ilvl w:val="0"/>
          <w:numId w:val="15"/>
        </w:numPr>
        <w:spacing w:before="100" w:beforeAutospacing="1" w:after="100" w:afterAutospacing="1" w:line="276" w:lineRule="auto"/>
      </w:pPr>
      <w:r w:rsidRPr="00BF72FE">
        <w:t xml:space="preserve">In </w:t>
      </w:r>
      <w:r w:rsidRPr="00BF72FE">
        <w:rPr>
          <w:rStyle w:val="Emphasis"/>
          <w:rFonts w:eastAsiaTheme="majorEastAsia"/>
        </w:rPr>
        <w:t>Pearson v Rose &amp; Young</w:t>
      </w:r>
      <w:r w:rsidRPr="00BF72FE">
        <w:t xml:space="preserve"> [1951] 1 KB 275, the court emphasized that the agent’s possession must be professional and authorized. Mere physical possession, absent legal authority, does not suffice.</w:t>
      </w:r>
    </w:p>
    <w:p w14:paraId="0D85EA52" w14:textId="7C87CF2D" w:rsidR="00665649" w:rsidRPr="00BF72FE" w:rsidRDefault="00665649" w:rsidP="00BF72FE">
      <w:pPr>
        <w:numPr>
          <w:ilvl w:val="0"/>
          <w:numId w:val="15"/>
        </w:numPr>
        <w:spacing w:before="100" w:beforeAutospacing="1" w:after="100" w:afterAutospacing="1" w:line="276" w:lineRule="auto"/>
      </w:pPr>
      <w:r w:rsidRPr="00BF72FE">
        <w:t>J.A. Hornby critiques the reliance on mercantile agency as "antiquated and misaligned with modern trade practices" (</w:t>
      </w:r>
      <w:r w:rsidRPr="00BF72FE">
        <w:rPr>
          <w:rStyle w:val="Emphasis"/>
          <w:rFonts w:eastAsiaTheme="majorEastAsia"/>
        </w:rPr>
        <w:t>Mercantile Agents and Car Registration Books</w:t>
      </w:r>
      <w:r w:rsidRPr="00BF72FE">
        <w:t>, J.A. Hornby, 1962). He suggests that stricter regulatory oversight is needed to prevent abuse.</w:t>
      </w:r>
    </w:p>
    <w:p w14:paraId="657B13A5" w14:textId="77777777" w:rsidR="00665649" w:rsidRPr="00BF72FE" w:rsidRDefault="00665649" w:rsidP="00BF72FE">
      <w:pPr>
        <w:pStyle w:val="Heading4"/>
        <w:spacing w:line="276" w:lineRule="auto"/>
        <w:rPr>
          <w:rFonts w:ascii="Times New Roman" w:hAnsi="Times New Roman" w:cs="Times New Roman"/>
        </w:rPr>
      </w:pPr>
      <w:r w:rsidRPr="00BF72FE">
        <w:rPr>
          <w:rStyle w:val="Strong"/>
          <w:rFonts w:ascii="Times New Roman" w:hAnsi="Times New Roman" w:cs="Times New Roman"/>
          <w:b w:val="0"/>
          <w:bCs w:val="0"/>
        </w:rPr>
        <w:t>4. Voidable Title</w:t>
      </w:r>
    </w:p>
    <w:p w14:paraId="3DAD8233" w14:textId="77777777" w:rsidR="00665649" w:rsidRPr="00BF72FE" w:rsidRDefault="00665649" w:rsidP="00BF72FE">
      <w:pPr>
        <w:pStyle w:val="NormalWeb"/>
        <w:spacing w:line="276" w:lineRule="auto"/>
      </w:pPr>
      <w:r w:rsidRPr="00BF72FE">
        <w:t>Under Section 23 of the SGA, good title can pass to a purchaser if the seller’s title is voidable but has not been rescinded at the time of sale:</w:t>
      </w:r>
    </w:p>
    <w:p w14:paraId="4468AF86" w14:textId="77777777" w:rsidR="00665649" w:rsidRPr="00BF72FE" w:rsidRDefault="00665649" w:rsidP="00BF72FE">
      <w:pPr>
        <w:numPr>
          <w:ilvl w:val="0"/>
          <w:numId w:val="16"/>
        </w:numPr>
        <w:spacing w:before="100" w:beforeAutospacing="1" w:after="100" w:afterAutospacing="1" w:line="276" w:lineRule="auto"/>
      </w:pPr>
      <w:r w:rsidRPr="00BF72FE">
        <w:t xml:space="preserve">In </w:t>
      </w:r>
      <w:r w:rsidRPr="00BF72FE">
        <w:rPr>
          <w:rStyle w:val="Emphasis"/>
          <w:rFonts w:eastAsiaTheme="majorEastAsia"/>
        </w:rPr>
        <w:t>Car &amp; Universal Finance Co v Caldwell</w:t>
      </w:r>
      <w:r w:rsidRPr="00BF72FE">
        <w:t xml:space="preserve"> [1965] 1 QB 525, the court held that notifying authorities was sufficient to rescind a contract. However, Angela Foster critiques this rule for imposing procedural burdens on owners, arguing that it "requires undue swiftness and precision in circumstances of fraud" (</w:t>
      </w:r>
      <w:r w:rsidRPr="00BF72FE">
        <w:rPr>
          <w:rStyle w:val="Emphasis"/>
          <w:rFonts w:eastAsiaTheme="majorEastAsia"/>
        </w:rPr>
        <w:t>Sale by a Non-Owner: Striking a Fair Balance</w:t>
      </w:r>
      <w:r w:rsidRPr="00BF72FE">
        <w:t>, Angela Foster, 2004).</w:t>
      </w:r>
    </w:p>
    <w:p w14:paraId="6BD7E594" w14:textId="3594E0EB" w:rsidR="00665649" w:rsidRPr="00BF72FE" w:rsidRDefault="00665649" w:rsidP="00BF72FE">
      <w:pPr>
        <w:numPr>
          <w:ilvl w:val="0"/>
          <w:numId w:val="16"/>
        </w:numPr>
        <w:spacing w:before="100" w:beforeAutospacing="1" w:after="100" w:afterAutospacing="1" w:line="276" w:lineRule="auto"/>
      </w:pPr>
      <w:r w:rsidRPr="00BF72FE">
        <w:t xml:space="preserve">The distinction between void and voidable titles has created significant legal complexity. As Catherine Elliott observes, "innocent purchasers often suffer due to technical </w:t>
      </w:r>
      <w:r w:rsidRPr="00BF72FE">
        <w:lastRenderedPageBreak/>
        <w:t>distinctions that are poorly understood" (</w:t>
      </w:r>
      <w:r w:rsidRPr="00BF72FE">
        <w:rPr>
          <w:rStyle w:val="Emphasis"/>
          <w:rFonts w:eastAsiaTheme="majorEastAsia"/>
        </w:rPr>
        <w:t>No Justice for Innocent Purchasers of Dishonestly Obtained Goods</w:t>
      </w:r>
      <w:r w:rsidRPr="00BF72FE">
        <w:t>, Catherine Elliott, 2004).</w:t>
      </w:r>
    </w:p>
    <w:p w14:paraId="548F4D95" w14:textId="77777777" w:rsidR="00665649" w:rsidRPr="00BF72FE" w:rsidRDefault="00665649" w:rsidP="00BF72FE">
      <w:pPr>
        <w:pStyle w:val="Heading4"/>
        <w:spacing w:line="276" w:lineRule="auto"/>
        <w:rPr>
          <w:rFonts w:ascii="Times New Roman" w:hAnsi="Times New Roman" w:cs="Times New Roman"/>
        </w:rPr>
      </w:pPr>
      <w:r w:rsidRPr="00BF72FE">
        <w:rPr>
          <w:rStyle w:val="Strong"/>
          <w:rFonts w:ascii="Times New Roman" w:hAnsi="Times New Roman" w:cs="Times New Roman"/>
          <w:b w:val="0"/>
          <w:bCs w:val="0"/>
        </w:rPr>
        <w:t>5. Seller or Buyer in Possession After Sale</w:t>
      </w:r>
    </w:p>
    <w:p w14:paraId="18A03FD9" w14:textId="77777777" w:rsidR="00665649" w:rsidRPr="00BF72FE" w:rsidRDefault="00665649" w:rsidP="00BF72FE">
      <w:pPr>
        <w:pStyle w:val="NormalWeb"/>
        <w:spacing w:line="276" w:lineRule="auto"/>
      </w:pPr>
      <w:r w:rsidRPr="00BF72FE">
        <w:t>Sections 24 and 25 of the SGA allow a seller or buyer in possession of goods post-transaction to transfer good title to an innocent third party:</w:t>
      </w:r>
    </w:p>
    <w:p w14:paraId="56BE1ED4" w14:textId="77777777" w:rsidR="00665649" w:rsidRPr="00BF72FE" w:rsidRDefault="00665649" w:rsidP="00BF72FE">
      <w:pPr>
        <w:numPr>
          <w:ilvl w:val="0"/>
          <w:numId w:val="17"/>
        </w:numPr>
        <w:spacing w:before="100" w:beforeAutospacing="1" w:after="100" w:afterAutospacing="1" w:line="276" w:lineRule="auto"/>
      </w:pPr>
      <w:r w:rsidRPr="00BF72FE">
        <w:t xml:space="preserve">In </w:t>
      </w:r>
      <w:r w:rsidRPr="00BF72FE">
        <w:rPr>
          <w:rStyle w:val="Emphasis"/>
          <w:rFonts w:eastAsiaTheme="majorEastAsia"/>
        </w:rPr>
        <w:t>Pacific Motor Auctions Pty Ltd v Motor Credits (Hire Finance) Ltd</w:t>
      </w:r>
      <w:r w:rsidRPr="00BF72FE">
        <w:t xml:space="preserve"> [1965] AC 867, the Privy Council held that continuous physical possession was sufficient, even where constructive delivery had occurred. This ruling blurs the distinction between legitimate and illegitimate transfers.</w:t>
      </w:r>
    </w:p>
    <w:p w14:paraId="751FC1C2" w14:textId="2F613DD2" w:rsidR="00665649" w:rsidRPr="00BF72FE" w:rsidRDefault="00665649" w:rsidP="00BF72FE">
      <w:pPr>
        <w:numPr>
          <w:ilvl w:val="0"/>
          <w:numId w:val="17"/>
        </w:numPr>
        <w:spacing w:before="100" w:beforeAutospacing="1" w:after="100" w:afterAutospacing="1" w:line="276" w:lineRule="auto"/>
      </w:pPr>
      <w:r w:rsidRPr="00BF72FE">
        <w:t>Louise Merrett critiques this exception for creating ambiguity, stating that it "leaves true owners vulnerable to exploitation and undermines ownership security" (</w:t>
      </w:r>
      <w:r w:rsidRPr="00BF72FE">
        <w:rPr>
          <w:rStyle w:val="Emphasis"/>
          <w:rFonts w:eastAsiaTheme="majorEastAsia"/>
        </w:rPr>
        <w:t>The Importance of Delivery and Possession in the Passing of Title</w:t>
      </w:r>
      <w:r w:rsidRPr="00BF72FE">
        <w:t>, Louise Merrett, 2008).</w:t>
      </w:r>
    </w:p>
    <w:p w14:paraId="5E5935AC" w14:textId="77777777" w:rsidR="00665649" w:rsidRPr="00BF72FE" w:rsidRDefault="00665649" w:rsidP="00BF72FE">
      <w:pPr>
        <w:pStyle w:val="Heading4"/>
        <w:spacing w:line="276" w:lineRule="auto"/>
        <w:rPr>
          <w:rFonts w:ascii="Times New Roman" w:hAnsi="Times New Roman" w:cs="Times New Roman"/>
        </w:rPr>
      </w:pPr>
      <w:r w:rsidRPr="00BF72FE">
        <w:rPr>
          <w:rStyle w:val="Strong"/>
          <w:rFonts w:ascii="Times New Roman" w:hAnsi="Times New Roman" w:cs="Times New Roman"/>
          <w:b w:val="0"/>
          <w:bCs w:val="0"/>
        </w:rPr>
        <w:t>6. Hire-Purchase Agreements</w:t>
      </w:r>
    </w:p>
    <w:p w14:paraId="1F6CED9D" w14:textId="77777777" w:rsidR="00665649" w:rsidRPr="00BF72FE" w:rsidRDefault="00665649" w:rsidP="00BF72FE">
      <w:pPr>
        <w:pStyle w:val="NormalWeb"/>
        <w:spacing w:line="276" w:lineRule="auto"/>
      </w:pPr>
      <w:r w:rsidRPr="00BF72FE">
        <w:t>Section 27 of the Hire Purchase Act 1964 allows private purchasers to acquire good title to vehicles sold by hirers in good faith:</w:t>
      </w:r>
    </w:p>
    <w:p w14:paraId="45B4941C" w14:textId="0F772A21" w:rsidR="00665649" w:rsidRPr="00BF72FE" w:rsidRDefault="00665649" w:rsidP="00BF72FE">
      <w:pPr>
        <w:spacing w:before="100" w:beforeAutospacing="1" w:after="100" w:afterAutospacing="1" w:line="276" w:lineRule="auto"/>
      </w:pPr>
      <w:r w:rsidRPr="00BF72FE">
        <w:t xml:space="preserve">In </w:t>
      </w:r>
      <w:r w:rsidRPr="00BF72FE">
        <w:rPr>
          <w:rStyle w:val="Emphasis"/>
          <w:rFonts w:eastAsiaTheme="majorEastAsia"/>
        </w:rPr>
        <w:t>Shogun Finance Ltd v Hudson</w:t>
      </w:r>
      <w:r w:rsidRPr="00BF72FE">
        <w:t xml:space="preserve"> [2003] UKHL 62, the House of Lords ruled that a fraudster under a hire-purchase agreement could not pass good title, leaving the innocent purchaser without recourse. Catherine Elliott critiques this decision as "unjustly prioritizing contractual certainty over fairness to good faith purchasers" (</w:t>
      </w:r>
      <w:r w:rsidRPr="00BF72FE">
        <w:rPr>
          <w:rStyle w:val="Emphasis"/>
          <w:rFonts w:eastAsiaTheme="majorEastAsia"/>
        </w:rPr>
        <w:t>No Justice for Innocent Purchasers of Dishonestly Obtained Goods</w:t>
      </w:r>
      <w:r w:rsidRPr="00BF72FE">
        <w:t>, Catherine Elliott, 2004).</w:t>
      </w:r>
    </w:p>
    <w:p w14:paraId="3BA2DB7A" w14:textId="77777777" w:rsidR="00665649" w:rsidRPr="00BF72FE" w:rsidRDefault="00665649" w:rsidP="00BF72FE">
      <w:pPr>
        <w:pStyle w:val="Heading3"/>
        <w:spacing w:line="276" w:lineRule="auto"/>
        <w:rPr>
          <w:rFonts w:ascii="Times New Roman" w:hAnsi="Times New Roman" w:cs="Times New Roman"/>
          <w:sz w:val="24"/>
          <w:szCs w:val="24"/>
        </w:rPr>
      </w:pPr>
      <w:r w:rsidRPr="00BF72FE">
        <w:rPr>
          <w:rStyle w:val="Strong"/>
          <w:rFonts w:ascii="Times New Roman" w:hAnsi="Times New Roman" w:cs="Times New Roman"/>
          <w:b w:val="0"/>
          <w:bCs w:val="0"/>
          <w:sz w:val="24"/>
          <w:szCs w:val="24"/>
        </w:rPr>
        <w:t>Evaluation of the Exceptions</w:t>
      </w:r>
    </w:p>
    <w:p w14:paraId="71CAA0F9" w14:textId="77777777" w:rsidR="00665649" w:rsidRPr="00BF72FE" w:rsidRDefault="00665649" w:rsidP="00BF72FE">
      <w:pPr>
        <w:pStyle w:val="NormalWeb"/>
        <w:spacing w:line="276" w:lineRule="auto"/>
      </w:pPr>
      <w:r w:rsidRPr="00BF72FE">
        <w:t xml:space="preserve">While these exceptions seek to balance ownership rights with the needs of commerce, they often disproportionately </w:t>
      </w:r>
      <w:proofErr w:type="spellStart"/>
      <w:r w:rsidRPr="00BF72FE">
        <w:t>favor</w:t>
      </w:r>
      <w:proofErr w:type="spellEnd"/>
      <w:r w:rsidRPr="00BF72FE">
        <w:t xml:space="preserve"> good faith purchasers, leaving true owners inadequately protected. Scholars such as </w:t>
      </w:r>
      <w:proofErr w:type="spellStart"/>
      <w:r w:rsidRPr="00BF72FE">
        <w:t>Thornely</w:t>
      </w:r>
      <w:proofErr w:type="spellEnd"/>
      <w:r w:rsidRPr="00BF72FE">
        <w:t xml:space="preserve"> and Battersby highlight the need for clearer legislative frameworks and more consistent judicial interpretation to address these imbalances (</w:t>
      </w:r>
      <w:r w:rsidRPr="00BF72FE">
        <w:rPr>
          <w:rStyle w:val="Emphasis"/>
          <w:rFonts w:eastAsiaTheme="majorEastAsia"/>
        </w:rPr>
        <w:t>Thieves, Rogues, Innocent Purchasers and Legislative Tangles</w:t>
      </w:r>
      <w:r w:rsidRPr="00BF72FE">
        <w:t xml:space="preserve">, J.W.A. </w:t>
      </w:r>
      <w:proofErr w:type="spellStart"/>
      <w:r w:rsidRPr="00BF72FE">
        <w:t>Thornely</w:t>
      </w:r>
      <w:proofErr w:type="spellEnd"/>
      <w:r w:rsidRPr="00BF72FE">
        <w:t xml:space="preserve">, 1988; </w:t>
      </w:r>
      <w:r w:rsidRPr="00BF72FE">
        <w:rPr>
          <w:rStyle w:val="Emphasis"/>
          <w:rFonts w:eastAsiaTheme="majorEastAsia"/>
        </w:rPr>
        <w:t>The Sale of Stolen Goods: A Dilemma for the Law</w:t>
      </w:r>
      <w:r w:rsidRPr="00BF72FE">
        <w:t>, Graham Battersby, 1991).</w:t>
      </w:r>
    </w:p>
    <w:p w14:paraId="4BC914E7" w14:textId="6B3B299C" w:rsidR="00494D91" w:rsidRPr="00AC52C5" w:rsidRDefault="00494D91" w:rsidP="00BF72FE">
      <w:pPr>
        <w:pStyle w:val="Heading3"/>
        <w:spacing w:line="276" w:lineRule="auto"/>
        <w:rPr>
          <w:rFonts w:ascii="Times New Roman" w:eastAsia="Times New Roman" w:hAnsi="Times New Roman" w:cs="Times New Roman"/>
          <w:sz w:val="24"/>
          <w:szCs w:val="24"/>
        </w:rPr>
      </w:pPr>
      <w:r w:rsidRPr="00AC52C5">
        <w:rPr>
          <w:rFonts w:ascii="Times New Roman" w:eastAsia="Times New Roman" w:hAnsi="Times New Roman" w:cs="Times New Roman"/>
          <w:sz w:val="24"/>
          <w:szCs w:val="24"/>
        </w:rPr>
        <w:t>3. Critiques of the Nemo Dat Rule and Its Exceptions</w:t>
      </w:r>
    </w:p>
    <w:p w14:paraId="73B4850A" w14:textId="77777777" w:rsidR="00033194" w:rsidRPr="00BF72FE" w:rsidRDefault="00033194" w:rsidP="00BF72FE">
      <w:pPr>
        <w:spacing w:before="100" w:beforeAutospacing="1" w:after="100" w:afterAutospacing="1" w:line="276" w:lineRule="auto"/>
        <w:outlineLvl w:val="3"/>
      </w:pPr>
      <w:r w:rsidRPr="00BF72FE">
        <w:t xml:space="preserve">The </w:t>
      </w:r>
      <w:r w:rsidRPr="00BF72FE">
        <w:rPr>
          <w:rStyle w:val="Strong"/>
          <w:rFonts w:eastAsiaTheme="majorEastAsia"/>
        </w:rPr>
        <w:t xml:space="preserve">nemo </w:t>
      </w:r>
      <w:proofErr w:type="spellStart"/>
      <w:r w:rsidRPr="00BF72FE">
        <w:rPr>
          <w:rStyle w:val="Strong"/>
          <w:rFonts w:eastAsiaTheme="majorEastAsia"/>
        </w:rPr>
        <w:t>dat</w:t>
      </w:r>
      <w:proofErr w:type="spellEnd"/>
      <w:r w:rsidRPr="00BF72FE">
        <w:rPr>
          <w:rStyle w:val="Strong"/>
          <w:rFonts w:eastAsiaTheme="majorEastAsia"/>
        </w:rPr>
        <w:t xml:space="preserve"> quod non </w:t>
      </w:r>
      <w:proofErr w:type="spellStart"/>
      <w:r w:rsidRPr="00BF72FE">
        <w:rPr>
          <w:rStyle w:val="Strong"/>
          <w:rFonts w:eastAsiaTheme="majorEastAsia"/>
        </w:rPr>
        <w:t>habet</w:t>
      </w:r>
      <w:proofErr w:type="spellEnd"/>
      <w:r w:rsidRPr="00BF72FE">
        <w:t xml:space="preserve"> principle, while foundational to property law, has drawn extensive criticism for its rigid application and the fragmented nature of its statutory exceptions. Critics argue that these exceptions fail to strike a cohesive balance between ownership security and the facilitation of commerce. As J.W.A. </w:t>
      </w:r>
      <w:proofErr w:type="spellStart"/>
      <w:r w:rsidRPr="00BF72FE">
        <w:t>Thornely</w:t>
      </w:r>
      <w:proofErr w:type="spellEnd"/>
      <w:r w:rsidRPr="00BF72FE">
        <w:t xml:space="preserve"> observes, "the framework is a tangle of overlapping provisions that create unnecessary complexity" (</w:t>
      </w:r>
      <w:r w:rsidRPr="00BF72FE">
        <w:rPr>
          <w:rStyle w:val="Emphasis"/>
          <w:rFonts w:eastAsiaTheme="majorEastAsia"/>
        </w:rPr>
        <w:t>Thieves, Rogues, Innocent Purchasers and Legislative Tangles</w:t>
      </w:r>
      <w:r w:rsidRPr="00BF72FE">
        <w:t xml:space="preserve">, J.W.A. </w:t>
      </w:r>
      <w:proofErr w:type="spellStart"/>
      <w:r w:rsidRPr="00BF72FE">
        <w:t>Thornely</w:t>
      </w:r>
      <w:proofErr w:type="spellEnd"/>
      <w:r w:rsidRPr="00BF72FE">
        <w:t xml:space="preserve">, 1988). Louise Merrett similarly critiques the exceptions as "piecemeal solutions that fail to </w:t>
      </w:r>
      <w:r w:rsidRPr="00BF72FE">
        <w:lastRenderedPageBreak/>
        <w:t>adequately balance competing proprietary and commercial interests" (</w:t>
      </w:r>
      <w:r w:rsidRPr="00BF72FE">
        <w:rPr>
          <w:rStyle w:val="Emphasis"/>
          <w:rFonts w:eastAsiaTheme="majorEastAsia"/>
        </w:rPr>
        <w:t>The Importance of Delivery and Possession in the Passing of Title</w:t>
      </w:r>
      <w:r w:rsidRPr="00BF72FE">
        <w:t>, Louise Merrett, 2008).</w:t>
      </w:r>
    </w:p>
    <w:p w14:paraId="72F6EA05" w14:textId="77777777" w:rsidR="00033194" w:rsidRPr="00BF72FE" w:rsidRDefault="00033194" w:rsidP="00BF72FE">
      <w:pPr>
        <w:pStyle w:val="Heading4"/>
        <w:spacing w:line="276" w:lineRule="auto"/>
        <w:rPr>
          <w:rFonts w:ascii="Times New Roman" w:hAnsi="Times New Roman" w:cs="Times New Roman"/>
        </w:rPr>
      </w:pPr>
      <w:r w:rsidRPr="00BF72FE">
        <w:rPr>
          <w:rStyle w:val="Strong"/>
          <w:rFonts w:ascii="Times New Roman" w:hAnsi="Times New Roman" w:cs="Times New Roman"/>
          <w:b w:val="0"/>
          <w:bCs w:val="0"/>
        </w:rPr>
        <w:t>1. Overemphasis on Proprietary Rights</w:t>
      </w:r>
    </w:p>
    <w:p w14:paraId="057CC339" w14:textId="77777777" w:rsidR="00033194" w:rsidRPr="00BF72FE" w:rsidRDefault="00033194" w:rsidP="00BF72FE">
      <w:pPr>
        <w:pStyle w:val="NormalWeb"/>
        <w:spacing w:line="276" w:lineRule="auto"/>
      </w:pPr>
      <w:r w:rsidRPr="00BF72FE">
        <w:t xml:space="preserve">The </w:t>
      </w:r>
      <w:r w:rsidRPr="00BF72FE">
        <w:rPr>
          <w:rStyle w:val="Strong"/>
          <w:rFonts w:eastAsiaTheme="majorEastAsia"/>
        </w:rPr>
        <w:t xml:space="preserve">nemo </w:t>
      </w:r>
      <w:proofErr w:type="spellStart"/>
      <w:r w:rsidRPr="00BF72FE">
        <w:rPr>
          <w:rStyle w:val="Strong"/>
          <w:rFonts w:eastAsiaTheme="majorEastAsia"/>
        </w:rPr>
        <w:t>dat</w:t>
      </w:r>
      <w:proofErr w:type="spellEnd"/>
      <w:r w:rsidRPr="00BF72FE">
        <w:t xml:space="preserve"> rule's strict prioritization of ownership rights often results in unfair outcomes for good faith purchasers, particularly in situations where fairness demands a more equitable resolution:</w:t>
      </w:r>
    </w:p>
    <w:p w14:paraId="1E5A097F" w14:textId="77777777" w:rsidR="00033194" w:rsidRPr="00BF72FE" w:rsidRDefault="00033194" w:rsidP="00BF72FE">
      <w:pPr>
        <w:numPr>
          <w:ilvl w:val="0"/>
          <w:numId w:val="19"/>
        </w:numPr>
        <w:spacing w:before="100" w:beforeAutospacing="1" w:after="100" w:afterAutospacing="1" w:line="276" w:lineRule="auto"/>
      </w:pPr>
      <w:r w:rsidRPr="00BF72FE">
        <w:t>Louise Merrett argues that the principle ensures ownership remains "sacrosanct even when it creates inequitable outcomes for good faith buyers acting reasonably" (</w:t>
      </w:r>
      <w:r w:rsidRPr="00BF72FE">
        <w:rPr>
          <w:rStyle w:val="Emphasis"/>
          <w:rFonts w:eastAsiaTheme="majorEastAsia"/>
        </w:rPr>
        <w:t>The Importance of Delivery and Possession in the Passing of Title</w:t>
      </w:r>
      <w:r w:rsidRPr="00BF72FE">
        <w:t>, Louise Merrett, 2008). This rigidity frequently conflicts with modern commercial practices where possession often signals ownership.</w:t>
      </w:r>
    </w:p>
    <w:p w14:paraId="7F2B11EB" w14:textId="77777777" w:rsidR="00033194" w:rsidRPr="00BF72FE" w:rsidRDefault="00033194" w:rsidP="00BF72FE">
      <w:pPr>
        <w:numPr>
          <w:ilvl w:val="0"/>
          <w:numId w:val="19"/>
        </w:numPr>
        <w:spacing w:before="100" w:beforeAutospacing="1" w:after="100" w:afterAutospacing="1" w:line="276" w:lineRule="auto"/>
      </w:pPr>
      <w:r w:rsidRPr="00BF72FE">
        <w:t xml:space="preserve">In </w:t>
      </w:r>
      <w:r w:rsidRPr="00BF72FE">
        <w:rPr>
          <w:rStyle w:val="Emphasis"/>
          <w:rFonts w:eastAsiaTheme="majorEastAsia"/>
        </w:rPr>
        <w:t>National Employers’ Mutual General Insurance Association v Jones</w:t>
      </w:r>
      <w:r w:rsidRPr="00BF72FE">
        <w:t xml:space="preserve"> [1990] AC 24, the House of Lords upheld the strict application of ownership rights, rejecting a purchaser’s claim under Section 25 of the Sale of Goods Act 1979. </w:t>
      </w:r>
      <w:proofErr w:type="spellStart"/>
      <w:r w:rsidRPr="00BF72FE">
        <w:t>Thornely</w:t>
      </w:r>
      <w:proofErr w:type="spellEnd"/>
      <w:r w:rsidRPr="00BF72FE">
        <w:t xml:space="preserve"> critiques this judgment for reinforcing the "enduring preference for original ownership over the fluidity required in commercial transactions" (</w:t>
      </w:r>
      <w:r w:rsidRPr="00BF72FE">
        <w:rPr>
          <w:rStyle w:val="Emphasis"/>
          <w:rFonts w:eastAsiaTheme="majorEastAsia"/>
        </w:rPr>
        <w:t>Thieves, Rogues, Innocent Purchasers and Legislative Tangles</w:t>
      </w:r>
      <w:r w:rsidRPr="00BF72FE">
        <w:t xml:space="preserve">, J.W.A. </w:t>
      </w:r>
      <w:proofErr w:type="spellStart"/>
      <w:r w:rsidRPr="00BF72FE">
        <w:t>Thornely</w:t>
      </w:r>
      <w:proofErr w:type="spellEnd"/>
      <w:r w:rsidRPr="00BF72FE">
        <w:t>, 1988).</w:t>
      </w:r>
    </w:p>
    <w:p w14:paraId="325B5AD5" w14:textId="77777777" w:rsidR="00033194" w:rsidRPr="00BF72FE" w:rsidRDefault="00033194" w:rsidP="00BF72FE">
      <w:pPr>
        <w:numPr>
          <w:ilvl w:val="0"/>
          <w:numId w:val="19"/>
        </w:numPr>
        <w:spacing w:before="100" w:beforeAutospacing="1" w:after="100" w:afterAutospacing="1" w:line="276" w:lineRule="auto"/>
      </w:pPr>
      <w:r w:rsidRPr="00BF72FE">
        <w:t xml:space="preserve">Graham Battersby adds that the framework "unduly </w:t>
      </w:r>
      <w:proofErr w:type="spellStart"/>
      <w:r w:rsidRPr="00BF72FE">
        <w:t>favors</w:t>
      </w:r>
      <w:proofErr w:type="spellEnd"/>
      <w:r w:rsidRPr="00BF72FE">
        <w:t xml:space="preserve"> true owners while exposing purchasers to disproportionate risks," particularly in cases involving stolen goods (</w:t>
      </w:r>
      <w:r w:rsidRPr="00BF72FE">
        <w:rPr>
          <w:rStyle w:val="Emphasis"/>
          <w:rFonts w:eastAsiaTheme="majorEastAsia"/>
        </w:rPr>
        <w:t>The Sale of Stolen Goods: A Dilemma for the Law</w:t>
      </w:r>
      <w:r w:rsidRPr="00BF72FE">
        <w:t>, Graham Battersby, 1991).</w:t>
      </w:r>
    </w:p>
    <w:p w14:paraId="751883F3" w14:textId="77777777" w:rsidR="00033194" w:rsidRPr="00BF72FE" w:rsidRDefault="00033194" w:rsidP="00BF72FE">
      <w:pPr>
        <w:pStyle w:val="Heading4"/>
        <w:spacing w:line="276" w:lineRule="auto"/>
        <w:rPr>
          <w:rFonts w:ascii="Times New Roman" w:hAnsi="Times New Roman" w:cs="Times New Roman"/>
        </w:rPr>
      </w:pPr>
      <w:r w:rsidRPr="00BF72FE">
        <w:rPr>
          <w:rStyle w:val="Strong"/>
          <w:rFonts w:ascii="Times New Roman" w:hAnsi="Times New Roman" w:cs="Times New Roman"/>
          <w:b w:val="0"/>
          <w:bCs w:val="0"/>
        </w:rPr>
        <w:t>2. Fragmented and Complex Exceptions</w:t>
      </w:r>
    </w:p>
    <w:p w14:paraId="488AEDA0" w14:textId="77777777" w:rsidR="00033194" w:rsidRPr="00BF72FE" w:rsidRDefault="00033194" w:rsidP="00BF72FE">
      <w:pPr>
        <w:pStyle w:val="NormalWeb"/>
        <w:spacing w:line="276" w:lineRule="auto"/>
      </w:pPr>
      <w:r w:rsidRPr="00BF72FE">
        <w:t xml:space="preserve">The statutory exceptions to the </w:t>
      </w:r>
      <w:r w:rsidRPr="00BF72FE">
        <w:rPr>
          <w:rStyle w:val="Strong"/>
          <w:rFonts w:eastAsiaTheme="majorEastAsia"/>
        </w:rPr>
        <w:t xml:space="preserve">nemo </w:t>
      </w:r>
      <w:proofErr w:type="spellStart"/>
      <w:r w:rsidRPr="00BF72FE">
        <w:rPr>
          <w:rStyle w:val="Strong"/>
          <w:rFonts w:eastAsiaTheme="majorEastAsia"/>
        </w:rPr>
        <w:t>dat</w:t>
      </w:r>
      <w:proofErr w:type="spellEnd"/>
      <w:r w:rsidRPr="00BF72FE">
        <w:t xml:space="preserve"> rule, such as estoppel, voidable title, and sales by mercantile agents, are widely criticized for their inconsistency and technical complexity:</w:t>
      </w:r>
    </w:p>
    <w:p w14:paraId="14CADFA1" w14:textId="77777777" w:rsidR="00033194" w:rsidRPr="00BF72FE" w:rsidRDefault="00033194" w:rsidP="00BF72FE">
      <w:pPr>
        <w:numPr>
          <w:ilvl w:val="0"/>
          <w:numId w:val="20"/>
        </w:numPr>
        <w:spacing w:before="100" w:beforeAutospacing="1" w:after="100" w:afterAutospacing="1" w:line="276" w:lineRule="auto"/>
      </w:pPr>
      <w:proofErr w:type="spellStart"/>
      <w:r w:rsidRPr="00BF72FE">
        <w:t>Thornely</w:t>
      </w:r>
      <w:proofErr w:type="spellEnd"/>
      <w:r w:rsidRPr="00BF72FE">
        <w:t xml:space="preserve"> highlights that "the duplication of provisions between the Factors Act 1889 and the Sale of Goods Act 1979 leads to conflicting interpretations and outcomes" (</w:t>
      </w:r>
      <w:r w:rsidRPr="00BF72FE">
        <w:rPr>
          <w:rStyle w:val="Emphasis"/>
          <w:rFonts w:eastAsiaTheme="majorEastAsia"/>
        </w:rPr>
        <w:t>Thieves, Rogues, Innocent Purchasers and Legislative Tangles</w:t>
      </w:r>
      <w:r w:rsidRPr="00BF72FE">
        <w:t xml:space="preserve">, J.W.A. </w:t>
      </w:r>
      <w:proofErr w:type="spellStart"/>
      <w:r w:rsidRPr="00BF72FE">
        <w:t>Thornely</w:t>
      </w:r>
      <w:proofErr w:type="spellEnd"/>
      <w:r w:rsidRPr="00BF72FE">
        <w:t>, 1988).</w:t>
      </w:r>
    </w:p>
    <w:p w14:paraId="45F1E86C" w14:textId="77777777" w:rsidR="00033194" w:rsidRPr="00BF72FE" w:rsidRDefault="00033194" w:rsidP="00BF72FE">
      <w:pPr>
        <w:numPr>
          <w:ilvl w:val="0"/>
          <w:numId w:val="20"/>
        </w:numPr>
        <w:spacing w:before="100" w:beforeAutospacing="1" w:after="100" w:afterAutospacing="1" w:line="276" w:lineRule="auto"/>
      </w:pPr>
      <w:r w:rsidRPr="00BF72FE">
        <w:t>Merrett argues that the exceptions lack a unified approach, creating ambiguities that undermine their efficacy in balancing ownership security and commercial needs (</w:t>
      </w:r>
      <w:r w:rsidRPr="00BF72FE">
        <w:rPr>
          <w:rStyle w:val="Emphasis"/>
          <w:rFonts w:eastAsiaTheme="majorEastAsia"/>
        </w:rPr>
        <w:t>The Importance of Delivery and Possession in the Passing of Title</w:t>
      </w:r>
      <w:r w:rsidRPr="00BF72FE">
        <w:t>, Louise Merrett, 2008).</w:t>
      </w:r>
    </w:p>
    <w:p w14:paraId="6C6E5544" w14:textId="77777777" w:rsidR="00033194" w:rsidRPr="00BF72FE" w:rsidRDefault="00033194" w:rsidP="00BF72FE">
      <w:pPr>
        <w:numPr>
          <w:ilvl w:val="0"/>
          <w:numId w:val="20"/>
        </w:numPr>
        <w:spacing w:before="100" w:beforeAutospacing="1" w:after="100" w:afterAutospacing="1" w:line="276" w:lineRule="auto"/>
      </w:pPr>
      <w:r w:rsidRPr="00BF72FE">
        <w:t xml:space="preserve">The doctrine of estoppel, a key exception under Section 21(1) of the SGA, has been applied narrowly. In </w:t>
      </w:r>
      <w:r w:rsidRPr="00BF72FE">
        <w:rPr>
          <w:rStyle w:val="Emphasis"/>
          <w:rFonts w:eastAsiaTheme="majorEastAsia"/>
        </w:rPr>
        <w:t xml:space="preserve">Moorgate Mercantile Co Ltd v </w:t>
      </w:r>
      <w:proofErr w:type="spellStart"/>
      <w:r w:rsidRPr="00BF72FE">
        <w:rPr>
          <w:rStyle w:val="Emphasis"/>
          <w:rFonts w:eastAsiaTheme="majorEastAsia"/>
        </w:rPr>
        <w:t>Twitchings</w:t>
      </w:r>
      <w:proofErr w:type="spellEnd"/>
      <w:r w:rsidRPr="00BF72FE">
        <w:t xml:space="preserve"> [1977] AC 890, the House of Lords rejected estoppel by negligence, emphasizing that true owners owe no duty of care to third parties. Catherine Elliott critiques this restrictive approach, noting that "the doctrine of estoppel is applied too narrowly to protect innocent purchasers adequately" (</w:t>
      </w:r>
      <w:r w:rsidRPr="00BF72FE">
        <w:rPr>
          <w:rStyle w:val="Emphasis"/>
          <w:rFonts w:eastAsiaTheme="majorEastAsia"/>
        </w:rPr>
        <w:t>No Justice for Innocent Purchasers of Dishonestly Obtained Goods</w:t>
      </w:r>
      <w:r w:rsidRPr="00BF72FE">
        <w:t>, Catherine Elliott, 2004).</w:t>
      </w:r>
    </w:p>
    <w:p w14:paraId="6997324E" w14:textId="3D564D23" w:rsidR="00494D91" w:rsidRPr="00BF72FE" w:rsidRDefault="00494D91" w:rsidP="00BF72FE">
      <w:pPr>
        <w:spacing w:before="100" w:beforeAutospacing="1" w:after="100" w:afterAutospacing="1" w:line="276" w:lineRule="auto"/>
        <w:outlineLvl w:val="3"/>
        <w:rPr>
          <w:color w:val="2F5496" w:themeColor="accent1" w:themeShade="BF"/>
        </w:rPr>
      </w:pPr>
      <w:r w:rsidRPr="00BF72FE">
        <w:rPr>
          <w:color w:val="2F5496" w:themeColor="accent1" w:themeShade="BF"/>
        </w:rPr>
        <w:t>3. Injustice to Good Faith Purchasers</w:t>
      </w:r>
    </w:p>
    <w:p w14:paraId="6871DA29" w14:textId="77777777" w:rsidR="00494D91" w:rsidRPr="00BF72FE" w:rsidRDefault="00494D91" w:rsidP="00BF72FE">
      <w:pPr>
        <w:spacing w:before="100" w:beforeAutospacing="1" w:after="100" w:afterAutospacing="1" w:line="276" w:lineRule="auto"/>
      </w:pPr>
      <w:r w:rsidRPr="00BF72FE">
        <w:lastRenderedPageBreak/>
        <w:t xml:space="preserve">Good faith purchasers often bear the brunt of the </w:t>
      </w:r>
      <w:r w:rsidRPr="00BF72FE">
        <w:rPr>
          <w:b/>
          <w:bCs/>
        </w:rPr>
        <w:t xml:space="preserve">nemo </w:t>
      </w:r>
      <w:proofErr w:type="spellStart"/>
      <w:r w:rsidRPr="00BF72FE">
        <w:rPr>
          <w:b/>
          <w:bCs/>
        </w:rPr>
        <w:t>dat</w:t>
      </w:r>
      <w:proofErr w:type="spellEnd"/>
      <w:r w:rsidRPr="00BF72FE">
        <w:t xml:space="preserve"> rule, particularly in cases involving fraudulent transactions or stolen goods. The current framework undermines commercial certainty by failing to adequately protect innocent buyers who act reasonably and in reliance on possession as an indicator of ownership.</w:t>
      </w:r>
    </w:p>
    <w:p w14:paraId="693CD1B1" w14:textId="299389C5" w:rsidR="00033194" w:rsidRPr="00BF72FE" w:rsidRDefault="00BF72FE" w:rsidP="00BF72FE">
      <w:pPr>
        <w:spacing w:line="276" w:lineRule="auto"/>
      </w:pPr>
      <w:proofErr w:type="spellStart"/>
      <w:r w:rsidRPr="00BF72FE">
        <w:t>i</w:t>
      </w:r>
      <w:proofErr w:type="spellEnd"/>
      <w:r w:rsidRPr="00BF72FE">
        <w:t xml:space="preserve">. </w:t>
      </w:r>
      <w:r w:rsidR="00033194" w:rsidRPr="00BF72FE">
        <w:t xml:space="preserve">In </w:t>
      </w:r>
      <w:r w:rsidR="00033194" w:rsidRPr="00BF72FE">
        <w:rPr>
          <w:rStyle w:val="Emphasis"/>
          <w:rFonts w:eastAsiaTheme="majorEastAsia"/>
        </w:rPr>
        <w:t>Shogun Finance Ltd v Hudson</w:t>
      </w:r>
      <w:r w:rsidR="00033194" w:rsidRPr="00BF72FE">
        <w:t xml:space="preserve"> [2003] UKHL 62, the House of Lords prioritized contractual certainty over the rights of a good faith purchaser, ruling that a fraudulent hire-purchase agreement rendered the purchaser’s title void. Elliott criticizes this decision as "unjustly disregarding the equitable interests of innocent purchasers" (</w:t>
      </w:r>
      <w:r w:rsidR="00033194" w:rsidRPr="00BF72FE">
        <w:rPr>
          <w:rStyle w:val="Emphasis"/>
          <w:rFonts w:eastAsiaTheme="majorEastAsia"/>
        </w:rPr>
        <w:t>No Justice for Innocent Purchasers of Dishonestly Obtained Goods</w:t>
      </w:r>
      <w:r w:rsidR="00033194" w:rsidRPr="00BF72FE">
        <w:t>, Catherine Elliott, 2004).</w:t>
      </w:r>
    </w:p>
    <w:p w14:paraId="790094A7" w14:textId="480F82D5" w:rsidR="00BF72FE" w:rsidRPr="00BF72FE" w:rsidRDefault="00BF72FE" w:rsidP="00BF72FE">
      <w:pPr>
        <w:pStyle w:val="Heading3"/>
        <w:spacing w:line="276" w:lineRule="auto"/>
        <w:rPr>
          <w:rFonts w:ascii="Times New Roman" w:hAnsi="Times New Roman" w:cs="Times New Roman"/>
          <w:sz w:val="24"/>
          <w:szCs w:val="24"/>
        </w:rPr>
      </w:pPr>
      <w:r w:rsidRPr="00BF72FE">
        <w:rPr>
          <w:rStyle w:val="Strong"/>
          <w:rFonts w:ascii="Times New Roman" w:hAnsi="Times New Roman" w:cs="Times New Roman"/>
          <w:b w:val="0"/>
          <w:bCs w:val="0"/>
          <w:sz w:val="24"/>
          <w:szCs w:val="24"/>
        </w:rPr>
        <w:t xml:space="preserve">Case details: </w:t>
      </w:r>
      <w:r w:rsidRPr="00BF72FE">
        <w:rPr>
          <w:rStyle w:val="Strong"/>
          <w:rFonts w:ascii="Times New Roman" w:hAnsi="Times New Roman" w:cs="Times New Roman"/>
          <w:b w:val="0"/>
          <w:bCs w:val="0"/>
          <w:sz w:val="24"/>
          <w:szCs w:val="24"/>
        </w:rPr>
        <w:t>1. How the Current Law Causes Injustice</w:t>
      </w:r>
    </w:p>
    <w:p w14:paraId="16E0AEE5" w14:textId="77777777" w:rsidR="00BF72FE" w:rsidRPr="00BF72FE" w:rsidRDefault="00BF72FE" w:rsidP="00BF72FE">
      <w:pPr>
        <w:pStyle w:val="Heading4"/>
        <w:spacing w:line="276" w:lineRule="auto"/>
        <w:rPr>
          <w:rFonts w:ascii="Times New Roman" w:hAnsi="Times New Roman" w:cs="Times New Roman"/>
        </w:rPr>
      </w:pPr>
      <w:r w:rsidRPr="00BF72FE">
        <w:rPr>
          <w:rStyle w:val="Strong"/>
          <w:rFonts w:ascii="Times New Roman" w:hAnsi="Times New Roman" w:cs="Times New Roman"/>
          <w:b w:val="0"/>
          <w:bCs w:val="0"/>
        </w:rPr>
        <w:t>1.1. Prioritization of Written Contracts Over Realities of Transactions</w:t>
      </w:r>
    </w:p>
    <w:p w14:paraId="44A25172" w14:textId="77777777" w:rsidR="00BF72FE" w:rsidRPr="00BF72FE" w:rsidRDefault="00BF72FE" w:rsidP="00BF72FE">
      <w:pPr>
        <w:pStyle w:val="NormalWeb"/>
        <w:numPr>
          <w:ilvl w:val="0"/>
          <w:numId w:val="49"/>
        </w:numPr>
        <w:spacing w:line="276" w:lineRule="auto"/>
      </w:pPr>
      <w:r w:rsidRPr="00BF72FE">
        <w:t xml:space="preserve">The law prioritizes the sanctity of written contracts to determine the identity of contracting parties. In </w:t>
      </w:r>
      <w:r w:rsidRPr="00BF72FE">
        <w:rPr>
          <w:rStyle w:val="Strong"/>
          <w:rFonts w:eastAsiaTheme="majorEastAsia"/>
        </w:rPr>
        <w:t>Shogun Finance v Hudson</w:t>
      </w:r>
      <w:r w:rsidRPr="00BF72FE">
        <w:t xml:space="preserve">, the House of Lords concluded that Shogun Finance intended to contract only with the person named in the written agreement, </w:t>
      </w:r>
      <w:r w:rsidRPr="00BF72FE">
        <w:rPr>
          <w:rStyle w:val="Strong"/>
          <w:rFonts w:eastAsiaTheme="majorEastAsia"/>
        </w:rPr>
        <w:t xml:space="preserve">Mr. </w:t>
      </w:r>
      <w:proofErr w:type="spellStart"/>
      <w:r w:rsidRPr="00BF72FE">
        <w:rPr>
          <w:rStyle w:val="Strong"/>
          <w:rFonts w:eastAsiaTheme="majorEastAsia"/>
        </w:rPr>
        <w:t>Durlabh</w:t>
      </w:r>
      <w:proofErr w:type="spellEnd"/>
      <w:r w:rsidRPr="00BF72FE">
        <w:rPr>
          <w:rStyle w:val="Strong"/>
          <w:rFonts w:eastAsiaTheme="majorEastAsia"/>
        </w:rPr>
        <w:t xml:space="preserve"> Patel</w:t>
      </w:r>
      <w:r w:rsidRPr="00BF72FE">
        <w:t>, and not the fraudster who impersonated him.</w:t>
      </w:r>
    </w:p>
    <w:p w14:paraId="221B5C7B" w14:textId="77777777" w:rsidR="00BF72FE" w:rsidRPr="00BF72FE" w:rsidRDefault="00BF72FE" w:rsidP="00BF72FE">
      <w:pPr>
        <w:pStyle w:val="NormalWeb"/>
        <w:numPr>
          <w:ilvl w:val="0"/>
          <w:numId w:val="49"/>
        </w:numPr>
        <w:spacing w:line="276" w:lineRule="auto"/>
      </w:pPr>
      <w:r w:rsidRPr="00BF72FE">
        <w:t>This rigid reliance on written documents disregarded the actual events of the transaction, leaving the innocent purchaser, Mr. Hudson, with no title to the car despite his good faith purchase.</w:t>
      </w:r>
    </w:p>
    <w:p w14:paraId="0EB79AE7" w14:textId="77777777" w:rsidR="00BF72FE" w:rsidRPr="00BF72FE" w:rsidRDefault="00BF72FE" w:rsidP="00BF72FE">
      <w:pPr>
        <w:pStyle w:val="NormalWeb"/>
        <w:numPr>
          <w:ilvl w:val="0"/>
          <w:numId w:val="49"/>
        </w:numPr>
        <w:spacing w:line="276" w:lineRule="auto"/>
      </w:pPr>
      <w:r w:rsidRPr="00BF72FE">
        <w:t>Elliott (2004) highlights the injustice caused by this approach:</w:t>
      </w:r>
    </w:p>
    <w:p w14:paraId="34BE3695" w14:textId="77777777" w:rsidR="00BF72FE" w:rsidRPr="00BF72FE" w:rsidRDefault="00BF72FE" w:rsidP="00BF72FE">
      <w:pPr>
        <w:pStyle w:val="NormalWeb"/>
        <w:spacing w:line="276" w:lineRule="auto"/>
      </w:pPr>
      <w:r w:rsidRPr="00BF72FE">
        <w:t>"The artificial interpretation of the original contractual process … led in Shogun Finance v Hudson to a subsequent injustice to the innocent purchaser of the dishonestly obtained car."</w:t>
      </w:r>
    </w:p>
    <w:p w14:paraId="0040C17B" w14:textId="77777777" w:rsidR="00BF72FE" w:rsidRPr="00BF72FE" w:rsidRDefault="00BF72FE" w:rsidP="00BF72FE">
      <w:pPr>
        <w:pStyle w:val="Heading4"/>
        <w:spacing w:line="276" w:lineRule="auto"/>
        <w:rPr>
          <w:rFonts w:ascii="Times New Roman" w:hAnsi="Times New Roman" w:cs="Times New Roman"/>
        </w:rPr>
      </w:pPr>
      <w:r w:rsidRPr="00BF72FE">
        <w:rPr>
          <w:rStyle w:val="Strong"/>
          <w:rFonts w:ascii="Times New Roman" w:hAnsi="Times New Roman" w:cs="Times New Roman"/>
          <w:b w:val="0"/>
          <w:bCs w:val="0"/>
        </w:rPr>
        <w:t>1.2. Misallocation of Risk</w:t>
      </w:r>
    </w:p>
    <w:p w14:paraId="4F4B4CDF" w14:textId="77777777" w:rsidR="00BF72FE" w:rsidRPr="00BF72FE" w:rsidRDefault="00BF72FE" w:rsidP="00AC52C5">
      <w:pPr>
        <w:pStyle w:val="NormalWeb"/>
        <w:spacing w:line="276" w:lineRule="auto"/>
      </w:pPr>
      <w:r w:rsidRPr="00BF72FE">
        <w:t>The judgment placed the financial burden of the fraud on the innocent purchaser, Mr. Hudson, instead of holding Shogun Finance accountable for its lax credit-checking procedures. Sedley LJ, dissenting in the Court of Appeal, criticized Shogun’s reliance on minimal verification:</w:t>
      </w:r>
    </w:p>
    <w:p w14:paraId="16D0E1E7" w14:textId="77777777" w:rsidR="00BF72FE" w:rsidRPr="00BF72FE" w:rsidRDefault="00BF72FE" w:rsidP="00BF72FE">
      <w:pPr>
        <w:pStyle w:val="NormalWeb"/>
        <w:spacing w:line="276" w:lineRule="auto"/>
      </w:pPr>
      <w:r w:rsidRPr="00BF72FE">
        <w:t>"Shogun's procedures were lax: they allowed the fraudster to take the car away on credit terms without verifying that he was the person named in the driving licence."</w:t>
      </w:r>
    </w:p>
    <w:p w14:paraId="66772971" w14:textId="77777777" w:rsidR="00BF72FE" w:rsidRPr="00BF72FE" w:rsidRDefault="00BF72FE" w:rsidP="00BF72FE">
      <w:pPr>
        <w:pStyle w:val="NormalWeb"/>
        <w:numPr>
          <w:ilvl w:val="0"/>
          <w:numId w:val="50"/>
        </w:numPr>
        <w:spacing w:line="276" w:lineRule="auto"/>
      </w:pPr>
      <w:r w:rsidRPr="00BF72FE">
        <w:t>Elliott (2004) agreed, noting that innocent purchasers are less equipped to detect fraud compared to financial institutions:</w:t>
      </w:r>
    </w:p>
    <w:p w14:paraId="047DBBAE" w14:textId="77777777" w:rsidR="00BF72FE" w:rsidRPr="00BF72FE" w:rsidRDefault="00BF72FE" w:rsidP="00BF72FE">
      <w:pPr>
        <w:pStyle w:val="NormalWeb"/>
        <w:spacing w:line="276" w:lineRule="auto"/>
      </w:pPr>
      <w:r w:rsidRPr="00BF72FE">
        <w:t>"Usually, the person selling to a fraudster is in a stronger position to check their credentials than the person who buys from a fraudster."</w:t>
      </w:r>
    </w:p>
    <w:p w14:paraId="6695BDB4" w14:textId="77777777" w:rsidR="00BF72FE" w:rsidRPr="00BF72FE" w:rsidRDefault="00BF72FE" w:rsidP="00BF72FE">
      <w:pPr>
        <w:pStyle w:val="Heading4"/>
        <w:spacing w:line="276" w:lineRule="auto"/>
        <w:rPr>
          <w:rFonts w:ascii="Times New Roman" w:hAnsi="Times New Roman" w:cs="Times New Roman"/>
        </w:rPr>
      </w:pPr>
      <w:r w:rsidRPr="00BF72FE">
        <w:rPr>
          <w:rStyle w:val="Strong"/>
          <w:rFonts w:ascii="Times New Roman" w:hAnsi="Times New Roman" w:cs="Times New Roman"/>
          <w:b w:val="0"/>
          <w:bCs w:val="0"/>
        </w:rPr>
        <w:lastRenderedPageBreak/>
        <w:t>1.3. Failure to Protect Innocent Purchasers</w:t>
      </w:r>
    </w:p>
    <w:p w14:paraId="199B84C6" w14:textId="77777777" w:rsidR="00BF72FE" w:rsidRPr="00BF72FE" w:rsidRDefault="00BF72FE" w:rsidP="00BF72FE">
      <w:pPr>
        <w:numPr>
          <w:ilvl w:val="0"/>
          <w:numId w:val="51"/>
        </w:numPr>
        <w:spacing w:before="100" w:beforeAutospacing="1" w:after="100" w:afterAutospacing="1" w:line="276" w:lineRule="auto"/>
      </w:pPr>
      <w:r w:rsidRPr="00BF72FE">
        <w:t xml:space="preserve">Section 27 of the </w:t>
      </w:r>
      <w:r w:rsidRPr="00BF72FE">
        <w:rPr>
          <w:rStyle w:val="Strong"/>
          <w:rFonts w:eastAsiaTheme="majorEastAsia"/>
        </w:rPr>
        <w:t>Hire Purchase Act 1964</w:t>
      </w:r>
      <w:r w:rsidRPr="00BF72FE">
        <w:t xml:space="preserve"> was intended to protect innocent purchasers of vehicles subject to hire purchase agreements. However, the court narrowly interpreted this provision, ruling that it did not apply because the fraudster was not a "debtor" under the Act.</w:t>
      </w:r>
    </w:p>
    <w:p w14:paraId="7E41665C" w14:textId="77777777" w:rsidR="00BF72FE" w:rsidRPr="00BF72FE" w:rsidRDefault="00BF72FE" w:rsidP="00BF72FE">
      <w:pPr>
        <w:numPr>
          <w:ilvl w:val="0"/>
          <w:numId w:val="51"/>
        </w:numPr>
        <w:spacing w:before="100" w:beforeAutospacing="1" w:after="100" w:afterAutospacing="1" w:line="276" w:lineRule="auto"/>
      </w:pPr>
      <w:r w:rsidRPr="00BF72FE">
        <w:t>Elliott (2004) argued that this interpretation undermines the purpose of the statute, leaving good-faith purchasers like Mr. Hudson vulnerable to financial loss.</w:t>
      </w:r>
    </w:p>
    <w:p w14:paraId="2E00CDBC" w14:textId="77777777" w:rsidR="00BF72FE" w:rsidRPr="00BF72FE" w:rsidRDefault="00BF72FE" w:rsidP="00BF72FE">
      <w:pPr>
        <w:pStyle w:val="Heading4"/>
        <w:spacing w:line="276" w:lineRule="auto"/>
        <w:rPr>
          <w:rFonts w:ascii="Times New Roman" w:hAnsi="Times New Roman" w:cs="Times New Roman"/>
        </w:rPr>
      </w:pPr>
      <w:r w:rsidRPr="00BF72FE">
        <w:rPr>
          <w:rStyle w:val="Strong"/>
          <w:rFonts w:ascii="Times New Roman" w:hAnsi="Times New Roman" w:cs="Times New Roman"/>
          <w:b w:val="0"/>
          <w:bCs w:val="0"/>
        </w:rPr>
        <w:t>1.4. Artificial Reliance on Mistake Rather Than Fraud</w:t>
      </w:r>
    </w:p>
    <w:p w14:paraId="6FE177F1" w14:textId="77777777" w:rsidR="00BF72FE" w:rsidRPr="00BF72FE" w:rsidRDefault="00BF72FE" w:rsidP="00BF72FE">
      <w:pPr>
        <w:pStyle w:val="NormalWeb"/>
        <w:numPr>
          <w:ilvl w:val="0"/>
          <w:numId w:val="52"/>
        </w:numPr>
        <w:spacing w:line="276" w:lineRule="auto"/>
      </w:pPr>
      <w:r w:rsidRPr="00BF72FE">
        <w:t xml:space="preserve">The law’s focus on </w:t>
      </w:r>
      <w:r w:rsidRPr="00BF72FE">
        <w:rPr>
          <w:rStyle w:val="Strong"/>
          <w:rFonts w:eastAsiaTheme="majorEastAsia"/>
        </w:rPr>
        <w:t>mistaken identity</w:t>
      </w:r>
      <w:r w:rsidRPr="00BF72FE">
        <w:t xml:space="preserve"> rather than directly addressing </w:t>
      </w:r>
      <w:r w:rsidRPr="00BF72FE">
        <w:rPr>
          <w:rStyle w:val="Strong"/>
          <w:rFonts w:eastAsiaTheme="majorEastAsia"/>
        </w:rPr>
        <w:t>fraud</w:t>
      </w:r>
      <w:r w:rsidRPr="00BF72FE">
        <w:t xml:space="preserve"> contributed to the injustice. Elliott (2004) observed:</w:t>
      </w:r>
    </w:p>
    <w:p w14:paraId="37C33FCE" w14:textId="77777777" w:rsidR="00BF72FE" w:rsidRPr="00BF72FE" w:rsidRDefault="00BF72FE" w:rsidP="00BF72FE">
      <w:pPr>
        <w:pStyle w:val="NormalWeb"/>
        <w:spacing w:line="276" w:lineRule="auto"/>
      </w:pPr>
      <w:r w:rsidRPr="00BF72FE">
        <w:t>"The law should reflect the reality of the situation … that there has been a fraud."</w:t>
      </w:r>
    </w:p>
    <w:p w14:paraId="587380D9" w14:textId="77777777" w:rsidR="00BF72FE" w:rsidRPr="00BF72FE" w:rsidRDefault="00BF72FE" w:rsidP="00BF72FE">
      <w:pPr>
        <w:pStyle w:val="NormalWeb"/>
        <w:numPr>
          <w:ilvl w:val="0"/>
          <w:numId w:val="52"/>
        </w:numPr>
        <w:spacing w:line="276" w:lineRule="auto"/>
      </w:pPr>
      <w:r w:rsidRPr="00BF72FE">
        <w:t>By framing the issue as one of mistake, the court avoided addressing the core problem—the fraudulent actions of the impostor and the insufficient safeguards implemented by Shogun Finance.</w:t>
      </w:r>
    </w:p>
    <w:p w14:paraId="51457151" w14:textId="77777777" w:rsidR="00BF72FE" w:rsidRPr="00BF72FE" w:rsidRDefault="00BF72FE" w:rsidP="00BF72FE">
      <w:pPr>
        <w:pStyle w:val="Heading4"/>
        <w:spacing w:line="276" w:lineRule="auto"/>
        <w:rPr>
          <w:rFonts w:ascii="Times New Roman" w:hAnsi="Times New Roman" w:cs="Times New Roman"/>
        </w:rPr>
      </w:pPr>
      <w:r w:rsidRPr="00BF72FE">
        <w:rPr>
          <w:rStyle w:val="Strong"/>
          <w:rFonts w:ascii="Times New Roman" w:hAnsi="Times New Roman" w:cs="Times New Roman"/>
          <w:b w:val="0"/>
          <w:bCs w:val="0"/>
        </w:rPr>
        <w:t>1.5. Inequitable Outcomes</w:t>
      </w:r>
    </w:p>
    <w:p w14:paraId="701906D1" w14:textId="77777777" w:rsidR="00BF72FE" w:rsidRPr="00BF72FE" w:rsidRDefault="00BF72FE" w:rsidP="00BF72FE">
      <w:pPr>
        <w:spacing w:before="100" w:beforeAutospacing="1" w:after="100" w:afterAutospacing="1" w:line="276" w:lineRule="auto"/>
      </w:pPr>
      <w:r w:rsidRPr="00BF72FE">
        <w:t xml:space="preserve">The approach in </w:t>
      </w:r>
      <w:r w:rsidRPr="00BF72FE">
        <w:rPr>
          <w:rStyle w:val="Strong"/>
          <w:rFonts w:eastAsiaTheme="majorEastAsia"/>
        </w:rPr>
        <w:t>Shogun Finance</w:t>
      </w:r>
      <w:r w:rsidRPr="00BF72FE">
        <w:t xml:space="preserve"> disproportionately benefits financial institutions while penalizing good-faith purchasers, creating what Catherine Elliott (2004) described as an "artificial and unfair" interpretation of contracts.</w:t>
      </w:r>
    </w:p>
    <w:p w14:paraId="0B276A54" w14:textId="77777777" w:rsidR="00BF72FE" w:rsidRPr="00BF72FE" w:rsidRDefault="006A691E" w:rsidP="00BF72FE">
      <w:pPr>
        <w:spacing w:line="276" w:lineRule="auto"/>
      </w:pPr>
      <w:r w:rsidRPr="006A691E">
        <w:rPr>
          <w:noProof/>
          <w14:ligatures w14:val="standardContextual"/>
        </w:rPr>
        <w:pict w14:anchorId="7EAC6519">
          <v:rect id="_x0000_i1025" alt="" style="width:451.3pt;height:.05pt;mso-width-percent:0;mso-height-percent:0;mso-width-percent:0;mso-height-percent:0" o:hralign="center" o:hrstd="t" o:hr="t" fillcolor="#a0a0a0" stroked="f"/>
        </w:pict>
      </w:r>
    </w:p>
    <w:p w14:paraId="1048DE26" w14:textId="77777777" w:rsidR="00BF72FE" w:rsidRPr="00BF72FE" w:rsidRDefault="00BF72FE" w:rsidP="00BF72FE">
      <w:pPr>
        <w:pStyle w:val="Heading3"/>
        <w:spacing w:line="276" w:lineRule="auto"/>
        <w:rPr>
          <w:rFonts w:ascii="Times New Roman" w:hAnsi="Times New Roman" w:cs="Times New Roman"/>
          <w:sz w:val="24"/>
          <w:szCs w:val="24"/>
        </w:rPr>
      </w:pPr>
      <w:r w:rsidRPr="00BF72FE">
        <w:rPr>
          <w:rStyle w:val="Strong"/>
          <w:rFonts w:ascii="Times New Roman" w:hAnsi="Times New Roman" w:cs="Times New Roman"/>
          <w:b w:val="0"/>
          <w:bCs w:val="0"/>
          <w:sz w:val="24"/>
          <w:szCs w:val="24"/>
        </w:rPr>
        <w:t>2. Balancing Injustice and Certainty</w:t>
      </w:r>
    </w:p>
    <w:p w14:paraId="567F2102" w14:textId="77777777" w:rsidR="00BF72FE" w:rsidRPr="00BF72FE" w:rsidRDefault="00BF72FE" w:rsidP="00BF72FE">
      <w:pPr>
        <w:pStyle w:val="Heading4"/>
        <w:spacing w:line="276" w:lineRule="auto"/>
        <w:rPr>
          <w:rFonts w:ascii="Times New Roman" w:hAnsi="Times New Roman" w:cs="Times New Roman"/>
        </w:rPr>
      </w:pPr>
      <w:r w:rsidRPr="00BF72FE">
        <w:rPr>
          <w:rStyle w:val="Strong"/>
          <w:rFonts w:ascii="Times New Roman" w:hAnsi="Times New Roman" w:cs="Times New Roman"/>
          <w:b w:val="0"/>
          <w:bCs w:val="0"/>
        </w:rPr>
        <w:t>2.1. The Need for Certainty</w:t>
      </w:r>
    </w:p>
    <w:p w14:paraId="66223552" w14:textId="77777777" w:rsidR="00BF72FE" w:rsidRPr="00BF72FE" w:rsidRDefault="00BF72FE" w:rsidP="00BF72FE">
      <w:pPr>
        <w:pStyle w:val="NormalWeb"/>
        <w:spacing w:line="276" w:lineRule="auto"/>
      </w:pPr>
      <w:r w:rsidRPr="00BF72FE">
        <w:t xml:space="preserve">The majority in </w:t>
      </w:r>
      <w:r w:rsidRPr="00BF72FE">
        <w:rPr>
          <w:rStyle w:val="Strong"/>
          <w:rFonts w:eastAsiaTheme="majorEastAsia"/>
        </w:rPr>
        <w:t>Shogun Finance v Hudson</w:t>
      </w:r>
      <w:r w:rsidRPr="00BF72FE">
        <w:t xml:space="preserve"> emphasized the importance of maintaining certainty in commercial transactions. Lord Phillips explained that the identity of the contracting parties must be determined solely by the written agreement to ensure reliability:</w:t>
      </w:r>
    </w:p>
    <w:p w14:paraId="496484B2" w14:textId="77777777" w:rsidR="00BF72FE" w:rsidRPr="00BF72FE" w:rsidRDefault="00BF72FE" w:rsidP="00BF72FE">
      <w:pPr>
        <w:pStyle w:val="NormalWeb"/>
        <w:spacing w:line="276" w:lineRule="auto"/>
      </w:pPr>
      <w:r w:rsidRPr="00BF72FE">
        <w:t>"The certainty of the contract depends on it" ([2003] UKHL 62 at [49]).</w:t>
      </w:r>
    </w:p>
    <w:p w14:paraId="30438ECF" w14:textId="77777777" w:rsidR="00BF72FE" w:rsidRPr="00BF72FE" w:rsidRDefault="00BF72FE" w:rsidP="00BF72FE">
      <w:pPr>
        <w:pStyle w:val="NormalWeb"/>
        <w:spacing w:line="276" w:lineRule="auto"/>
      </w:pPr>
      <w:r w:rsidRPr="00BF72FE">
        <w:t>Certainty is particularly valued in mercantile law, where commercial entities rely on the enforceability of written agreements to minimize disputes.</w:t>
      </w:r>
    </w:p>
    <w:p w14:paraId="2ACA757D" w14:textId="77777777" w:rsidR="00BF72FE" w:rsidRPr="00BF72FE" w:rsidRDefault="00BF72FE" w:rsidP="00BF72FE">
      <w:pPr>
        <w:pStyle w:val="Heading4"/>
        <w:spacing w:line="276" w:lineRule="auto"/>
        <w:rPr>
          <w:rFonts w:ascii="Times New Roman" w:hAnsi="Times New Roman" w:cs="Times New Roman"/>
        </w:rPr>
      </w:pPr>
      <w:r w:rsidRPr="00BF72FE">
        <w:rPr>
          <w:rStyle w:val="Strong"/>
          <w:rFonts w:ascii="Times New Roman" w:hAnsi="Times New Roman" w:cs="Times New Roman"/>
          <w:b w:val="0"/>
          <w:bCs w:val="0"/>
        </w:rPr>
        <w:t>2.2. The Consequences of Overemphasizing Certainty</w:t>
      </w:r>
    </w:p>
    <w:p w14:paraId="2A928618" w14:textId="77777777" w:rsidR="00BF72FE" w:rsidRPr="00BF72FE" w:rsidRDefault="00BF72FE" w:rsidP="00BF72FE">
      <w:pPr>
        <w:pStyle w:val="NormalWeb"/>
        <w:spacing w:line="276" w:lineRule="auto"/>
      </w:pPr>
      <w:r w:rsidRPr="00BF72FE">
        <w:t>Elliott (2004) criticized this overemphasis, arguing that the courts’ insistence on certainty disregards the realities of modern commerce:</w:t>
      </w:r>
    </w:p>
    <w:p w14:paraId="014F4F13" w14:textId="7D8D235C" w:rsidR="00BF72FE" w:rsidRPr="00BF72FE" w:rsidRDefault="00BF72FE" w:rsidP="00BF72FE">
      <w:pPr>
        <w:pStyle w:val="NormalWeb"/>
        <w:spacing w:line="276" w:lineRule="auto"/>
      </w:pPr>
      <w:r w:rsidRPr="00BF72FE">
        <w:lastRenderedPageBreak/>
        <w:t>"By obstinately ignoring the reality of the transaction, relying on the justification of contractual certainty and the tradition of an objective analysis, the danger is that the courts are not achieving justice on the actual facts of the case."</w:t>
      </w:r>
    </w:p>
    <w:p w14:paraId="5A993603" w14:textId="77777777" w:rsidR="00BF72FE" w:rsidRPr="00BF72FE" w:rsidRDefault="00BF72FE" w:rsidP="00BF72FE">
      <w:pPr>
        <w:pStyle w:val="NormalWeb"/>
        <w:spacing w:line="276" w:lineRule="auto"/>
      </w:pPr>
      <w:r w:rsidRPr="00BF72FE">
        <w:t>The refusal to admit extrinsic evidence (such as the fraudster’s interaction with the car dealer) limited the court’s ability to deliver a fair outcome.</w:t>
      </w:r>
    </w:p>
    <w:p w14:paraId="42B9EE14" w14:textId="77777777" w:rsidR="00BF72FE" w:rsidRPr="00BF72FE" w:rsidRDefault="00BF72FE" w:rsidP="00BF72FE">
      <w:pPr>
        <w:pStyle w:val="Heading4"/>
        <w:spacing w:line="276" w:lineRule="auto"/>
        <w:rPr>
          <w:rFonts w:ascii="Times New Roman" w:hAnsi="Times New Roman" w:cs="Times New Roman"/>
        </w:rPr>
      </w:pPr>
      <w:r w:rsidRPr="00BF72FE">
        <w:rPr>
          <w:rStyle w:val="Strong"/>
          <w:rFonts w:ascii="Times New Roman" w:hAnsi="Times New Roman" w:cs="Times New Roman"/>
          <w:b w:val="0"/>
          <w:bCs w:val="0"/>
        </w:rPr>
        <w:t>2.3. Dissenting Views and Justice-Oriented Proposals</w:t>
      </w:r>
    </w:p>
    <w:p w14:paraId="71EF442A" w14:textId="77777777" w:rsidR="00BF72FE" w:rsidRPr="00BF72FE" w:rsidRDefault="00BF72FE" w:rsidP="00BF72FE">
      <w:pPr>
        <w:pStyle w:val="NormalWeb"/>
        <w:spacing w:line="276" w:lineRule="auto"/>
      </w:pPr>
      <w:r w:rsidRPr="00BF72FE">
        <w:t xml:space="preserve">Dissenting judges in </w:t>
      </w:r>
      <w:r w:rsidRPr="00BF72FE">
        <w:rPr>
          <w:rStyle w:val="Strong"/>
          <w:rFonts w:eastAsiaTheme="majorEastAsia"/>
        </w:rPr>
        <w:t>Shogun Finance</w:t>
      </w:r>
      <w:r w:rsidRPr="00BF72FE">
        <w:t>, such as Lord Nicholls and Lord Millett, proposed an alternative approach that prioritizes fairness:</w:t>
      </w:r>
    </w:p>
    <w:p w14:paraId="0316E35E" w14:textId="77777777" w:rsidR="00BF72FE" w:rsidRPr="00BF72FE" w:rsidRDefault="00BF72FE" w:rsidP="00BF72FE">
      <w:pPr>
        <w:pStyle w:val="NormalWeb"/>
        <w:spacing w:line="276" w:lineRule="auto"/>
      </w:pPr>
      <w:r w:rsidRPr="00BF72FE">
        <w:t xml:space="preserve">"There is no difference of substance between contracts made face to face and contracts made over the telephone, by </w:t>
      </w:r>
      <w:proofErr w:type="spellStart"/>
      <w:r w:rsidRPr="00BF72FE">
        <w:t>videolink</w:t>
      </w:r>
      <w:proofErr w:type="spellEnd"/>
      <w:r w:rsidRPr="00BF72FE">
        <w:t xml:space="preserve"> or even by post."</w:t>
      </w:r>
    </w:p>
    <w:p w14:paraId="201D340A" w14:textId="77777777" w:rsidR="00BF72FE" w:rsidRPr="00BF72FE" w:rsidRDefault="00BF72FE" w:rsidP="00BF72FE">
      <w:pPr>
        <w:pStyle w:val="NormalWeb"/>
        <w:spacing w:line="276" w:lineRule="auto"/>
      </w:pPr>
      <w:r w:rsidRPr="00BF72FE">
        <w:t>They argued for a broader interpretation of contractual intent, which would consider the realities of the transaction rather than rigidly adhering to the written document.</w:t>
      </w:r>
    </w:p>
    <w:p w14:paraId="79A1BDC6" w14:textId="77777777" w:rsidR="00BF72FE" w:rsidRPr="00BF72FE" w:rsidRDefault="00BF72FE" w:rsidP="00BF72FE">
      <w:pPr>
        <w:pStyle w:val="Heading4"/>
        <w:spacing w:line="276" w:lineRule="auto"/>
        <w:rPr>
          <w:rFonts w:ascii="Times New Roman" w:hAnsi="Times New Roman" w:cs="Times New Roman"/>
        </w:rPr>
      </w:pPr>
      <w:r w:rsidRPr="00BF72FE">
        <w:rPr>
          <w:rStyle w:val="Strong"/>
          <w:rFonts w:ascii="Times New Roman" w:hAnsi="Times New Roman" w:cs="Times New Roman"/>
          <w:b w:val="0"/>
          <w:bCs w:val="0"/>
        </w:rPr>
        <w:t>2.4. Balancing Reform Proposals</w:t>
      </w:r>
    </w:p>
    <w:p w14:paraId="4CFA4925" w14:textId="77777777" w:rsidR="00BF72FE" w:rsidRPr="00BF72FE" w:rsidRDefault="00BF72FE" w:rsidP="00BF72FE">
      <w:pPr>
        <w:spacing w:before="100" w:beforeAutospacing="1" w:after="100" w:afterAutospacing="1" w:line="276" w:lineRule="auto"/>
      </w:pPr>
      <w:r w:rsidRPr="00BF72FE">
        <w:t>A more balanced approach requires statutory and judicial reforms to:</w:t>
      </w:r>
    </w:p>
    <w:p w14:paraId="38D4DFCB" w14:textId="77777777" w:rsidR="00BF72FE" w:rsidRPr="00BF72FE" w:rsidRDefault="00BF72FE" w:rsidP="00BF72FE">
      <w:pPr>
        <w:numPr>
          <w:ilvl w:val="1"/>
          <w:numId w:val="37"/>
        </w:numPr>
        <w:spacing w:before="100" w:beforeAutospacing="1" w:after="100" w:afterAutospacing="1" w:line="276" w:lineRule="auto"/>
      </w:pPr>
      <w:r w:rsidRPr="00BF72FE">
        <w:t>Protect innocent purchasers.</w:t>
      </w:r>
    </w:p>
    <w:p w14:paraId="0B2DBEB7" w14:textId="186DE290" w:rsidR="00BF72FE" w:rsidRPr="00BF72FE" w:rsidRDefault="00BF72FE" w:rsidP="00BF72FE">
      <w:pPr>
        <w:numPr>
          <w:ilvl w:val="1"/>
          <w:numId w:val="37"/>
        </w:numPr>
        <w:spacing w:before="100" w:beforeAutospacing="1" w:after="100" w:afterAutospacing="1" w:line="276" w:lineRule="auto"/>
      </w:pPr>
      <w:r w:rsidRPr="00BF72FE">
        <w:t>Hold financial institutions accountable for fraud prevention.</w:t>
      </w:r>
    </w:p>
    <w:p w14:paraId="74FA329E" w14:textId="77777777" w:rsidR="00BF72FE" w:rsidRPr="00BF72FE" w:rsidRDefault="00BF72FE" w:rsidP="00BF72FE">
      <w:pPr>
        <w:pStyle w:val="Heading3"/>
        <w:spacing w:line="276" w:lineRule="auto"/>
        <w:rPr>
          <w:rFonts w:ascii="Times New Roman" w:hAnsi="Times New Roman" w:cs="Times New Roman"/>
          <w:sz w:val="24"/>
          <w:szCs w:val="24"/>
        </w:rPr>
      </w:pPr>
      <w:r w:rsidRPr="00BF72FE">
        <w:rPr>
          <w:rStyle w:val="Strong"/>
          <w:rFonts w:ascii="Times New Roman" w:hAnsi="Times New Roman" w:cs="Times New Roman"/>
          <w:b w:val="0"/>
          <w:bCs w:val="0"/>
          <w:sz w:val="24"/>
          <w:szCs w:val="24"/>
        </w:rPr>
        <w:t>3. Proposed Reforms to Balance Certainty and Justice</w:t>
      </w:r>
    </w:p>
    <w:p w14:paraId="6EC949EE" w14:textId="77777777" w:rsidR="00BF72FE" w:rsidRPr="00BF72FE" w:rsidRDefault="00BF72FE" w:rsidP="00BF72FE">
      <w:pPr>
        <w:pStyle w:val="Heading4"/>
        <w:spacing w:line="276" w:lineRule="auto"/>
        <w:rPr>
          <w:rFonts w:ascii="Times New Roman" w:hAnsi="Times New Roman" w:cs="Times New Roman"/>
        </w:rPr>
      </w:pPr>
      <w:r w:rsidRPr="00BF72FE">
        <w:rPr>
          <w:rStyle w:val="Strong"/>
          <w:rFonts w:ascii="Times New Roman" w:hAnsi="Times New Roman" w:cs="Times New Roman"/>
          <w:b w:val="0"/>
          <w:bCs w:val="0"/>
        </w:rPr>
        <w:t>3.1. Reform of the Mistake Doctrine</w:t>
      </w:r>
    </w:p>
    <w:p w14:paraId="3B261ECE" w14:textId="77777777" w:rsidR="00BF72FE" w:rsidRPr="00BF72FE" w:rsidRDefault="00BF72FE" w:rsidP="00BF72FE">
      <w:pPr>
        <w:pStyle w:val="NormalWeb"/>
        <w:spacing w:line="276" w:lineRule="auto"/>
      </w:pPr>
      <w:r w:rsidRPr="00BF72FE">
        <w:t xml:space="preserve">The 1966 </w:t>
      </w:r>
      <w:r w:rsidRPr="00BF72FE">
        <w:rPr>
          <w:rStyle w:val="Strong"/>
          <w:rFonts w:eastAsiaTheme="majorEastAsia"/>
        </w:rPr>
        <w:t>Twelfth Report of the Law Reform Committee</w:t>
      </w:r>
      <w:r w:rsidRPr="00BF72FE">
        <w:t xml:space="preserve"> recommended abolishing the distinction between contracts void for mistake and those voidable for misrepresentation. Elliott (2004) supported this reform:</w:t>
      </w:r>
    </w:p>
    <w:p w14:paraId="40789B87" w14:textId="77777777" w:rsidR="00BF72FE" w:rsidRPr="00BF72FE" w:rsidRDefault="00BF72FE" w:rsidP="00BF72FE">
      <w:pPr>
        <w:pStyle w:val="NormalWeb"/>
        <w:spacing w:line="276" w:lineRule="auto"/>
      </w:pPr>
      <w:r w:rsidRPr="00BF72FE">
        <w:t>"Where goods are sold under a mistake as to the buyer's identity, the contract should be voidable, and not void."</w:t>
      </w:r>
    </w:p>
    <w:p w14:paraId="6DF369F3" w14:textId="77777777" w:rsidR="00BF72FE" w:rsidRPr="00BF72FE" w:rsidRDefault="00BF72FE" w:rsidP="00BF72FE">
      <w:pPr>
        <w:pStyle w:val="NormalWeb"/>
        <w:spacing w:line="276" w:lineRule="auto"/>
      </w:pPr>
      <w:r w:rsidRPr="00BF72FE">
        <w:t>This reform would protect innocent purchasers, ensuring that good title passes unless the original contract is rescinded before the goods are sold.</w:t>
      </w:r>
    </w:p>
    <w:p w14:paraId="12B75E84" w14:textId="77777777" w:rsidR="00BF72FE" w:rsidRPr="00BF72FE" w:rsidRDefault="00BF72FE" w:rsidP="00BF72FE">
      <w:pPr>
        <w:pStyle w:val="Heading4"/>
        <w:spacing w:line="276" w:lineRule="auto"/>
        <w:rPr>
          <w:rFonts w:ascii="Times New Roman" w:hAnsi="Times New Roman" w:cs="Times New Roman"/>
        </w:rPr>
      </w:pPr>
      <w:r w:rsidRPr="00BF72FE">
        <w:rPr>
          <w:rStyle w:val="Strong"/>
          <w:rFonts w:ascii="Times New Roman" w:hAnsi="Times New Roman" w:cs="Times New Roman"/>
          <w:b w:val="0"/>
          <w:bCs w:val="0"/>
        </w:rPr>
        <w:t>3.2. Enhanced Accountability for Financial Institutions</w:t>
      </w:r>
    </w:p>
    <w:p w14:paraId="5ECF63FE" w14:textId="77777777" w:rsidR="00BF72FE" w:rsidRPr="00BF72FE" w:rsidRDefault="00BF72FE" w:rsidP="00BF72FE">
      <w:pPr>
        <w:pStyle w:val="NormalWeb"/>
        <w:spacing w:line="276" w:lineRule="auto"/>
      </w:pPr>
      <w:r w:rsidRPr="00BF72FE">
        <w:t>Elliott (2004) suggested imposing stricter responsibilities on financial institutions like Shogun Finance:</w:t>
      </w:r>
    </w:p>
    <w:p w14:paraId="553BFB90" w14:textId="77777777" w:rsidR="00BF72FE" w:rsidRPr="00BF72FE" w:rsidRDefault="00BF72FE" w:rsidP="00BF72FE">
      <w:pPr>
        <w:pStyle w:val="NormalWeb"/>
        <w:spacing w:line="276" w:lineRule="auto"/>
      </w:pPr>
      <w:r w:rsidRPr="00BF72FE">
        <w:t>"Shogun's procedures were lax … their casual approach to granting credit enabled the fraud."</w:t>
      </w:r>
    </w:p>
    <w:p w14:paraId="792E998D" w14:textId="77777777" w:rsidR="00BF72FE" w:rsidRPr="00BF72FE" w:rsidRDefault="00BF72FE" w:rsidP="00BF72FE">
      <w:pPr>
        <w:pStyle w:val="NormalWeb"/>
        <w:spacing w:line="276" w:lineRule="auto"/>
      </w:pPr>
      <w:r w:rsidRPr="00BF72FE">
        <w:lastRenderedPageBreak/>
        <w:t>Holding financial institutions accountable for their verification processes would incentivize better fraud prevention practices, reducing the burden on innocent purchasers.</w:t>
      </w:r>
    </w:p>
    <w:p w14:paraId="76DDD5F0" w14:textId="77777777" w:rsidR="00BF72FE" w:rsidRPr="00BF72FE" w:rsidRDefault="00BF72FE" w:rsidP="00BF72FE">
      <w:pPr>
        <w:pStyle w:val="Heading4"/>
        <w:spacing w:line="276" w:lineRule="auto"/>
        <w:rPr>
          <w:rFonts w:ascii="Times New Roman" w:hAnsi="Times New Roman" w:cs="Times New Roman"/>
        </w:rPr>
      </w:pPr>
      <w:r w:rsidRPr="00BF72FE">
        <w:rPr>
          <w:rStyle w:val="Strong"/>
          <w:rFonts w:ascii="Times New Roman" w:hAnsi="Times New Roman" w:cs="Times New Roman"/>
          <w:b w:val="0"/>
          <w:bCs w:val="0"/>
        </w:rPr>
        <w:t>3.3. Reforming Section 27 of the Hire Purchase Act 1964</w:t>
      </w:r>
    </w:p>
    <w:p w14:paraId="37655612" w14:textId="77777777" w:rsidR="00BF72FE" w:rsidRPr="00BF72FE" w:rsidRDefault="00BF72FE" w:rsidP="00BF72FE">
      <w:pPr>
        <w:spacing w:before="100" w:beforeAutospacing="1" w:after="100" w:afterAutospacing="1" w:line="276" w:lineRule="auto"/>
      </w:pPr>
      <w:r w:rsidRPr="00BF72FE">
        <w:t xml:space="preserve">Expanding the scope of </w:t>
      </w:r>
      <w:r w:rsidRPr="00BF72FE">
        <w:rPr>
          <w:rStyle w:val="Strong"/>
          <w:rFonts w:eastAsiaTheme="majorEastAsia"/>
        </w:rPr>
        <w:t>s.27</w:t>
      </w:r>
      <w:r w:rsidRPr="00BF72FE">
        <w:t xml:space="preserve"> to include fraudulent transactions could provide better protection for innocent purchasers, ensuring they acquire good title even in cases of fraud.</w:t>
      </w:r>
    </w:p>
    <w:p w14:paraId="45A3B865" w14:textId="77777777" w:rsidR="00BF72FE" w:rsidRPr="00BF72FE" w:rsidRDefault="00BF72FE" w:rsidP="00BF72FE">
      <w:pPr>
        <w:pStyle w:val="Heading4"/>
        <w:spacing w:line="276" w:lineRule="auto"/>
        <w:rPr>
          <w:rFonts w:ascii="Times New Roman" w:hAnsi="Times New Roman" w:cs="Times New Roman"/>
        </w:rPr>
      </w:pPr>
      <w:r w:rsidRPr="00BF72FE">
        <w:rPr>
          <w:rStyle w:val="Strong"/>
          <w:rFonts w:ascii="Times New Roman" w:hAnsi="Times New Roman" w:cs="Times New Roman"/>
          <w:b w:val="0"/>
          <w:bCs w:val="0"/>
        </w:rPr>
        <w:t>3.4. Addressing Fraud Directly</w:t>
      </w:r>
    </w:p>
    <w:p w14:paraId="27556C94" w14:textId="6EE2A3AD" w:rsidR="00BF72FE" w:rsidRPr="00BF72FE" w:rsidRDefault="00BF72FE" w:rsidP="00BF72FE">
      <w:pPr>
        <w:pStyle w:val="NormalWeb"/>
        <w:spacing w:line="276" w:lineRule="auto"/>
      </w:pPr>
      <w:r w:rsidRPr="00BF72FE">
        <w:t>Elliott (2004) emphasized the need to address fraud as the central issue, rather than framing it as a matter of mistaken identity:</w:t>
      </w:r>
    </w:p>
    <w:p w14:paraId="13332EB4" w14:textId="77777777" w:rsidR="00BF72FE" w:rsidRPr="00BF72FE" w:rsidRDefault="00BF72FE" w:rsidP="00BF72FE">
      <w:pPr>
        <w:pStyle w:val="NormalWeb"/>
        <w:spacing w:line="276" w:lineRule="auto"/>
      </w:pPr>
      <w:r w:rsidRPr="00BF72FE">
        <w:t>"The law should reflect the reality of the situation, the heart of the problem … that there has been a fraud."</w:t>
      </w:r>
    </w:p>
    <w:p w14:paraId="7133CA46" w14:textId="78635E66" w:rsidR="00BF72FE" w:rsidRPr="00BF72FE" w:rsidRDefault="00BF72FE" w:rsidP="00BF72FE">
      <w:pPr>
        <w:pStyle w:val="NormalWeb"/>
        <w:spacing w:line="276" w:lineRule="auto"/>
      </w:pPr>
      <w:r w:rsidRPr="00BF72FE">
        <w:t>A fraud-based approach would shift the focus from the technicalities of contract formation to the root cause of disputes.</w:t>
      </w:r>
    </w:p>
    <w:p w14:paraId="6AE3C6D4" w14:textId="77777777" w:rsidR="00BF72FE" w:rsidRPr="00BF72FE" w:rsidRDefault="00BF72FE" w:rsidP="00BF72FE">
      <w:pPr>
        <w:pStyle w:val="Heading3"/>
        <w:spacing w:line="276" w:lineRule="auto"/>
        <w:rPr>
          <w:rFonts w:ascii="Times New Roman" w:hAnsi="Times New Roman" w:cs="Times New Roman"/>
          <w:sz w:val="24"/>
          <w:szCs w:val="24"/>
        </w:rPr>
      </w:pPr>
      <w:r w:rsidRPr="00BF72FE">
        <w:rPr>
          <w:rStyle w:val="Strong"/>
          <w:rFonts w:ascii="Times New Roman" w:hAnsi="Times New Roman" w:cs="Times New Roman"/>
          <w:b w:val="0"/>
          <w:bCs w:val="0"/>
          <w:sz w:val="24"/>
          <w:szCs w:val="24"/>
        </w:rPr>
        <w:t>4. Implications and Broader Impact</w:t>
      </w:r>
    </w:p>
    <w:p w14:paraId="3F4FA655" w14:textId="77777777" w:rsidR="00BF72FE" w:rsidRPr="00BF72FE" w:rsidRDefault="00BF72FE" w:rsidP="00BF72FE">
      <w:pPr>
        <w:pStyle w:val="Heading4"/>
        <w:spacing w:line="276" w:lineRule="auto"/>
        <w:rPr>
          <w:rFonts w:ascii="Times New Roman" w:hAnsi="Times New Roman" w:cs="Times New Roman"/>
        </w:rPr>
      </w:pPr>
      <w:r w:rsidRPr="00BF72FE">
        <w:rPr>
          <w:rStyle w:val="Strong"/>
          <w:rFonts w:ascii="Times New Roman" w:hAnsi="Times New Roman" w:cs="Times New Roman"/>
          <w:b w:val="0"/>
          <w:bCs w:val="0"/>
        </w:rPr>
        <w:t>4.1. Economic and Social Consequences</w:t>
      </w:r>
    </w:p>
    <w:p w14:paraId="6DACD355" w14:textId="77777777" w:rsidR="00BF72FE" w:rsidRPr="00BF72FE" w:rsidRDefault="00BF72FE" w:rsidP="00BF72FE">
      <w:pPr>
        <w:spacing w:before="100" w:beforeAutospacing="1" w:after="100" w:afterAutospacing="1" w:line="276" w:lineRule="auto"/>
      </w:pPr>
      <w:r w:rsidRPr="00BF72FE">
        <w:t>The current law discourages consumer confidence in purchasing goods. Reforming it to protect good-faith purchasers would have widespread economic benefits by promoting trust in commercial transactions.</w:t>
      </w:r>
    </w:p>
    <w:p w14:paraId="1A345686" w14:textId="77777777" w:rsidR="00BF72FE" w:rsidRPr="00BF72FE" w:rsidRDefault="00BF72FE" w:rsidP="00BF72FE">
      <w:pPr>
        <w:pStyle w:val="Heading4"/>
        <w:spacing w:line="276" w:lineRule="auto"/>
        <w:rPr>
          <w:rFonts w:ascii="Times New Roman" w:hAnsi="Times New Roman" w:cs="Times New Roman"/>
        </w:rPr>
      </w:pPr>
      <w:r w:rsidRPr="00BF72FE">
        <w:rPr>
          <w:rStyle w:val="Strong"/>
          <w:rFonts w:ascii="Times New Roman" w:hAnsi="Times New Roman" w:cs="Times New Roman"/>
          <w:b w:val="0"/>
          <w:bCs w:val="0"/>
        </w:rPr>
        <w:t>4.2. Modernizing the Face-to-Face Principle</w:t>
      </w:r>
    </w:p>
    <w:p w14:paraId="64E802B5" w14:textId="77777777" w:rsidR="00BF72FE" w:rsidRPr="00BF72FE" w:rsidRDefault="00BF72FE" w:rsidP="00BF72FE">
      <w:pPr>
        <w:spacing w:before="100" w:beforeAutospacing="1" w:after="100" w:afterAutospacing="1" w:line="276" w:lineRule="auto"/>
      </w:pPr>
      <w:r w:rsidRPr="00BF72FE">
        <w:t xml:space="preserve">The rejection of the "face-to-face principle" in </w:t>
      </w:r>
      <w:r w:rsidRPr="00BF72FE">
        <w:rPr>
          <w:rStyle w:val="Strong"/>
          <w:rFonts w:eastAsiaTheme="majorEastAsia"/>
        </w:rPr>
        <w:t>Shogun Finance</w:t>
      </w:r>
      <w:r w:rsidRPr="00BF72FE">
        <w:t xml:space="preserve"> has been criticized for failing to adapt to modern methods of commerce. Lord Millett proposed treating all forms of communication equally to ensure fairness:</w:t>
      </w:r>
    </w:p>
    <w:p w14:paraId="08CD35F5" w14:textId="44993162" w:rsidR="00BF72FE" w:rsidRPr="00BF72FE" w:rsidRDefault="00BF72FE" w:rsidP="00BF72FE">
      <w:pPr>
        <w:pStyle w:val="NormalWeb"/>
        <w:spacing w:line="276" w:lineRule="auto"/>
      </w:pPr>
      <w:r w:rsidRPr="00BF72FE">
        <w:t xml:space="preserve">"There is no difference of substance between contracts made face to face and contracts made over the telephone, by </w:t>
      </w:r>
      <w:proofErr w:type="spellStart"/>
      <w:r w:rsidRPr="00BF72FE">
        <w:t>videolink</w:t>
      </w:r>
      <w:proofErr w:type="spellEnd"/>
      <w:r w:rsidRPr="00BF72FE">
        <w:t xml:space="preserve"> or even by post."</w:t>
      </w:r>
    </w:p>
    <w:p w14:paraId="45BDE2FA" w14:textId="77777777" w:rsidR="00BF72FE" w:rsidRPr="00BF72FE" w:rsidRDefault="00BF72FE" w:rsidP="00BF72FE">
      <w:pPr>
        <w:spacing w:before="100" w:beforeAutospacing="1" w:after="100" w:afterAutospacing="1" w:line="276" w:lineRule="auto"/>
      </w:pPr>
    </w:p>
    <w:p w14:paraId="063B3883" w14:textId="4F3D2094" w:rsidR="00033194" w:rsidRPr="00BF72FE" w:rsidRDefault="00BF72FE" w:rsidP="00BF72FE">
      <w:pPr>
        <w:spacing w:before="100" w:beforeAutospacing="1" w:after="100" w:afterAutospacing="1" w:line="276" w:lineRule="auto"/>
      </w:pPr>
      <w:r w:rsidRPr="00BF72FE">
        <w:t xml:space="preserve">ii. </w:t>
      </w:r>
      <w:r w:rsidR="00033194" w:rsidRPr="00BF72FE">
        <w:t>Battersby observes that the framework inadequately addresses the realities of modern commerce, leaving purchasers who rely on apparent legitimacy without recourse in situations where fairness should dictate otherwise (</w:t>
      </w:r>
      <w:r w:rsidR="00033194" w:rsidRPr="00BF72FE">
        <w:rPr>
          <w:rStyle w:val="Emphasis"/>
          <w:rFonts w:eastAsiaTheme="majorEastAsia"/>
        </w:rPr>
        <w:t>The Sale of Stolen Goods: A Dilemma for the Law</w:t>
      </w:r>
      <w:r w:rsidR="00033194" w:rsidRPr="00BF72FE">
        <w:t>, Graham Battersby, 1991).</w:t>
      </w:r>
    </w:p>
    <w:p w14:paraId="56477037" w14:textId="77777777" w:rsidR="00BF72FE" w:rsidRPr="00BF72FE" w:rsidRDefault="00BF72FE" w:rsidP="00BF72FE">
      <w:pPr>
        <w:spacing w:before="100" w:beforeAutospacing="1" w:after="100" w:afterAutospacing="1" w:line="276" w:lineRule="auto"/>
        <w:rPr>
          <w:b/>
          <w:bCs/>
        </w:rPr>
      </w:pPr>
    </w:p>
    <w:p w14:paraId="19510A98" w14:textId="50B1F66C" w:rsidR="00494D91" w:rsidRPr="00BF72FE" w:rsidRDefault="00494D91" w:rsidP="00BF72FE">
      <w:pPr>
        <w:spacing w:before="100" w:beforeAutospacing="1" w:after="100" w:afterAutospacing="1" w:line="276" w:lineRule="auto"/>
        <w:rPr>
          <w:color w:val="2F5496" w:themeColor="accent1" w:themeShade="BF"/>
        </w:rPr>
      </w:pPr>
      <w:r w:rsidRPr="00BF72FE">
        <w:rPr>
          <w:color w:val="2F5496" w:themeColor="accent1" w:themeShade="BF"/>
        </w:rPr>
        <w:t>4. Neglect of Owner’s Fault and Need for Apportionment</w:t>
      </w:r>
    </w:p>
    <w:p w14:paraId="5510301A" w14:textId="77777777" w:rsidR="00494D91" w:rsidRPr="00BF72FE" w:rsidRDefault="00494D91" w:rsidP="00BF72FE">
      <w:pPr>
        <w:spacing w:before="100" w:beforeAutospacing="1" w:after="100" w:afterAutospacing="1" w:line="276" w:lineRule="auto"/>
      </w:pPr>
      <w:r w:rsidRPr="00BF72FE">
        <w:lastRenderedPageBreak/>
        <w:t xml:space="preserve">The </w:t>
      </w:r>
      <w:r w:rsidRPr="00BF72FE">
        <w:rPr>
          <w:b/>
          <w:bCs/>
        </w:rPr>
        <w:t xml:space="preserve">nemo </w:t>
      </w:r>
      <w:proofErr w:type="spellStart"/>
      <w:r w:rsidRPr="00BF72FE">
        <w:rPr>
          <w:b/>
          <w:bCs/>
        </w:rPr>
        <w:t>dat</w:t>
      </w:r>
      <w:proofErr w:type="spellEnd"/>
      <w:r w:rsidRPr="00BF72FE">
        <w:t xml:space="preserve"> rule rarely considers the owner’s potential negligence in facilitating fraud. This omission allows owners to shift the entire burden of loss onto innocent purchasers, even when their own conduct contributed to the fraudulent transaction.</w:t>
      </w:r>
    </w:p>
    <w:p w14:paraId="691228D7" w14:textId="6D2CA475" w:rsidR="00494D91" w:rsidRPr="00BF72FE" w:rsidRDefault="00494D91" w:rsidP="00BF72FE">
      <w:pPr>
        <w:spacing w:before="100" w:beforeAutospacing="1" w:after="100" w:afterAutospacing="1" w:line="276" w:lineRule="auto"/>
      </w:pPr>
      <w:r w:rsidRPr="00BF72FE">
        <w:rPr>
          <w:b/>
          <w:bCs/>
        </w:rPr>
        <w:t>Criticism of Owner's Accountability:</w:t>
      </w:r>
      <w:r w:rsidRPr="00BF72FE">
        <w:br/>
        <w:t xml:space="preserve">Battersby asserts that "the doctrine insufficiently holds owners accountable when they lend credibility to unauthorized sellers through their conduct," leaving innocent purchasers to suffer the consequences </w:t>
      </w:r>
      <w:r w:rsidR="00033194" w:rsidRPr="00BF72FE">
        <w:t>(</w:t>
      </w:r>
      <w:r w:rsidR="00033194" w:rsidRPr="00BF72FE">
        <w:rPr>
          <w:rStyle w:val="Emphasis"/>
          <w:rFonts w:eastAsiaTheme="majorEastAsia"/>
        </w:rPr>
        <w:t>The Sale of Stolen Goods: A Dilemma for the Law</w:t>
      </w:r>
      <w:r w:rsidR="00033194" w:rsidRPr="00BF72FE">
        <w:t xml:space="preserve">, Graham Battersby, 1991). </w:t>
      </w:r>
      <w:r w:rsidRPr="00BF72FE">
        <w:t>For example, when owners fail to properly secure goods or monitor transactions, they contribute to the circumstances that enable fraud yet face no repercussions under the current legal framework.</w:t>
      </w:r>
    </w:p>
    <w:p w14:paraId="7889B7F3" w14:textId="49BBC343" w:rsidR="00033194" w:rsidRPr="00BF72FE" w:rsidRDefault="00494D91" w:rsidP="00BF72FE">
      <w:pPr>
        <w:spacing w:before="100" w:beforeAutospacing="1" w:after="100" w:afterAutospacing="1" w:line="276" w:lineRule="auto"/>
      </w:pPr>
      <w:r w:rsidRPr="00BF72FE">
        <w:rPr>
          <w:b/>
          <w:bCs/>
        </w:rPr>
        <w:t>Judicial Commentary on Apportionment:</w:t>
      </w:r>
      <w:r w:rsidRPr="00BF72FE">
        <w:br/>
        <w:t>The "all or nothing" approach of the current system has been widely criticized for its inequity</w:t>
      </w:r>
      <w:r w:rsidR="00033194" w:rsidRPr="00BF72FE">
        <w:t xml:space="preserve">. In </w:t>
      </w:r>
      <w:r w:rsidR="00033194" w:rsidRPr="00BF72FE">
        <w:rPr>
          <w:rStyle w:val="Emphasis"/>
          <w:rFonts w:eastAsiaTheme="majorEastAsia"/>
        </w:rPr>
        <w:t>Ingram v Little</w:t>
      </w:r>
      <w:r w:rsidR="00033194" w:rsidRPr="00BF72FE">
        <w:t xml:space="preserve"> [1961] QB 31, Devlin LJ proposed a more equitable solution through apportionment, suggesting that losses should be distributed proportionately based on relative fault. Louise Merrett supports this approach, stating that it would "better align legal outcomes with principles of fairness and shared responsibility" (</w:t>
      </w:r>
      <w:r w:rsidR="00033194" w:rsidRPr="00BF72FE">
        <w:rPr>
          <w:rStyle w:val="Emphasis"/>
          <w:rFonts w:eastAsiaTheme="majorEastAsia"/>
        </w:rPr>
        <w:t>The Importance of Delivery and Possession in the Passing of Title</w:t>
      </w:r>
      <w:r w:rsidR="00033194" w:rsidRPr="00BF72FE">
        <w:t>, Louise Merrett, 2008).</w:t>
      </w:r>
      <w:r w:rsidR="00033194" w:rsidRPr="00BF72FE">
        <w:rPr>
          <w:rStyle w:val="Strong"/>
          <w:rFonts w:eastAsiaTheme="majorEastAsia"/>
          <w:b w:val="0"/>
          <w:bCs w:val="0"/>
        </w:rPr>
        <w:t>Evaluation and Summary</w:t>
      </w:r>
    </w:p>
    <w:p w14:paraId="581E4B34" w14:textId="4187E3E3" w:rsidR="00033194" w:rsidRPr="00BF72FE" w:rsidRDefault="00033194" w:rsidP="00BF72FE">
      <w:pPr>
        <w:pStyle w:val="NormalWeb"/>
        <w:spacing w:line="276" w:lineRule="auto"/>
        <w:rPr>
          <w:b/>
          <w:bCs/>
        </w:rPr>
      </w:pPr>
      <w:r w:rsidRPr="00BF72FE">
        <w:rPr>
          <w:b/>
          <w:bCs/>
        </w:rPr>
        <w:t>Evaluation and Summary</w:t>
      </w:r>
    </w:p>
    <w:p w14:paraId="5662E627" w14:textId="433EB7CF" w:rsidR="00033194" w:rsidRPr="00BF72FE" w:rsidRDefault="00033194" w:rsidP="00BF72FE">
      <w:pPr>
        <w:pStyle w:val="NormalWeb"/>
        <w:spacing w:line="276" w:lineRule="auto"/>
      </w:pPr>
      <w:r w:rsidRPr="00BF72FE">
        <w:t xml:space="preserve">The </w:t>
      </w:r>
      <w:r w:rsidRPr="00BF72FE">
        <w:rPr>
          <w:rStyle w:val="Strong"/>
          <w:rFonts w:eastAsiaTheme="majorEastAsia"/>
        </w:rPr>
        <w:t xml:space="preserve">nemo </w:t>
      </w:r>
      <w:proofErr w:type="spellStart"/>
      <w:r w:rsidRPr="00BF72FE">
        <w:rPr>
          <w:rStyle w:val="Strong"/>
          <w:rFonts w:eastAsiaTheme="majorEastAsia"/>
        </w:rPr>
        <w:t>dat</w:t>
      </w:r>
      <w:proofErr w:type="spellEnd"/>
      <w:r w:rsidRPr="00BF72FE">
        <w:t xml:space="preserve"> rule and its exceptions present significant challenges in reconciling ownership rights with the practical needs of commerce. Scholars and judges have consistently highlighted the framework's overemphasis on ownership, the inconsistencies in its statutory exceptions, and its failure to address owner negligence. Proposals for reform, such as the apportionment of loss, simplification of statutory provisions, and expansion of estoppel, could address these shortcomings and create a fairer balance between the interests of owners and purchasers. As Battersby concludes, "the law’s current state reflects an uneasy compromise that fails to satisfy either party" (</w:t>
      </w:r>
      <w:r w:rsidRPr="00BF72FE">
        <w:rPr>
          <w:rStyle w:val="Emphasis"/>
          <w:rFonts w:eastAsiaTheme="majorEastAsia"/>
        </w:rPr>
        <w:t>The Sale of Stolen Goods: A Dilemma for the Law</w:t>
      </w:r>
      <w:r w:rsidRPr="00BF72FE">
        <w:t>, Graham Battersby, 1991).</w:t>
      </w:r>
    </w:p>
    <w:p w14:paraId="4D744A20" w14:textId="77777777" w:rsidR="00033194" w:rsidRPr="00BF72FE" w:rsidRDefault="00033194" w:rsidP="00BF72FE">
      <w:pPr>
        <w:pStyle w:val="Heading3"/>
        <w:spacing w:line="276" w:lineRule="auto"/>
        <w:rPr>
          <w:rFonts w:ascii="Times New Roman" w:hAnsi="Times New Roman" w:cs="Times New Roman"/>
          <w:sz w:val="24"/>
          <w:szCs w:val="24"/>
        </w:rPr>
      </w:pPr>
      <w:r w:rsidRPr="00BF72FE">
        <w:rPr>
          <w:rStyle w:val="Strong"/>
          <w:rFonts w:ascii="Times New Roman" w:hAnsi="Times New Roman" w:cs="Times New Roman"/>
          <w:b w:val="0"/>
          <w:bCs w:val="0"/>
          <w:sz w:val="24"/>
          <w:szCs w:val="24"/>
        </w:rPr>
        <w:t>4. Proposals for Reform of the Nemo Dat Rule</w:t>
      </w:r>
    </w:p>
    <w:p w14:paraId="70B0897E" w14:textId="1E1770B6" w:rsidR="00033194" w:rsidRPr="00BF72FE" w:rsidRDefault="00033194" w:rsidP="00BF72FE">
      <w:pPr>
        <w:pStyle w:val="NormalWeb"/>
        <w:spacing w:line="276" w:lineRule="auto"/>
      </w:pPr>
      <w:r w:rsidRPr="00BF72FE">
        <w:t xml:space="preserve">The existing framework of the </w:t>
      </w:r>
      <w:r w:rsidRPr="00BF72FE">
        <w:rPr>
          <w:rStyle w:val="Strong"/>
          <w:rFonts w:eastAsiaTheme="majorEastAsia"/>
        </w:rPr>
        <w:t xml:space="preserve">nemo </w:t>
      </w:r>
      <w:proofErr w:type="spellStart"/>
      <w:r w:rsidRPr="00BF72FE">
        <w:rPr>
          <w:rStyle w:val="Strong"/>
          <w:rFonts w:eastAsiaTheme="majorEastAsia"/>
        </w:rPr>
        <w:t>dat</w:t>
      </w:r>
      <w:proofErr w:type="spellEnd"/>
      <w:r w:rsidRPr="00BF72FE">
        <w:t xml:space="preserve"> rule and its exceptions has been widely criticized for its complexity, inequity, and inability to address the realities of modern commerce. Scholars and judges alike have proposed reforms aimed at creating a more cohesive and equitable system. This section explores key recommendations for reform, drawing on statutory critique, judicial insights, and academic proposals.</w:t>
      </w:r>
    </w:p>
    <w:p w14:paraId="3F97A734" w14:textId="77777777" w:rsidR="00033194" w:rsidRPr="00BF72FE" w:rsidRDefault="00033194" w:rsidP="00BF72FE">
      <w:pPr>
        <w:pStyle w:val="Heading4"/>
        <w:spacing w:line="276" w:lineRule="auto"/>
        <w:rPr>
          <w:rFonts w:ascii="Times New Roman" w:hAnsi="Times New Roman" w:cs="Times New Roman"/>
        </w:rPr>
      </w:pPr>
      <w:r w:rsidRPr="00BF72FE">
        <w:rPr>
          <w:rStyle w:val="Strong"/>
          <w:rFonts w:ascii="Times New Roman" w:hAnsi="Times New Roman" w:cs="Times New Roman"/>
          <w:b w:val="0"/>
          <w:bCs w:val="0"/>
        </w:rPr>
        <w:t>A. Codification and Simplification</w:t>
      </w:r>
    </w:p>
    <w:p w14:paraId="37F641A5" w14:textId="77777777" w:rsidR="00033194" w:rsidRPr="00BF72FE" w:rsidRDefault="00033194" w:rsidP="00BF72FE">
      <w:pPr>
        <w:pStyle w:val="NormalWeb"/>
        <w:spacing w:line="276" w:lineRule="auto"/>
      </w:pPr>
      <w:r w:rsidRPr="00BF72FE">
        <w:t xml:space="preserve">The overlapping provisions in the Sale of Goods Act 1979 and the Factors Act 1889 have created confusion and inconsistency in the application of the </w:t>
      </w:r>
      <w:r w:rsidRPr="00BF72FE">
        <w:rPr>
          <w:rStyle w:val="Strong"/>
          <w:rFonts w:eastAsiaTheme="majorEastAsia"/>
        </w:rPr>
        <w:t xml:space="preserve">nemo </w:t>
      </w:r>
      <w:proofErr w:type="spellStart"/>
      <w:r w:rsidRPr="00BF72FE">
        <w:rPr>
          <w:rStyle w:val="Strong"/>
          <w:rFonts w:eastAsiaTheme="majorEastAsia"/>
        </w:rPr>
        <w:t>dat</w:t>
      </w:r>
      <w:proofErr w:type="spellEnd"/>
      <w:r w:rsidRPr="00BF72FE">
        <w:t xml:space="preserve"> rule. Scholars have consistently emphasized the need for a unified legislative framework:</w:t>
      </w:r>
    </w:p>
    <w:p w14:paraId="7D4122EA" w14:textId="77777777" w:rsidR="00033194" w:rsidRPr="00BF72FE" w:rsidRDefault="00033194" w:rsidP="00BF72FE">
      <w:pPr>
        <w:numPr>
          <w:ilvl w:val="0"/>
          <w:numId w:val="21"/>
        </w:numPr>
        <w:spacing w:before="100" w:beforeAutospacing="1" w:after="100" w:afterAutospacing="1" w:line="276" w:lineRule="auto"/>
      </w:pPr>
      <w:proofErr w:type="spellStart"/>
      <w:r w:rsidRPr="00BF72FE">
        <w:rPr>
          <w:rStyle w:val="Strong"/>
          <w:rFonts w:eastAsiaTheme="majorEastAsia"/>
        </w:rPr>
        <w:lastRenderedPageBreak/>
        <w:t>Thornely</w:t>
      </w:r>
      <w:proofErr w:type="spellEnd"/>
      <w:r w:rsidRPr="00BF72FE">
        <w:t xml:space="preserve"> highlights the urgent need for reform, stating that "the Factors Act and Sale of Goods Act require a thorough </w:t>
      </w:r>
      <w:proofErr w:type="spellStart"/>
      <w:r w:rsidRPr="00BF72FE">
        <w:t>reevaluation</w:t>
      </w:r>
      <w:proofErr w:type="spellEnd"/>
      <w:r w:rsidRPr="00BF72FE">
        <w:t xml:space="preserve"> to reflect modern commercial practices" (</w:t>
      </w:r>
      <w:r w:rsidRPr="00BF72FE">
        <w:rPr>
          <w:rStyle w:val="Emphasis"/>
          <w:rFonts w:eastAsiaTheme="majorEastAsia"/>
        </w:rPr>
        <w:t>Thieves, Rogues, Innocent Purchasers and Legislative Tangles</w:t>
      </w:r>
      <w:r w:rsidRPr="00BF72FE">
        <w:t xml:space="preserve">, J.W.A. </w:t>
      </w:r>
      <w:proofErr w:type="spellStart"/>
      <w:r w:rsidRPr="00BF72FE">
        <w:t>Thornely</w:t>
      </w:r>
      <w:proofErr w:type="spellEnd"/>
      <w:r w:rsidRPr="00BF72FE">
        <w:t>, 1988).</w:t>
      </w:r>
    </w:p>
    <w:p w14:paraId="46E57241" w14:textId="77777777" w:rsidR="00033194" w:rsidRPr="00BF72FE" w:rsidRDefault="00033194" w:rsidP="00BF72FE">
      <w:pPr>
        <w:numPr>
          <w:ilvl w:val="0"/>
          <w:numId w:val="21"/>
        </w:numPr>
        <w:spacing w:before="100" w:beforeAutospacing="1" w:after="100" w:afterAutospacing="1" w:line="276" w:lineRule="auto"/>
      </w:pPr>
      <w:r w:rsidRPr="00BF72FE">
        <w:rPr>
          <w:rStyle w:val="Strong"/>
          <w:rFonts w:eastAsiaTheme="majorEastAsia"/>
        </w:rPr>
        <w:t>Merrett</w:t>
      </w:r>
      <w:r w:rsidRPr="00BF72FE">
        <w:t xml:space="preserve"> similarly argues that the current framework "fails to represent a cohesive set of rules for balancing the conflicting interests of owners and buyers" (</w:t>
      </w:r>
      <w:r w:rsidRPr="00BF72FE">
        <w:rPr>
          <w:rStyle w:val="Emphasis"/>
          <w:rFonts w:eastAsiaTheme="majorEastAsia"/>
        </w:rPr>
        <w:t>The Importance of Delivery and Possession in the Passing of Title</w:t>
      </w:r>
      <w:r w:rsidRPr="00BF72FE">
        <w:t>, Louise Merrett, 2008).</w:t>
      </w:r>
    </w:p>
    <w:p w14:paraId="694459DD" w14:textId="3654FFE4" w:rsidR="00033194" w:rsidRPr="00BF72FE" w:rsidRDefault="00033194" w:rsidP="00BF72FE">
      <w:pPr>
        <w:numPr>
          <w:ilvl w:val="0"/>
          <w:numId w:val="21"/>
        </w:numPr>
        <w:spacing w:before="100" w:beforeAutospacing="1" w:after="100" w:afterAutospacing="1" w:line="276" w:lineRule="auto"/>
      </w:pPr>
      <w:r w:rsidRPr="00BF72FE">
        <w:t>A consolidated statute would reduce technical ambiguities, streamline judicial interpretation, and provide clear guidance for resolving title disputes. This codification would align legal doctrine with the practical realities of commercial transactions, ensuring consistency and fairness.</w:t>
      </w:r>
    </w:p>
    <w:p w14:paraId="7E38609A" w14:textId="77777777" w:rsidR="00033194" w:rsidRPr="00BF72FE" w:rsidRDefault="00033194" w:rsidP="00BF72FE">
      <w:pPr>
        <w:pStyle w:val="Heading4"/>
        <w:spacing w:line="276" w:lineRule="auto"/>
        <w:rPr>
          <w:rFonts w:ascii="Times New Roman" w:hAnsi="Times New Roman" w:cs="Times New Roman"/>
        </w:rPr>
      </w:pPr>
      <w:r w:rsidRPr="00BF72FE">
        <w:rPr>
          <w:rStyle w:val="Strong"/>
          <w:rFonts w:ascii="Times New Roman" w:hAnsi="Times New Roman" w:cs="Times New Roman"/>
          <w:b w:val="0"/>
          <w:bCs w:val="0"/>
        </w:rPr>
        <w:t>B. Enhanced Consumer Protection</w:t>
      </w:r>
    </w:p>
    <w:p w14:paraId="53DEF4AC" w14:textId="77777777" w:rsidR="00033194" w:rsidRPr="00BF72FE" w:rsidRDefault="00033194" w:rsidP="00BF72FE">
      <w:pPr>
        <w:pStyle w:val="NormalWeb"/>
        <w:spacing w:line="276" w:lineRule="auto"/>
      </w:pPr>
      <w:r w:rsidRPr="00BF72FE">
        <w:t xml:space="preserve">Good faith purchasers often face significant risks under the </w:t>
      </w:r>
      <w:r w:rsidRPr="00BF72FE">
        <w:rPr>
          <w:rStyle w:val="Strong"/>
          <w:rFonts w:eastAsiaTheme="majorEastAsia"/>
        </w:rPr>
        <w:t xml:space="preserve">nemo </w:t>
      </w:r>
      <w:proofErr w:type="spellStart"/>
      <w:r w:rsidRPr="00BF72FE">
        <w:rPr>
          <w:rStyle w:val="Strong"/>
          <w:rFonts w:eastAsiaTheme="majorEastAsia"/>
        </w:rPr>
        <w:t>dat</w:t>
      </w:r>
      <w:proofErr w:type="spellEnd"/>
      <w:r w:rsidRPr="00BF72FE">
        <w:t xml:space="preserve"> rule, particularly in cases of fraudulent sales. Scholars advocate for enhanced protections to ensure equity for innocent buyers:</w:t>
      </w:r>
    </w:p>
    <w:p w14:paraId="2B5D4693" w14:textId="77777777" w:rsidR="00033194" w:rsidRPr="00BF72FE" w:rsidRDefault="00033194" w:rsidP="00BF72FE">
      <w:pPr>
        <w:numPr>
          <w:ilvl w:val="0"/>
          <w:numId w:val="22"/>
        </w:numPr>
        <w:spacing w:before="100" w:beforeAutospacing="1" w:after="100" w:afterAutospacing="1" w:line="276" w:lineRule="auto"/>
      </w:pPr>
      <w:r w:rsidRPr="00BF72FE">
        <w:rPr>
          <w:rStyle w:val="Strong"/>
          <w:rFonts w:eastAsiaTheme="majorEastAsia"/>
        </w:rPr>
        <w:t>Foster</w:t>
      </w:r>
      <w:r w:rsidRPr="00BF72FE">
        <w:t xml:space="preserve"> argues that "owners, as the parties with greater control over their property, should assume more responsibility for ensuring secure transactions" (</w:t>
      </w:r>
      <w:r w:rsidRPr="00BF72FE">
        <w:rPr>
          <w:rStyle w:val="Emphasis"/>
          <w:rFonts w:eastAsiaTheme="majorEastAsia"/>
        </w:rPr>
        <w:t>Sale by a Non-Owner: Striking a Fair Balance</w:t>
      </w:r>
      <w:r w:rsidRPr="00BF72FE">
        <w:t>, Angela Foster, 2004).</w:t>
      </w:r>
    </w:p>
    <w:p w14:paraId="42ADE1C3" w14:textId="3E08073A" w:rsidR="00033194" w:rsidRPr="00BF72FE" w:rsidRDefault="00033194" w:rsidP="00BF72FE">
      <w:pPr>
        <w:numPr>
          <w:ilvl w:val="0"/>
          <w:numId w:val="22"/>
        </w:numPr>
        <w:spacing w:before="100" w:beforeAutospacing="1" w:after="100" w:afterAutospacing="1" w:line="276" w:lineRule="auto"/>
      </w:pPr>
      <w:r w:rsidRPr="00BF72FE">
        <w:t xml:space="preserve">In </w:t>
      </w:r>
      <w:r w:rsidRPr="00BF72FE">
        <w:rPr>
          <w:rStyle w:val="Emphasis"/>
          <w:rFonts w:eastAsiaTheme="majorEastAsia"/>
        </w:rPr>
        <w:t>Shogun Finance Ltd v Hudson</w:t>
      </w:r>
      <w:r w:rsidRPr="00BF72FE">
        <w:t xml:space="preserve"> [2003] UKHL 62, the vulnerability of good faith purchasers was starkly highlighted, as the innocent buyer was left without title due to a fraudster’s actions. Expanding statutory protections under the Sale of Goods Act 1979 could mitigate such inequities, ensuring that buyers acting reasonably and in good faith are not left without recourse.</w:t>
      </w:r>
    </w:p>
    <w:p w14:paraId="23BACF4E" w14:textId="77777777" w:rsidR="00033194" w:rsidRPr="00BF72FE" w:rsidRDefault="00033194" w:rsidP="00BF72FE">
      <w:pPr>
        <w:pStyle w:val="Heading4"/>
        <w:spacing w:line="276" w:lineRule="auto"/>
        <w:rPr>
          <w:rFonts w:ascii="Times New Roman" w:hAnsi="Times New Roman" w:cs="Times New Roman"/>
        </w:rPr>
      </w:pPr>
      <w:r w:rsidRPr="00BF72FE">
        <w:rPr>
          <w:rStyle w:val="Strong"/>
          <w:rFonts w:ascii="Times New Roman" w:hAnsi="Times New Roman" w:cs="Times New Roman"/>
          <w:b w:val="0"/>
          <w:bCs w:val="0"/>
        </w:rPr>
        <w:t>C. Reintroduction of Market Overt Principles</w:t>
      </w:r>
    </w:p>
    <w:p w14:paraId="50AFB887" w14:textId="77777777" w:rsidR="00033194" w:rsidRPr="00BF72FE" w:rsidRDefault="00033194" w:rsidP="00BF72FE">
      <w:pPr>
        <w:pStyle w:val="NormalWeb"/>
        <w:spacing w:line="276" w:lineRule="auto"/>
      </w:pPr>
      <w:r w:rsidRPr="00BF72FE">
        <w:t>The market overt rule, abolished by the Sale of Goods (Amendment) Act 1994, provided significant protections for good faith purchasers in certain commercial settings. Some scholars propose its revival in a modernized form:</w:t>
      </w:r>
    </w:p>
    <w:p w14:paraId="0047010B" w14:textId="77777777" w:rsidR="00033194" w:rsidRPr="00BF72FE" w:rsidRDefault="00033194" w:rsidP="00BF72FE">
      <w:pPr>
        <w:numPr>
          <w:ilvl w:val="0"/>
          <w:numId w:val="23"/>
        </w:numPr>
        <w:spacing w:before="100" w:beforeAutospacing="1" w:after="100" w:afterAutospacing="1" w:line="276" w:lineRule="auto"/>
      </w:pPr>
      <w:r w:rsidRPr="00BF72FE">
        <w:rPr>
          <w:rStyle w:val="Strong"/>
          <w:rFonts w:eastAsiaTheme="majorEastAsia"/>
        </w:rPr>
        <w:t>Elliott</w:t>
      </w:r>
      <w:r w:rsidRPr="00BF72FE">
        <w:t xml:space="preserve"> advocates for a revised rule that would allow good faith purchasers to acquire good title, shifting the burden of proving title issues to sellers (</w:t>
      </w:r>
      <w:r w:rsidRPr="00BF72FE">
        <w:rPr>
          <w:rStyle w:val="Emphasis"/>
          <w:rFonts w:eastAsiaTheme="majorEastAsia"/>
        </w:rPr>
        <w:t>No Justice for Innocent Purchasers of Dishonestly Obtained Goods</w:t>
      </w:r>
      <w:r w:rsidRPr="00BF72FE">
        <w:t>, Catherine Elliott, 2004).</w:t>
      </w:r>
    </w:p>
    <w:p w14:paraId="7102A8E8" w14:textId="086ADA27" w:rsidR="00033194" w:rsidRPr="00BF72FE" w:rsidRDefault="00033194" w:rsidP="00BF72FE">
      <w:pPr>
        <w:numPr>
          <w:ilvl w:val="0"/>
          <w:numId w:val="23"/>
        </w:numPr>
        <w:spacing w:before="100" w:beforeAutospacing="1" w:after="100" w:afterAutospacing="1" w:line="276" w:lineRule="auto"/>
      </w:pPr>
      <w:r w:rsidRPr="00BF72FE">
        <w:t>A modern market overt principle could include safeguards to prevent abuse, such as requiring sellers to maintain clear documentation of title and ensuring that transactions are conducted in legitimate trade settings.</w:t>
      </w:r>
    </w:p>
    <w:p w14:paraId="0E16C0F3" w14:textId="77777777" w:rsidR="00033194" w:rsidRPr="00BF72FE" w:rsidRDefault="00033194" w:rsidP="00BF72FE">
      <w:pPr>
        <w:pStyle w:val="Heading4"/>
        <w:spacing w:line="276" w:lineRule="auto"/>
        <w:rPr>
          <w:rFonts w:ascii="Times New Roman" w:hAnsi="Times New Roman" w:cs="Times New Roman"/>
        </w:rPr>
      </w:pPr>
      <w:r w:rsidRPr="00BF72FE">
        <w:rPr>
          <w:rStyle w:val="Strong"/>
          <w:rFonts w:ascii="Times New Roman" w:hAnsi="Times New Roman" w:cs="Times New Roman"/>
          <w:b w:val="0"/>
          <w:bCs w:val="0"/>
        </w:rPr>
        <w:t>D. Apportionment of Loss</w:t>
      </w:r>
    </w:p>
    <w:p w14:paraId="19F4D6B6" w14:textId="77777777" w:rsidR="00033194" w:rsidRPr="00BF72FE" w:rsidRDefault="00033194" w:rsidP="00BF72FE">
      <w:pPr>
        <w:pStyle w:val="NormalWeb"/>
        <w:spacing w:line="276" w:lineRule="auto"/>
      </w:pPr>
      <w:r w:rsidRPr="00BF72FE">
        <w:t>The "all or nothing" approach of the current system often results in harsh outcomes, with one party bearing the entire loss regardless of fault. Apportionment mechanisms have been proposed to address this imbalance:</w:t>
      </w:r>
    </w:p>
    <w:p w14:paraId="60DDD2F1" w14:textId="77777777" w:rsidR="00033194" w:rsidRPr="00BF72FE" w:rsidRDefault="00033194" w:rsidP="00BF72FE">
      <w:pPr>
        <w:numPr>
          <w:ilvl w:val="0"/>
          <w:numId w:val="24"/>
        </w:numPr>
        <w:spacing w:before="100" w:beforeAutospacing="1" w:after="100" w:afterAutospacing="1" w:line="276" w:lineRule="auto"/>
      </w:pPr>
      <w:r w:rsidRPr="00BF72FE">
        <w:lastRenderedPageBreak/>
        <w:t xml:space="preserve">In </w:t>
      </w:r>
      <w:r w:rsidRPr="00BF72FE">
        <w:rPr>
          <w:rStyle w:val="Emphasis"/>
          <w:rFonts w:eastAsiaTheme="majorEastAsia"/>
        </w:rPr>
        <w:t>Ingram v Little</w:t>
      </w:r>
      <w:r w:rsidRPr="00BF72FE">
        <w:t xml:space="preserve"> [1961] QB 31, </w:t>
      </w:r>
      <w:r w:rsidRPr="00BF72FE">
        <w:rPr>
          <w:rStyle w:val="Strong"/>
          <w:rFonts w:eastAsiaTheme="majorEastAsia"/>
        </w:rPr>
        <w:t>Devlin LJ</w:t>
      </w:r>
      <w:r w:rsidRPr="00BF72FE">
        <w:t xml:space="preserve"> suggested that courts should have the discretion to distribute losses equitably based on relative culpability, stating that "a more equitable outcome could be achieved by distributing the loss in proportion to the culpability of the parties involved."</w:t>
      </w:r>
    </w:p>
    <w:p w14:paraId="4141E54F" w14:textId="15C7FA67" w:rsidR="00033194" w:rsidRPr="00BF72FE" w:rsidRDefault="00033194" w:rsidP="00BF72FE">
      <w:pPr>
        <w:numPr>
          <w:ilvl w:val="0"/>
          <w:numId w:val="24"/>
        </w:numPr>
        <w:spacing w:before="100" w:beforeAutospacing="1" w:after="100" w:afterAutospacing="1" w:line="276" w:lineRule="auto"/>
      </w:pPr>
      <w:r w:rsidRPr="00BF72FE">
        <w:rPr>
          <w:rStyle w:val="Strong"/>
          <w:rFonts w:eastAsiaTheme="majorEastAsia"/>
        </w:rPr>
        <w:t>Merrett</w:t>
      </w:r>
      <w:r w:rsidRPr="00BF72FE">
        <w:t xml:space="preserve"> supports this approach, noting that it "aligns legal outcomes with principles of fairness and shared responsibility" (</w:t>
      </w:r>
      <w:r w:rsidRPr="00BF72FE">
        <w:rPr>
          <w:rStyle w:val="Emphasis"/>
          <w:rFonts w:eastAsiaTheme="majorEastAsia"/>
        </w:rPr>
        <w:t>The Importance of Delivery and Possession in the Passing of Title</w:t>
      </w:r>
      <w:r w:rsidRPr="00BF72FE">
        <w:t>, Louise Merrett, 2008).</w:t>
      </w:r>
    </w:p>
    <w:p w14:paraId="1806EB95" w14:textId="77777777" w:rsidR="00033194" w:rsidRPr="00BF72FE" w:rsidRDefault="00033194" w:rsidP="00BF72FE">
      <w:pPr>
        <w:pStyle w:val="Heading4"/>
        <w:spacing w:line="276" w:lineRule="auto"/>
        <w:rPr>
          <w:rFonts w:ascii="Times New Roman" w:hAnsi="Times New Roman" w:cs="Times New Roman"/>
        </w:rPr>
      </w:pPr>
      <w:r w:rsidRPr="00BF72FE">
        <w:rPr>
          <w:rStyle w:val="Strong"/>
          <w:rFonts w:ascii="Times New Roman" w:hAnsi="Times New Roman" w:cs="Times New Roman"/>
          <w:b w:val="0"/>
          <w:bCs w:val="0"/>
        </w:rPr>
        <w:t>E. Duty of Care for Owners</w:t>
      </w:r>
    </w:p>
    <w:p w14:paraId="5C886B79" w14:textId="77777777" w:rsidR="00033194" w:rsidRPr="00BF72FE" w:rsidRDefault="00033194" w:rsidP="00BF72FE">
      <w:pPr>
        <w:pStyle w:val="NormalWeb"/>
        <w:spacing w:line="276" w:lineRule="auto"/>
      </w:pPr>
      <w:r w:rsidRPr="00BF72FE">
        <w:t>Imposing a duty of care on owners to mitigate risks of fraud has been proposed as a means of promoting shared responsibility:</w:t>
      </w:r>
    </w:p>
    <w:p w14:paraId="788FF192" w14:textId="77777777" w:rsidR="00033194" w:rsidRPr="00BF72FE" w:rsidRDefault="00033194" w:rsidP="00BF72FE">
      <w:pPr>
        <w:numPr>
          <w:ilvl w:val="0"/>
          <w:numId w:val="25"/>
        </w:numPr>
        <w:spacing w:before="100" w:beforeAutospacing="1" w:after="100" w:afterAutospacing="1" w:line="276" w:lineRule="auto"/>
      </w:pPr>
      <w:r w:rsidRPr="00BF72FE">
        <w:rPr>
          <w:rStyle w:val="Strong"/>
          <w:rFonts w:eastAsiaTheme="majorEastAsia"/>
        </w:rPr>
        <w:t>Battersby</w:t>
      </w:r>
      <w:r w:rsidRPr="00BF72FE">
        <w:t xml:space="preserve"> argues that "owners must bear some responsibility when their negligence in protecting goods enables unauthorized transactions" (</w:t>
      </w:r>
      <w:r w:rsidRPr="00BF72FE">
        <w:rPr>
          <w:rStyle w:val="Emphasis"/>
          <w:rFonts w:eastAsiaTheme="majorEastAsia"/>
        </w:rPr>
        <w:t>The Sale of Stolen Goods: A Dilemma for the Law</w:t>
      </w:r>
      <w:r w:rsidRPr="00BF72FE">
        <w:t>, Graham Battersby, 1991).</w:t>
      </w:r>
    </w:p>
    <w:p w14:paraId="6121B1CE" w14:textId="583A7CAD" w:rsidR="00033194" w:rsidRPr="00BF72FE" w:rsidRDefault="00033194" w:rsidP="00BF72FE">
      <w:pPr>
        <w:numPr>
          <w:ilvl w:val="0"/>
          <w:numId w:val="25"/>
        </w:numPr>
        <w:spacing w:before="100" w:beforeAutospacing="1" w:after="100" w:afterAutospacing="1" w:line="276" w:lineRule="auto"/>
      </w:pPr>
      <w:r w:rsidRPr="00BF72FE">
        <w:t>Such a duty would encourage owners to implement safeguards such as secure documentation and clear identification of title, thereby reducing the likelihood of disputes.</w:t>
      </w:r>
    </w:p>
    <w:p w14:paraId="64AF1F39" w14:textId="77777777" w:rsidR="00033194" w:rsidRPr="00BF72FE" w:rsidRDefault="00033194" w:rsidP="00BF72FE">
      <w:pPr>
        <w:pStyle w:val="Heading4"/>
        <w:spacing w:line="276" w:lineRule="auto"/>
        <w:rPr>
          <w:rFonts w:ascii="Times New Roman" w:hAnsi="Times New Roman" w:cs="Times New Roman"/>
        </w:rPr>
      </w:pPr>
      <w:r w:rsidRPr="00BF72FE">
        <w:rPr>
          <w:rStyle w:val="Strong"/>
          <w:rFonts w:ascii="Times New Roman" w:hAnsi="Times New Roman" w:cs="Times New Roman"/>
          <w:b w:val="0"/>
          <w:bCs w:val="0"/>
        </w:rPr>
        <w:t>F. Introduction of Mandatory Registration Systems</w:t>
      </w:r>
    </w:p>
    <w:p w14:paraId="2D4DC36C" w14:textId="77777777" w:rsidR="00033194" w:rsidRPr="00BF72FE" w:rsidRDefault="00033194" w:rsidP="00BF72FE">
      <w:pPr>
        <w:pStyle w:val="NormalWeb"/>
        <w:spacing w:line="276" w:lineRule="auto"/>
      </w:pPr>
      <w:r w:rsidRPr="00BF72FE">
        <w:t xml:space="preserve">A centralized registration system for high-value goods, </w:t>
      </w:r>
      <w:proofErr w:type="spellStart"/>
      <w:r w:rsidRPr="00BF72FE">
        <w:t>modeled</w:t>
      </w:r>
      <w:proofErr w:type="spellEnd"/>
      <w:r w:rsidRPr="00BF72FE">
        <w:t xml:space="preserve"> after land registries, could provide greater transparency and security in ownership:</w:t>
      </w:r>
    </w:p>
    <w:p w14:paraId="1B4EC76D" w14:textId="77777777" w:rsidR="00033194" w:rsidRPr="00BF72FE" w:rsidRDefault="00033194" w:rsidP="00BF72FE">
      <w:pPr>
        <w:numPr>
          <w:ilvl w:val="0"/>
          <w:numId w:val="26"/>
        </w:numPr>
        <w:spacing w:before="100" w:beforeAutospacing="1" w:after="100" w:afterAutospacing="1" w:line="276" w:lineRule="auto"/>
      </w:pPr>
      <w:proofErr w:type="spellStart"/>
      <w:r w:rsidRPr="00BF72FE">
        <w:rPr>
          <w:rStyle w:val="Strong"/>
          <w:rFonts w:eastAsiaTheme="majorEastAsia"/>
        </w:rPr>
        <w:t>Thornely</w:t>
      </w:r>
      <w:proofErr w:type="spellEnd"/>
      <w:r w:rsidRPr="00BF72FE">
        <w:t xml:space="preserve"> notes that "a centralized system of registration would provide clear evidence of title, reducing disputes over ownership" (</w:t>
      </w:r>
      <w:r w:rsidRPr="00BF72FE">
        <w:rPr>
          <w:rStyle w:val="Emphasis"/>
          <w:rFonts w:eastAsiaTheme="majorEastAsia"/>
        </w:rPr>
        <w:t>Thieves, Rogues, Innocent Purchasers and Legislative Tangles</w:t>
      </w:r>
      <w:r w:rsidRPr="00BF72FE">
        <w:t xml:space="preserve">, J.W.A. </w:t>
      </w:r>
      <w:proofErr w:type="spellStart"/>
      <w:r w:rsidRPr="00BF72FE">
        <w:t>Thornely</w:t>
      </w:r>
      <w:proofErr w:type="spellEnd"/>
      <w:r w:rsidRPr="00BF72FE">
        <w:t>, 1988).</w:t>
      </w:r>
    </w:p>
    <w:p w14:paraId="56DF6CC3" w14:textId="27D7DA96" w:rsidR="00033194" w:rsidRPr="00BF72FE" w:rsidRDefault="00033194" w:rsidP="00BF72FE">
      <w:pPr>
        <w:numPr>
          <w:ilvl w:val="0"/>
          <w:numId w:val="26"/>
        </w:numPr>
        <w:spacing w:before="100" w:beforeAutospacing="1" w:after="100" w:afterAutospacing="1" w:line="276" w:lineRule="auto"/>
      </w:pPr>
      <w:r w:rsidRPr="00BF72FE">
        <w:t>Vehicle registration systems under the Hire Purchase Act 1964 already provide additional protection for private purchasers, demonstrating the potential effectiveness of such models. Expanding registration requirements to other high-value goods could further enhance proprietary security.</w:t>
      </w:r>
    </w:p>
    <w:p w14:paraId="545C6143" w14:textId="77777777" w:rsidR="00033194" w:rsidRPr="00BF72FE" w:rsidRDefault="00033194" w:rsidP="00BF72FE">
      <w:pPr>
        <w:pStyle w:val="Heading4"/>
        <w:spacing w:line="276" w:lineRule="auto"/>
        <w:rPr>
          <w:rFonts w:ascii="Times New Roman" w:hAnsi="Times New Roman" w:cs="Times New Roman"/>
        </w:rPr>
      </w:pPr>
      <w:r w:rsidRPr="00BF72FE">
        <w:rPr>
          <w:rStyle w:val="Strong"/>
          <w:rFonts w:ascii="Times New Roman" w:hAnsi="Times New Roman" w:cs="Times New Roman"/>
          <w:b w:val="0"/>
          <w:bCs w:val="0"/>
        </w:rPr>
        <w:t>G. Stricter Standards for Mercantile Agents</w:t>
      </w:r>
    </w:p>
    <w:p w14:paraId="770C1ACF" w14:textId="77777777" w:rsidR="00033194" w:rsidRPr="00BF72FE" w:rsidRDefault="00033194" w:rsidP="00BF72FE">
      <w:pPr>
        <w:pStyle w:val="NormalWeb"/>
        <w:spacing w:line="276" w:lineRule="auto"/>
      </w:pPr>
      <w:r w:rsidRPr="00BF72FE">
        <w:t>The reliance on mercantile agents under the Factors Act 1889 has been criticized as outdated and prone to abuse:</w:t>
      </w:r>
    </w:p>
    <w:p w14:paraId="266D5E61" w14:textId="77777777" w:rsidR="00033194" w:rsidRPr="00BF72FE" w:rsidRDefault="00033194" w:rsidP="00BF72FE">
      <w:pPr>
        <w:numPr>
          <w:ilvl w:val="0"/>
          <w:numId w:val="27"/>
        </w:numPr>
        <w:spacing w:before="100" w:beforeAutospacing="1" w:after="100" w:afterAutospacing="1" w:line="276" w:lineRule="auto"/>
      </w:pPr>
      <w:r w:rsidRPr="00BF72FE">
        <w:rPr>
          <w:rStyle w:val="Strong"/>
          <w:rFonts w:eastAsiaTheme="majorEastAsia"/>
        </w:rPr>
        <w:t>Hornby</w:t>
      </w:r>
      <w:r w:rsidRPr="00BF72FE">
        <w:t xml:space="preserve"> highlights the need for stricter controls, stating that "modern commerce demands greater accountability and transparency from agents to prevent misuse of authority" (</w:t>
      </w:r>
      <w:r w:rsidRPr="00BF72FE">
        <w:rPr>
          <w:rStyle w:val="Emphasis"/>
          <w:rFonts w:eastAsiaTheme="majorEastAsia"/>
        </w:rPr>
        <w:t>Mercantile Agents and Car Registration Books</w:t>
      </w:r>
      <w:r w:rsidRPr="00BF72FE">
        <w:t>, J.A. Hornby, 1962).</w:t>
      </w:r>
    </w:p>
    <w:p w14:paraId="0BEC1023" w14:textId="72CDF6C7" w:rsidR="00033194" w:rsidRPr="00BF72FE" w:rsidRDefault="00033194" w:rsidP="00BF72FE">
      <w:pPr>
        <w:numPr>
          <w:ilvl w:val="0"/>
          <w:numId w:val="27"/>
        </w:numPr>
        <w:spacing w:before="100" w:beforeAutospacing="1" w:after="100" w:afterAutospacing="1" w:line="276" w:lineRule="auto"/>
      </w:pPr>
      <w:r w:rsidRPr="00BF72FE">
        <w:t>Reforms could include mandatory licensing or certification for mercantile agents and stricter documentation requirements for transactions.</w:t>
      </w:r>
    </w:p>
    <w:p w14:paraId="7A33CEC6" w14:textId="77777777" w:rsidR="00033194" w:rsidRPr="00BF72FE" w:rsidRDefault="00033194" w:rsidP="00BF72FE">
      <w:pPr>
        <w:pStyle w:val="Heading4"/>
        <w:spacing w:line="276" w:lineRule="auto"/>
        <w:rPr>
          <w:rFonts w:ascii="Times New Roman" w:hAnsi="Times New Roman" w:cs="Times New Roman"/>
        </w:rPr>
      </w:pPr>
      <w:r w:rsidRPr="00BF72FE">
        <w:rPr>
          <w:rStyle w:val="Strong"/>
          <w:rFonts w:ascii="Times New Roman" w:hAnsi="Times New Roman" w:cs="Times New Roman"/>
          <w:b w:val="0"/>
          <w:bCs w:val="0"/>
        </w:rPr>
        <w:lastRenderedPageBreak/>
        <w:t>H. Education and Awareness Campaigns</w:t>
      </w:r>
    </w:p>
    <w:p w14:paraId="30908DBF" w14:textId="77777777" w:rsidR="00033194" w:rsidRPr="00BF72FE" w:rsidRDefault="00033194" w:rsidP="00BF72FE">
      <w:pPr>
        <w:pStyle w:val="NormalWeb"/>
        <w:spacing w:line="276" w:lineRule="auto"/>
      </w:pPr>
      <w:r w:rsidRPr="00BF72FE">
        <w:t>Increasing awareness among consumers and sellers about the importance of verifying title could reduce fraudulent transactions:</w:t>
      </w:r>
    </w:p>
    <w:p w14:paraId="2D5DF0A0" w14:textId="319257C7" w:rsidR="00033194" w:rsidRPr="00BF72FE" w:rsidRDefault="00033194" w:rsidP="00BF72FE">
      <w:pPr>
        <w:spacing w:before="100" w:beforeAutospacing="1" w:after="100" w:afterAutospacing="1" w:line="276" w:lineRule="auto"/>
      </w:pPr>
      <w:r w:rsidRPr="00BF72FE">
        <w:rPr>
          <w:rStyle w:val="Strong"/>
          <w:rFonts w:eastAsiaTheme="majorEastAsia"/>
        </w:rPr>
        <w:t>Elliott</w:t>
      </w:r>
      <w:r w:rsidRPr="00BF72FE">
        <w:t xml:space="preserve"> emphasizes that "education initiatives could empower consumers to protect themselves against risks in the absence of systemic reforms" (</w:t>
      </w:r>
      <w:r w:rsidRPr="00BF72FE">
        <w:rPr>
          <w:rStyle w:val="Emphasis"/>
          <w:rFonts w:eastAsiaTheme="majorEastAsia"/>
        </w:rPr>
        <w:t>No Justice for Innocent Purchasers of Dishonestly Obtained Goods</w:t>
      </w:r>
      <w:r w:rsidRPr="00BF72FE">
        <w:t>, Catherine Elliott, 2004).</w:t>
      </w:r>
    </w:p>
    <w:p w14:paraId="5CCA0593" w14:textId="3B559AA9" w:rsidR="00EC5C76" w:rsidRPr="00BF72FE" w:rsidRDefault="00033194" w:rsidP="00BF72FE">
      <w:pPr>
        <w:pStyle w:val="NormalWeb"/>
        <w:spacing w:line="276" w:lineRule="auto"/>
      </w:pPr>
      <w:r w:rsidRPr="00BF72FE">
        <w:t xml:space="preserve">The proposed reforms reflect a consensus among scholars and judges that the current framework of the </w:t>
      </w:r>
      <w:r w:rsidRPr="00BF72FE">
        <w:rPr>
          <w:rStyle w:val="Strong"/>
          <w:rFonts w:eastAsiaTheme="majorEastAsia"/>
        </w:rPr>
        <w:t xml:space="preserve">nemo </w:t>
      </w:r>
      <w:proofErr w:type="spellStart"/>
      <w:r w:rsidRPr="00BF72FE">
        <w:rPr>
          <w:rStyle w:val="Strong"/>
          <w:rFonts w:eastAsiaTheme="majorEastAsia"/>
        </w:rPr>
        <w:t>dat</w:t>
      </w:r>
      <w:proofErr w:type="spellEnd"/>
      <w:r w:rsidRPr="00BF72FE">
        <w:t xml:space="preserve"> rule fails to achieve a fair balance between ownership security and commercial certainty. Codification, enhanced consumer protections, apportionment mechanisms, and the introduction of registration systems are essential steps toward creating a unified and equitable framework. As </w:t>
      </w:r>
      <w:r w:rsidRPr="00BF72FE">
        <w:rPr>
          <w:rStyle w:val="Strong"/>
          <w:rFonts w:eastAsiaTheme="majorEastAsia"/>
        </w:rPr>
        <w:t>Battersby</w:t>
      </w:r>
      <w:r w:rsidRPr="00BF72FE">
        <w:t xml:space="preserve"> concludes, "the law’s current state reflects an uneasy compromise that satisfies neither owners nor purchasers" (</w:t>
      </w:r>
      <w:r w:rsidRPr="00BF72FE">
        <w:rPr>
          <w:rStyle w:val="Emphasis"/>
          <w:rFonts w:eastAsiaTheme="majorEastAsia"/>
        </w:rPr>
        <w:t>The Sale of Stolen Goods: A Dilemma for the Law</w:t>
      </w:r>
      <w:r w:rsidRPr="00BF72FE">
        <w:t>, Graham Battersby, 1991). Implementing these reforms would ensure a fairer, more modern legal framework that addresses the needs of all parties in property disputes.</w:t>
      </w:r>
    </w:p>
    <w:p w14:paraId="3B96528A" w14:textId="77777777" w:rsidR="00033194" w:rsidRPr="00BF72FE" w:rsidRDefault="00033194" w:rsidP="00BF72FE">
      <w:pPr>
        <w:pStyle w:val="Heading3"/>
        <w:spacing w:line="276" w:lineRule="auto"/>
        <w:rPr>
          <w:rFonts w:ascii="Times New Roman" w:hAnsi="Times New Roman" w:cs="Times New Roman"/>
          <w:sz w:val="24"/>
          <w:szCs w:val="24"/>
        </w:rPr>
      </w:pPr>
      <w:r w:rsidRPr="00BF72FE">
        <w:rPr>
          <w:rStyle w:val="Strong"/>
          <w:rFonts w:ascii="Times New Roman" w:hAnsi="Times New Roman" w:cs="Times New Roman"/>
          <w:b w:val="0"/>
          <w:bCs w:val="0"/>
          <w:sz w:val="24"/>
          <w:szCs w:val="24"/>
        </w:rPr>
        <w:t>Conclusion</w:t>
      </w:r>
    </w:p>
    <w:p w14:paraId="60E0F5E6" w14:textId="19B9CD94" w:rsidR="00EC5C76" w:rsidRPr="00BF72FE" w:rsidRDefault="00033194" w:rsidP="00BF72FE">
      <w:pPr>
        <w:pStyle w:val="NormalWeb"/>
        <w:spacing w:line="276" w:lineRule="auto"/>
      </w:pPr>
      <w:r w:rsidRPr="00BF72FE">
        <w:t xml:space="preserve">The </w:t>
      </w:r>
      <w:r w:rsidRPr="00BF72FE">
        <w:rPr>
          <w:rStyle w:val="Strong"/>
          <w:rFonts w:eastAsiaTheme="majorEastAsia"/>
        </w:rPr>
        <w:t xml:space="preserve">nemo </w:t>
      </w:r>
      <w:proofErr w:type="spellStart"/>
      <w:r w:rsidRPr="00BF72FE">
        <w:rPr>
          <w:rStyle w:val="Strong"/>
          <w:rFonts w:eastAsiaTheme="majorEastAsia"/>
        </w:rPr>
        <w:t>dat</w:t>
      </w:r>
      <w:proofErr w:type="spellEnd"/>
      <w:r w:rsidRPr="00BF72FE">
        <w:rPr>
          <w:rStyle w:val="Strong"/>
          <w:rFonts w:eastAsiaTheme="majorEastAsia"/>
        </w:rPr>
        <w:t xml:space="preserve"> quod non </w:t>
      </w:r>
      <w:proofErr w:type="spellStart"/>
      <w:r w:rsidRPr="00BF72FE">
        <w:rPr>
          <w:rStyle w:val="Strong"/>
          <w:rFonts w:eastAsiaTheme="majorEastAsia"/>
        </w:rPr>
        <w:t>habet</w:t>
      </w:r>
      <w:proofErr w:type="spellEnd"/>
      <w:r w:rsidRPr="00BF72FE">
        <w:t xml:space="preserve"> rule, while essential for protecting ownership rights, often creates inequities through its fragmented exceptions that </w:t>
      </w:r>
      <w:proofErr w:type="spellStart"/>
      <w:r w:rsidRPr="00BF72FE">
        <w:t>favor</w:t>
      </w:r>
      <w:proofErr w:type="spellEnd"/>
      <w:r w:rsidRPr="00BF72FE">
        <w:t xml:space="preserve"> good faith purchasers at the expense of true owners. Reforms are necessary to address these shortcomings. Codification and simplification of the statutory framework, enhanced consumer protections, and apportionment mechanisms would ensure fairness and clarity. These measures would balance ownership security with commercial certainty, modernizing the law to reflect the realities of contemporary commerce. By reconciling these competing interests, the law can better serve the needs of all parties involved in property disputes.</w:t>
      </w:r>
    </w:p>
    <w:sectPr w:rsidR="00EC5C76" w:rsidRPr="00BF72F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0002AFF" w:usb1="C0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1CD53B9"/>
    <w:multiLevelType w:val="multilevel"/>
    <w:tmpl w:val="328A26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F07DC9"/>
    <w:multiLevelType w:val="multilevel"/>
    <w:tmpl w:val="A91882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CD73CAD"/>
    <w:multiLevelType w:val="multilevel"/>
    <w:tmpl w:val="D0062BDE"/>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 w15:restartNumberingAfterBreak="0">
    <w:nsid w:val="0EB020DA"/>
    <w:multiLevelType w:val="multilevel"/>
    <w:tmpl w:val="EB1A0346"/>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4" w15:restartNumberingAfterBreak="0">
    <w:nsid w:val="0F7E0775"/>
    <w:multiLevelType w:val="multilevel"/>
    <w:tmpl w:val="625E4410"/>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5" w15:restartNumberingAfterBreak="0">
    <w:nsid w:val="14291B8C"/>
    <w:multiLevelType w:val="multilevel"/>
    <w:tmpl w:val="1EBC6DE8"/>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6" w15:restartNumberingAfterBreak="0">
    <w:nsid w:val="161E290C"/>
    <w:multiLevelType w:val="multilevel"/>
    <w:tmpl w:val="C6D8F7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B63582B"/>
    <w:multiLevelType w:val="multilevel"/>
    <w:tmpl w:val="4A5887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DDF2C4D"/>
    <w:multiLevelType w:val="multilevel"/>
    <w:tmpl w:val="956602F4"/>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9" w15:restartNumberingAfterBreak="0">
    <w:nsid w:val="1F8E38D5"/>
    <w:multiLevelType w:val="multilevel"/>
    <w:tmpl w:val="128AA9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F8F7599"/>
    <w:multiLevelType w:val="multilevel"/>
    <w:tmpl w:val="9838023A"/>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1" w15:restartNumberingAfterBreak="0">
    <w:nsid w:val="218B0EE0"/>
    <w:multiLevelType w:val="multilevel"/>
    <w:tmpl w:val="9E547E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2B35EF2"/>
    <w:multiLevelType w:val="multilevel"/>
    <w:tmpl w:val="7B38B9A8"/>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3" w15:restartNumberingAfterBreak="0">
    <w:nsid w:val="23BC154A"/>
    <w:multiLevelType w:val="multilevel"/>
    <w:tmpl w:val="D75A0F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3CF68F5"/>
    <w:multiLevelType w:val="multilevel"/>
    <w:tmpl w:val="BE5A142E"/>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5" w15:restartNumberingAfterBreak="0">
    <w:nsid w:val="240C1464"/>
    <w:multiLevelType w:val="multilevel"/>
    <w:tmpl w:val="EBBC1C00"/>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6" w15:restartNumberingAfterBreak="0">
    <w:nsid w:val="270A73B5"/>
    <w:multiLevelType w:val="multilevel"/>
    <w:tmpl w:val="733EA1BE"/>
    <w:lvl w:ilvl="0">
      <w:start w:val="1"/>
      <w:numFmt w:val="decimal"/>
      <w:lvlText w:val="%1."/>
      <w:lvlJc w:val="left"/>
      <w:pPr>
        <w:tabs>
          <w:tab w:val="num" w:pos="360"/>
        </w:tabs>
        <w:ind w:left="360" w:hanging="360"/>
      </w:p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7" w15:restartNumberingAfterBreak="0">
    <w:nsid w:val="2CDD4C45"/>
    <w:multiLevelType w:val="multilevel"/>
    <w:tmpl w:val="520A99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0E75BA2"/>
    <w:multiLevelType w:val="multilevel"/>
    <w:tmpl w:val="38C8A34A"/>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9" w15:restartNumberingAfterBreak="0">
    <w:nsid w:val="321E685A"/>
    <w:multiLevelType w:val="multilevel"/>
    <w:tmpl w:val="4372D0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30034FF"/>
    <w:multiLevelType w:val="multilevel"/>
    <w:tmpl w:val="965489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6B444BC"/>
    <w:multiLevelType w:val="multilevel"/>
    <w:tmpl w:val="37FAE5EC"/>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2" w15:restartNumberingAfterBreak="0">
    <w:nsid w:val="37A9015E"/>
    <w:multiLevelType w:val="multilevel"/>
    <w:tmpl w:val="6538B3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B1C6EB9"/>
    <w:multiLevelType w:val="multilevel"/>
    <w:tmpl w:val="0D6E85F0"/>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4" w15:restartNumberingAfterBreak="0">
    <w:nsid w:val="3B2D7159"/>
    <w:multiLevelType w:val="multilevel"/>
    <w:tmpl w:val="6A942B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BF732F2"/>
    <w:multiLevelType w:val="multilevel"/>
    <w:tmpl w:val="37680E0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36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1E065A0"/>
    <w:multiLevelType w:val="multilevel"/>
    <w:tmpl w:val="0254CDF2"/>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7" w15:restartNumberingAfterBreak="0">
    <w:nsid w:val="47612342"/>
    <w:multiLevelType w:val="multilevel"/>
    <w:tmpl w:val="BE6E2A9A"/>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8" w15:restartNumberingAfterBreak="0">
    <w:nsid w:val="476F36DC"/>
    <w:multiLevelType w:val="multilevel"/>
    <w:tmpl w:val="9F7CBECC"/>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9" w15:restartNumberingAfterBreak="0">
    <w:nsid w:val="4D2306EB"/>
    <w:multiLevelType w:val="multilevel"/>
    <w:tmpl w:val="2DDA7538"/>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0" w15:restartNumberingAfterBreak="0">
    <w:nsid w:val="503F4BD1"/>
    <w:multiLevelType w:val="multilevel"/>
    <w:tmpl w:val="90B87D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25F4588"/>
    <w:multiLevelType w:val="multilevel"/>
    <w:tmpl w:val="73D41094"/>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2" w15:restartNumberingAfterBreak="0">
    <w:nsid w:val="53A6583C"/>
    <w:multiLevelType w:val="multilevel"/>
    <w:tmpl w:val="5990687E"/>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3" w15:restartNumberingAfterBreak="0">
    <w:nsid w:val="57AA59C8"/>
    <w:multiLevelType w:val="multilevel"/>
    <w:tmpl w:val="1340F2A6"/>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4" w15:restartNumberingAfterBreak="0">
    <w:nsid w:val="5CA872CF"/>
    <w:multiLevelType w:val="multilevel"/>
    <w:tmpl w:val="8CC25E18"/>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5" w15:restartNumberingAfterBreak="0">
    <w:nsid w:val="607659B4"/>
    <w:multiLevelType w:val="multilevel"/>
    <w:tmpl w:val="2D48878E"/>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6" w15:restartNumberingAfterBreak="0">
    <w:nsid w:val="60EF73D8"/>
    <w:multiLevelType w:val="multilevel"/>
    <w:tmpl w:val="F34AEC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3087120"/>
    <w:multiLevelType w:val="multilevel"/>
    <w:tmpl w:val="51048BB4"/>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8" w15:restartNumberingAfterBreak="0">
    <w:nsid w:val="631277EB"/>
    <w:multiLevelType w:val="multilevel"/>
    <w:tmpl w:val="80C0B4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8FE1E2C"/>
    <w:multiLevelType w:val="multilevel"/>
    <w:tmpl w:val="EDFC735C"/>
    <w:lvl w:ilvl="0">
      <w:start w:val="1"/>
      <w:numFmt w:val="decimal"/>
      <w:lvlText w:val="%1."/>
      <w:lvlJc w:val="left"/>
      <w:pPr>
        <w:tabs>
          <w:tab w:val="num" w:pos="360"/>
        </w:tabs>
        <w:ind w:left="360" w:hanging="360"/>
      </w:pPr>
    </w:lvl>
    <w:lvl w:ilvl="1">
      <w:start w:val="1"/>
      <w:numFmt w:val="bullet"/>
      <w:lvlText w:val=""/>
      <w:lvlJc w:val="left"/>
      <w:pPr>
        <w:ind w:left="360" w:hanging="360"/>
      </w:pPr>
      <w:rPr>
        <w:rFonts w:ascii="Symbol" w:hAnsi="Symbol" w:hint="default"/>
        <w:color w:val="auto"/>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40" w15:restartNumberingAfterBreak="0">
    <w:nsid w:val="69AD5D9E"/>
    <w:multiLevelType w:val="multilevel"/>
    <w:tmpl w:val="76E81A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AAE5FE4"/>
    <w:multiLevelType w:val="multilevel"/>
    <w:tmpl w:val="F5CE9688"/>
    <w:lvl w:ilvl="0">
      <w:start w:val="1"/>
      <w:numFmt w:val="decimal"/>
      <w:lvlText w:val="%1."/>
      <w:lvlJc w:val="left"/>
      <w:pPr>
        <w:tabs>
          <w:tab w:val="num" w:pos="360"/>
        </w:tabs>
        <w:ind w:left="360" w:hanging="360"/>
      </w:p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42" w15:restartNumberingAfterBreak="0">
    <w:nsid w:val="6EE22281"/>
    <w:multiLevelType w:val="multilevel"/>
    <w:tmpl w:val="D9CE51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FB123D2"/>
    <w:multiLevelType w:val="multilevel"/>
    <w:tmpl w:val="CBF654D0"/>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44" w15:restartNumberingAfterBreak="0">
    <w:nsid w:val="6FF43C0B"/>
    <w:multiLevelType w:val="multilevel"/>
    <w:tmpl w:val="7204A52A"/>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45" w15:restartNumberingAfterBreak="0">
    <w:nsid w:val="707D357C"/>
    <w:multiLevelType w:val="multilevel"/>
    <w:tmpl w:val="05107A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275340D"/>
    <w:multiLevelType w:val="multilevel"/>
    <w:tmpl w:val="1728A436"/>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47" w15:restartNumberingAfterBreak="0">
    <w:nsid w:val="73F01114"/>
    <w:multiLevelType w:val="multilevel"/>
    <w:tmpl w:val="CC0438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4D56AC0"/>
    <w:multiLevelType w:val="multilevel"/>
    <w:tmpl w:val="156049A8"/>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49" w15:restartNumberingAfterBreak="0">
    <w:nsid w:val="76AF56AC"/>
    <w:multiLevelType w:val="multilevel"/>
    <w:tmpl w:val="BE80A5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76DE030A"/>
    <w:multiLevelType w:val="multilevel"/>
    <w:tmpl w:val="869EC574"/>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51" w15:restartNumberingAfterBreak="0">
    <w:nsid w:val="770C5D9F"/>
    <w:multiLevelType w:val="multilevel"/>
    <w:tmpl w:val="D3E6BB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03758797">
    <w:abstractNumId w:val="41"/>
  </w:num>
  <w:num w:numId="2" w16cid:durableId="278991892">
    <w:abstractNumId w:val="37"/>
  </w:num>
  <w:num w:numId="3" w16cid:durableId="1777410501">
    <w:abstractNumId w:val="49"/>
  </w:num>
  <w:num w:numId="4" w16cid:durableId="1721588915">
    <w:abstractNumId w:val="23"/>
  </w:num>
  <w:num w:numId="5" w16cid:durableId="1454130399">
    <w:abstractNumId w:val="0"/>
  </w:num>
  <w:num w:numId="6" w16cid:durableId="1047031060">
    <w:abstractNumId w:val="45"/>
  </w:num>
  <w:num w:numId="7" w16cid:durableId="1949920571">
    <w:abstractNumId w:val="40"/>
  </w:num>
  <w:num w:numId="8" w16cid:durableId="1234050194">
    <w:abstractNumId w:val="17"/>
  </w:num>
  <w:num w:numId="9" w16cid:durableId="1214735265">
    <w:abstractNumId w:val="19"/>
  </w:num>
  <w:num w:numId="10" w16cid:durableId="177353292">
    <w:abstractNumId w:val="1"/>
  </w:num>
  <w:num w:numId="11" w16cid:durableId="1096680902">
    <w:abstractNumId w:val="39"/>
  </w:num>
  <w:num w:numId="12" w16cid:durableId="1151093028">
    <w:abstractNumId w:val="16"/>
  </w:num>
  <w:num w:numId="13" w16cid:durableId="491413367">
    <w:abstractNumId w:val="13"/>
  </w:num>
  <w:num w:numId="14" w16cid:durableId="1874926053">
    <w:abstractNumId w:val="12"/>
  </w:num>
  <w:num w:numId="15" w16cid:durableId="436609020">
    <w:abstractNumId w:val="2"/>
  </w:num>
  <w:num w:numId="16" w16cid:durableId="2049987383">
    <w:abstractNumId w:val="18"/>
  </w:num>
  <w:num w:numId="17" w16cid:durableId="1866752924">
    <w:abstractNumId w:val="10"/>
  </w:num>
  <w:num w:numId="18" w16cid:durableId="1722711370">
    <w:abstractNumId w:val="6"/>
  </w:num>
  <w:num w:numId="19" w16cid:durableId="99765588">
    <w:abstractNumId w:val="21"/>
  </w:num>
  <w:num w:numId="20" w16cid:durableId="1289779232">
    <w:abstractNumId w:val="15"/>
  </w:num>
  <w:num w:numId="21" w16cid:durableId="946740439">
    <w:abstractNumId w:val="31"/>
  </w:num>
  <w:num w:numId="22" w16cid:durableId="1322975283">
    <w:abstractNumId w:val="14"/>
  </w:num>
  <w:num w:numId="23" w16cid:durableId="763234733">
    <w:abstractNumId w:val="29"/>
  </w:num>
  <w:num w:numId="24" w16cid:durableId="2002191338">
    <w:abstractNumId w:val="35"/>
  </w:num>
  <w:num w:numId="25" w16cid:durableId="1587685145">
    <w:abstractNumId w:val="27"/>
  </w:num>
  <w:num w:numId="26" w16cid:durableId="1738089766">
    <w:abstractNumId w:val="9"/>
  </w:num>
  <w:num w:numId="27" w16cid:durableId="596981940">
    <w:abstractNumId w:val="34"/>
  </w:num>
  <w:num w:numId="28" w16cid:durableId="1013143438">
    <w:abstractNumId w:val="4"/>
  </w:num>
  <w:num w:numId="29" w16cid:durableId="607785072">
    <w:abstractNumId w:val="43"/>
  </w:num>
  <w:num w:numId="30" w16cid:durableId="1399326120">
    <w:abstractNumId w:val="8"/>
  </w:num>
  <w:num w:numId="31" w16cid:durableId="1152480227">
    <w:abstractNumId w:val="50"/>
  </w:num>
  <w:num w:numId="32" w16cid:durableId="534197978">
    <w:abstractNumId w:val="46"/>
  </w:num>
  <w:num w:numId="33" w16cid:durableId="1405373371">
    <w:abstractNumId w:val="47"/>
  </w:num>
  <w:num w:numId="34" w16cid:durableId="1916085937">
    <w:abstractNumId w:val="3"/>
  </w:num>
  <w:num w:numId="35" w16cid:durableId="1019160581">
    <w:abstractNumId w:val="26"/>
  </w:num>
  <w:num w:numId="36" w16cid:durableId="635375443">
    <w:abstractNumId w:val="38"/>
  </w:num>
  <w:num w:numId="37" w16cid:durableId="1040083924">
    <w:abstractNumId w:val="25"/>
  </w:num>
  <w:num w:numId="38" w16cid:durableId="1982999621">
    <w:abstractNumId w:val="44"/>
  </w:num>
  <w:num w:numId="39" w16cid:durableId="360934754">
    <w:abstractNumId w:val="48"/>
  </w:num>
  <w:num w:numId="40" w16cid:durableId="963076246">
    <w:abstractNumId w:val="36"/>
  </w:num>
  <w:num w:numId="41" w16cid:durableId="583804534">
    <w:abstractNumId w:val="11"/>
  </w:num>
  <w:num w:numId="42" w16cid:durableId="276958650">
    <w:abstractNumId w:val="20"/>
  </w:num>
  <w:num w:numId="43" w16cid:durableId="900754602">
    <w:abstractNumId w:val="30"/>
  </w:num>
  <w:num w:numId="44" w16cid:durableId="1412509174">
    <w:abstractNumId w:val="22"/>
  </w:num>
  <w:num w:numId="45" w16cid:durableId="2142382444">
    <w:abstractNumId w:val="24"/>
  </w:num>
  <w:num w:numId="46" w16cid:durableId="840317089">
    <w:abstractNumId w:val="42"/>
  </w:num>
  <w:num w:numId="47" w16cid:durableId="1677463360">
    <w:abstractNumId w:val="51"/>
  </w:num>
  <w:num w:numId="48" w16cid:durableId="348409883">
    <w:abstractNumId w:val="7"/>
  </w:num>
  <w:num w:numId="49" w16cid:durableId="1751736690">
    <w:abstractNumId w:val="5"/>
  </w:num>
  <w:num w:numId="50" w16cid:durableId="535848998">
    <w:abstractNumId w:val="32"/>
  </w:num>
  <w:num w:numId="51" w16cid:durableId="887499907">
    <w:abstractNumId w:val="33"/>
  </w:num>
  <w:num w:numId="52" w16cid:durableId="372845620">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89"/>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708F2"/>
    <w:rsid w:val="00012117"/>
    <w:rsid w:val="000147A9"/>
    <w:rsid w:val="00033194"/>
    <w:rsid w:val="00042755"/>
    <w:rsid w:val="0006107D"/>
    <w:rsid w:val="000623A3"/>
    <w:rsid w:val="000708F2"/>
    <w:rsid w:val="000719DA"/>
    <w:rsid w:val="00094D65"/>
    <w:rsid w:val="000A2074"/>
    <w:rsid w:val="000A3F4D"/>
    <w:rsid w:val="000A64DA"/>
    <w:rsid w:val="000C4ABC"/>
    <w:rsid w:val="000C58D7"/>
    <w:rsid w:val="000E15ED"/>
    <w:rsid w:val="00101CCF"/>
    <w:rsid w:val="001372F7"/>
    <w:rsid w:val="00175AB8"/>
    <w:rsid w:val="0019260C"/>
    <w:rsid w:val="001A41D2"/>
    <w:rsid w:val="001B0E31"/>
    <w:rsid w:val="001D360C"/>
    <w:rsid w:val="001E2584"/>
    <w:rsid w:val="002033A2"/>
    <w:rsid w:val="00223837"/>
    <w:rsid w:val="00243CED"/>
    <w:rsid w:val="00247BCC"/>
    <w:rsid w:val="00257540"/>
    <w:rsid w:val="0026510F"/>
    <w:rsid w:val="00291F37"/>
    <w:rsid w:val="00297C6E"/>
    <w:rsid w:val="002D715D"/>
    <w:rsid w:val="002E3864"/>
    <w:rsid w:val="002E46F2"/>
    <w:rsid w:val="002F1DB1"/>
    <w:rsid w:val="002F20B2"/>
    <w:rsid w:val="002F53C9"/>
    <w:rsid w:val="003048A0"/>
    <w:rsid w:val="0031138E"/>
    <w:rsid w:val="0031474F"/>
    <w:rsid w:val="00315815"/>
    <w:rsid w:val="003278F5"/>
    <w:rsid w:val="00330665"/>
    <w:rsid w:val="00342A18"/>
    <w:rsid w:val="00361975"/>
    <w:rsid w:val="00376E23"/>
    <w:rsid w:val="0039416B"/>
    <w:rsid w:val="003A1271"/>
    <w:rsid w:val="003A5DF7"/>
    <w:rsid w:val="003B3510"/>
    <w:rsid w:val="003C116C"/>
    <w:rsid w:val="003D0CDD"/>
    <w:rsid w:val="003E1CAA"/>
    <w:rsid w:val="0040210F"/>
    <w:rsid w:val="004222FD"/>
    <w:rsid w:val="004319FA"/>
    <w:rsid w:val="00442F56"/>
    <w:rsid w:val="0044616D"/>
    <w:rsid w:val="00474DD1"/>
    <w:rsid w:val="004751B5"/>
    <w:rsid w:val="0048097D"/>
    <w:rsid w:val="0048175B"/>
    <w:rsid w:val="004845CE"/>
    <w:rsid w:val="00494D91"/>
    <w:rsid w:val="004A553E"/>
    <w:rsid w:val="004B1048"/>
    <w:rsid w:val="004D01FE"/>
    <w:rsid w:val="004D582C"/>
    <w:rsid w:val="004D5B1A"/>
    <w:rsid w:val="004E458E"/>
    <w:rsid w:val="004F0E12"/>
    <w:rsid w:val="004F43CC"/>
    <w:rsid w:val="004F5A36"/>
    <w:rsid w:val="004F6EFF"/>
    <w:rsid w:val="0050270F"/>
    <w:rsid w:val="00505437"/>
    <w:rsid w:val="005120A1"/>
    <w:rsid w:val="00542B57"/>
    <w:rsid w:val="00557B52"/>
    <w:rsid w:val="005743EA"/>
    <w:rsid w:val="005770A9"/>
    <w:rsid w:val="0058416B"/>
    <w:rsid w:val="00595357"/>
    <w:rsid w:val="005A1930"/>
    <w:rsid w:val="005A6EEA"/>
    <w:rsid w:val="005B34ED"/>
    <w:rsid w:val="005B61CD"/>
    <w:rsid w:val="005B74C5"/>
    <w:rsid w:val="005C4FF3"/>
    <w:rsid w:val="005C50B3"/>
    <w:rsid w:val="005C6B83"/>
    <w:rsid w:val="005D57DA"/>
    <w:rsid w:val="005E7702"/>
    <w:rsid w:val="005F33FC"/>
    <w:rsid w:val="00605F8E"/>
    <w:rsid w:val="00613954"/>
    <w:rsid w:val="00650543"/>
    <w:rsid w:val="00654D8B"/>
    <w:rsid w:val="00661136"/>
    <w:rsid w:val="00665649"/>
    <w:rsid w:val="0068027B"/>
    <w:rsid w:val="006A691E"/>
    <w:rsid w:val="006B7BA3"/>
    <w:rsid w:val="006C42B8"/>
    <w:rsid w:val="006C50C7"/>
    <w:rsid w:val="006D1612"/>
    <w:rsid w:val="00713CA9"/>
    <w:rsid w:val="007455C6"/>
    <w:rsid w:val="007475C7"/>
    <w:rsid w:val="0075265A"/>
    <w:rsid w:val="0075498E"/>
    <w:rsid w:val="00757BE5"/>
    <w:rsid w:val="00760E46"/>
    <w:rsid w:val="007643D2"/>
    <w:rsid w:val="00766D82"/>
    <w:rsid w:val="007678B2"/>
    <w:rsid w:val="0078776B"/>
    <w:rsid w:val="00796A93"/>
    <w:rsid w:val="007B48C2"/>
    <w:rsid w:val="007D68F0"/>
    <w:rsid w:val="007E1559"/>
    <w:rsid w:val="007F776E"/>
    <w:rsid w:val="00816563"/>
    <w:rsid w:val="00830C88"/>
    <w:rsid w:val="00861B11"/>
    <w:rsid w:val="008829C2"/>
    <w:rsid w:val="008A54BE"/>
    <w:rsid w:val="008C7B0A"/>
    <w:rsid w:val="008D0642"/>
    <w:rsid w:val="008E43C2"/>
    <w:rsid w:val="008E745B"/>
    <w:rsid w:val="008F4EA7"/>
    <w:rsid w:val="008F5A10"/>
    <w:rsid w:val="00905ED0"/>
    <w:rsid w:val="0093405B"/>
    <w:rsid w:val="0094782D"/>
    <w:rsid w:val="00966189"/>
    <w:rsid w:val="00974434"/>
    <w:rsid w:val="00975B2D"/>
    <w:rsid w:val="00977514"/>
    <w:rsid w:val="009A48B0"/>
    <w:rsid w:val="009B24D6"/>
    <w:rsid w:val="009B2F21"/>
    <w:rsid w:val="009C6498"/>
    <w:rsid w:val="009E62AF"/>
    <w:rsid w:val="00A03BBD"/>
    <w:rsid w:val="00A21254"/>
    <w:rsid w:val="00A220B7"/>
    <w:rsid w:val="00A37AB0"/>
    <w:rsid w:val="00A4085F"/>
    <w:rsid w:val="00A45953"/>
    <w:rsid w:val="00A93FBA"/>
    <w:rsid w:val="00A95C7E"/>
    <w:rsid w:val="00AB609D"/>
    <w:rsid w:val="00AC3AB8"/>
    <w:rsid w:val="00AC52C5"/>
    <w:rsid w:val="00AE4348"/>
    <w:rsid w:val="00AE4BAF"/>
    <w:rsid w:val="00AF77D5"/>
    <w:rsid w:val="00B03D5A"/>
    <w:rsid w:val="00B108B0"/>
    <w:rsid w:val="00B200EB"/>
    <w:rsid w:val="00B23297"/>
    <w:rsid w:val="00B360EE"/>
    <w:rsid w:val="00B53B6F"/>
    <w:rsid w:val="00B651D9"/>
    <w:rsid w:val="00B67231"/>
    <w:rsid w:val="00B73742"/>
    <w:rsid w:val="00B914E6"/>
    <w:rsid w:val="00B95747"/>
    <w:rsid w:val="00BC4186"/>
    <w:rsid w:val="00BC5F25"/>
    <w:rsid w:val="00BD1450"/>
    <w:rsid w:val="00BD7714"/>
    <w:rsid w:val="00BD7C9B"/>
    <w:rsid w:val="00BF72FE"/>
    <w:rsid w:val="00C02104"/>
    <w:rsid w:val="00C072F8"/>
    <w:rsid w:val="00C163D7"/>
    <w:rsid w:val="00C17D79"/>
    <w:rsid w:val="00C24A8A"/>
    <w:rsid w:val="00C27321"/>
    <w:rsid w:val="00C44474"/>
    <w:rsid w:val="00C44EB3"/>
    <w:rsid w:val="00C54722"/>
    <w:rsid w:val="00C616D7"/>
    <w:rsid w:val="00C65F70"/>
    <w:rsid w:val="00C941C4"/>
    <w:rsid w:val="00C96A36"/>
    <w:rsid w:val="00CA350B"/>
    <w:rsid w:val="00CA3F60"/>
    <w:rsid w:val="00CC2EFF"/>
    <w:rsid w:val="00CC4FEF"/>
    <w:rsid w:val="00CD39F1"/>
    <w:rsid w:val="00CE1439"/>
    <w:rsid w:val="00CF74EF"/>
    <w:rsid w:val="00D02AC8"/>
    <w:rsid w:val="00D0623C"/>
    <w:rsid w:val="00D07271"/>
    <w:rsid w:val="00D16917"/>
    <w:rsid w:val="00D44EF5"/>
    <w:rsid w:val="00D65735"/>
    <w:rsid w:val="00D73E2C"/>
    <w:rsid w:val="00D76D14"/>
    <w:rsid w:val="00DA31CB"/>
    <w:rsid w:val="00DA3D31"/>
    <w:rsid w:val="00DA4488"/>
    <w:rsid w:val="00DB2E35"/>
    <w:rsid w:val="00DC0040"/>
    <w:rsid w:val="00DC0B7B"/>
    <w:rsid w:val="00DC228E"/>
    <w:rsid w:val="00DC495B"/>
    <w:rsid w:val="00DC7181"/>
    <w:rsid w:val="00DD6F5C"/>
    <w:rsid w:val="00DE6C87"/>
    <w:rsid w:val="00E14A1A"/>
    <w:rsid w:val="00E14E1F"/>
    <w:rsid w:val="00E2730E"/>
    <w:rsid w:val="00E438AC"/>
    <w:rsid w:val="00E519B5"/>
    <w:rsid w:val="00E5689E"/>
    <w:rsid w:val="00E60DF5"/>
    <w:rsid w:val="00E64DD3"/>
    <w:rsid w:val="00E80D33"/>
    <w:rsid w:val="00E95D8D"/>
    <w:rsid w:val="00EA6ED5"/>
    <w:rsid w:val="00EB7051"/>
    <w:rsid w:val="00EC5C76"/>
    <w:rsid w:val="00EC68EB"/>
    <w:rsid w:val="00EC7C43"/>
    <w:rsid w:val="00EE4F6A"/>
    <w:rsid w:val="00EF3EF4"/>
    <w:rsid w:val="00F012E4"/>
    <w:rsid w:val="00F248D2"/>
    <w:rsid w:val="00F27F00"/>
    <w:rsid w:val="00F33570"/>
    <w:rsid w:val="00F655F4"/>
    <w:rsid w:val="00F71153"/>
    <w:rsid w:val="00F858D4"/>
    <w:rsid w:val="00FB2653"/>
    <w:rsid w:val="00FC7B56"/>
    <w:rsid w:val="00FE5294"/>
  </w:rsids>
  <m:mathPr>
    <m:mathFont m:val="Cambria Math"/>
    <m:brkBin m:val="before"/>
    <m:brkBinSub m:val="--"/>
    <m:smallFrac m:val="0"/>
    <m:dispDef/>
    <m:lMargin m:val="0"/>
    <m:rMargin m:val="0"/>
    <m:defJc m:val="centerGroup"/>
    <m:wrapIndent m:val="1440"/>
    <m:intLim m:val="subSup"/>
    <m:naryLim m:val="undOvr"/>
  </m:mathPr>
  <w:themeFontLang w:val="en-HK"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89DC2B"/>
  <w15:chartTrackingRefBased/>
  <w15:docId w15:val="{5EA1FE9E-AA8A-404B-8EBE-175B291985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4"/>
        <w:szCs w:val="24"/>
        <w:lang w:val="en-HK"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94D91"/>
    <w:rPr>
      <w:rFonts w:ascii="Times New Roman" w:eastAsia="Times New Roman" w:hAnsi="Times New Roman" w:cs="Times New Roman"/>
      <w:kern w:val="0"/>
      <w14:ligatures w14:val="none"/>
    </w:rPr>
  </w:style>
  <w:style w:type="paragraph" w:styleId="Heading1">
    <w:name w:val="heading 1"/>
    <w:basedOn w:val="Normal"/>
    <w:next w:val="Normal"/>
    <w:link w:val="Heading1Char"/>
    <w:uiPriority w:val="9"/>
    <w:qFormat/>
    <w:rsid w:val="000708F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708F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0708F2"/>
    <w:pPr>
      <w:keepNext/>
      <w:keepLines/>
      <w:spacing w:before="160" w:after="80"/>
      <w:outlineLvl w:val="2"/>
    </w:pPr>
    <w:rPr>
      <w:rFonts w:asciiTheme="minorHAnsi" w:eastAsiaTheme="majorEastAsia" w:hAnsiTheme="minorHAnsi"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0708F2"/>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0708F2"/>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0708F2"/>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0708F2"/>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0708F2"/>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0708F2"/>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708F2"/>
    <w:rPr>
      <w:rFonts w:asciiTheme="majorHAnsi" w:eastAsiaTheme="majorEastAsia" w:hAnsiTheme="majorHAnsi" w:cstheme="majorBidi"/>
      <w:color w:val="2F5496" w:themeColor="accent1" w:themeShade="BF"/>
      <w:kern w:val="0"/>
      <w:sz w:val="40"/>
      <w:szCs w:val="40"/>
      <w:lang w:val="en-GB"/>
      <w14:ligatures w14:val="none"/>
    </w:rPr>
  </w:style>
  <w:style w:type="character" w:customStyle="1" w:styleId="Heading2Char">
    <w:name w:val="Heading 2 Char"/>
    <w:basedOn w:val="DefaultParagraphFont"/>
    <w:link w:val="Heading2"/>
    <w:uiPriority w:val="9"/>
    <w:semiHidden/>
    <w:rsid w:val="000708F2"/>
    <w:rPr>
      <w:rFonts w:asciiTheme="majorHAnsi" w:eastAsiaTheme="majorEastAsia" w:hAnsiTheme="majorHAnsi" w:cstheme="majorBidi"/>
      <w:color w:val="2F5496" w:themeColor="accent1" w:themeShade="BF"/>
      <w:kern w:val="0"/>
      <w:sz w:val="32"/>
      <w:szCs w:val="32"/>
      <w:lang w:val="en-GB"/>
      <w14:ligatures w14:val="none"/>
    </w:rPr>
  </w:style>
  <w:style w:type="character" w:customStyle="1" w:styleId="Heading3Char">
    <w:name w:val="Heading 3 Char"/>
    <w:basedOn w:val="DefaultParagraphFont"/>
    <w:link w:val="Heading3"/>
    <w:uiPriority w:val="9"/>
    <w:rsid w:val="000708F2"/>
    <w:rPr>
      <w:rFonts w:eastAsiaTheme="majorEastAsia" w:cstheme="majorBidi"/>
      <w:color w:val="2F5496" w:themeColor="accent1" w:themeShade="BF"/>
      <w:kern w:val="0"/>
      <w:sz w:val="28"/>
      <w:szCs w:val="28"/>
      <w:lang w:val="en-GB"/>
      <w14:ligatures w14:val="none"/>
    </w:rPr>
  </w:style>
  <w:style w:type="character" w:customStyle="1" w:styleId="Heading4Char">
    <w:name w:val="Heading 4 Char"/>
    <w:basedOn w:val="DefaultParagraphFont"/>
    <w:link w:val="Heading4"/>
    <w:uiPriority w:val="9"/>
    <w:rsid w:val="000708F2"/>
    <w:rPr>
      <w:rFonts w:eastAsiaTheme="majorEastAsia" w:cstheme="majorBidi"/>
      <w:i/>
      <w:iCs/>
      <w:color w:val="2F5496" w:themeColor="accent1" w:themeShade="BF"/>
      <w:kern w:val="0"/>
      <w:lang w:val="en-GB"/>
      <w14:ligatures w14:val="none"/>
    </w:rPr>
  </w:style>
  <w:style w:type="character" w:customStyle="1" w:styleId="Heading5Char">
    <w:name w:val="Heading 5 Char"/>
    <w:basedOn w:val="DefaultParagraphFont"/>
    <w:link w:val="Heading5"/>
    <w:uiPriority w:val="9"/>
    <w:semiHidden/>
    <w:rsid w:val="000708F2"/>
    <w:rPr>
      <w:rFonts w:eastAsiaTheme="majorEastAsia" w:cstheme="majorBidi"/>
      <w:color w:val="2F5496" w:themeColor="accent1" w:themeShade="BF"/>
      <w:kern w:val="0"/>
      <w:lang w:val="en-GB"/>
      <w14:ligatures w14:val="none"/>
    </w:rPr>
  </w:style>
  <w:style w:type="character" w:customStyle="1" w:styleId="Heading6Char">
    <w:name w:val="Heading 6 Char"/>
    <w:basedOn w:val="DefaultParagraphFont"/>
    <w:link w:val="Heading6"/>
    <w:uiPriority w:val="9"/>
    <w:semiHidden/>
    <w:rsid w:val="000708F2"/>
    <w:rPr>
      <w:rFonts w:eastAsiaTheme="majorEastAsia" w:cstheme="majorBidi"/>
      <w:i/>
      <w:iCs/>
      <w:color w:val="595959" w:themeColor="text1" w:themeTint="A6"/>
      <w:kern w:val="0"/>
      <w:lang w:val="en-GB"/>
      <w14:ligatures w14:val="none"/>
    </w:rPr>
  </w:style>
  <w:style w:type="character" w:customStyle="1" w:styleId="Heading7Char">
    <w:name w:val="Heading 7 Char"/>
    <w:basedOn w:val="DefaultParagraphFont"/>
    <w:link w:val="Heading7"/>
    <w:uiPriority w:val="9"/>
    <w:semiHidden/>
    <w:rsid w:val="000708F2"/>
    <w:rPr>
      <w:rFonts w:eastAsiaTheme="majorEastAsia" w:cstheme="majorBidi"/>
      <w:color w:val="595959" w:themeColor="text1" w:themeTint="A6"/>
      <w:kern w:val="0"/>
      <w:lang w:val="en-GB"/>
      <w14:ligatures w14:val="none"/>
    </w:rPr>
  </w:style>
  <w:style w:type="character" w:customStyle="1" w:styleId="Heading8Char">
    <w:name w:val="Heading 8 Char"/>
    <w:basedOn w:val="DefaultParagraphFont"/>
    <w:link w:val="Heading8"/>
    <w:uiPriority w:val="9"/>
    <w:semiHidden/>
    <w:rsid w:val="000708F2"/>
    <w:rPr>
      <w:rFonts w:eastAsiaTheme="majorEastAsia" w:cstheme="majorBidi"/>
      <w:i/>
      <w:iCs/>
      <w:color w:val="272727" w:themeColor="text1" w:themeTint="D8"/>
      <w:kern w:val="0"/>
      <w:lang w:val="en-GB"/>
      <w14:ligatures w14:val="none"/>
    </w:rPr>
  </w:style>
  <w:style w:type="character" w:customStyle="1" w:styleId="Heading9Char">
    <w:name w:val="Heading 9 Char"/>
    <w:basedOn w:val="DefaultParagraphFont"/>
    <w:link w:val="Heading9"/>
    <w:uiPriority w:val="9"/>
    <w:semiHidden/>
    <w:rsid w:val="000708F2"/>
    <w:rPr>
      <w:rFonts w:eastAsiaTheme="majorEastAsia" w:cstheme="majorBidi"/>
      <w:color w:val="272727" w:themeColor="text1" w:themeTint="D8"/>
      <w:kern w:val="0"/>
      <w:lang w:val="en-GB"/>
      <w14:ligatures w14:val="none"/>
    </w:rPr>
  </w:style>
  <w:style w:type="paragraph" w:styleId="Title">
    <w:name w:val="Title"/>
    <w:basedOn w:val="Normal"/>
    <w:next w:val="Normal"/>
    <w:link w:val="TitleChar"/>
    <w:uiPriority w:val="10"/>
    <w:qFormat/>
    <w:rsid w:val="000708F2"/>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708F2"/>
    <w:rPr>
      <w:rFonts w:asciiTheme="majorHAnsi" w:eastAsiaTheme="majorEastAsia" w:hAnsiTheme="majorHAnsi" w:cstheme="majorBidi"/>
      <w:spacing w:val="-10"/>
      <w:kern w:val="28"/>
      <w:sz w:val="56"/>
      <w:szCs w:val="56"/>
      <w:lang w:val="en-GB"/>
      <w14:ligatures w14:val="none"/>
    </w:rPr>
  </w:style>
  <w:style w:type="paragraph" w:styleId="Subtitle">
    <w:name w:val="Subtitle"/>
    <w:basedOn w:val="Normal"/>
    <w:next w:val="Normal"/>
    <w:link w:val="SubtitleChar"/>
    <w:uiPriority w:val="11"/>
    <w:qFormat/>
    <w:rsid w:val="000708F2"/>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708F2"/>
    <w:rPr>
      <w:rFonts w:eastAsiaTheme="majorEastAsia" w:cstheme="majorBidi"/>
      <w:color w:val="595959" w:themeColor="text1" w:themeTint="A6"/>
      <w:spacing w:val="15"/>
      <w:kern w:val="0"/>
      <w:sz w:val="28"/>
      <w:szCs w:val="28"/>
      <w:lang w:val="en-GB"/>
      <w14:ligatures w14:val="none"/>
    </w:rPr>
  </w:style>
  <w:style w:type="paragraph" w:styleId="Quote">
    <w:name w:val="Quote"/>
    <w:basedOn w:val="Normal"/>
    <w:next w:val="Normal"/>
    <w:link w:val="QuoteChar"/>
    <w:uiPriority w:val="29"/>
    <w:qFormat/>
    <w:rsid w:val="000708F2"/>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0708F2"/>
    <w:rPr>
      <w:rFonts w:ascii="Arial" w:eastAsia="Times New Roman" w:hAnsi="Arial" w:cs="Times New Roman"/>
      <w:i/>
      <w:iCs/>
      <w:color w:val="404040" w:themeColor="text1" w:themeTint="BF"/>
      <w:kern w:val="0"/>
      <w:lang w:val="en-GB"/>
      <w14:ligatures w14:val="none"/>
    </w:rPr>
  </w:style>
  <w:style w:type="paragraph" w:styleId="ListParagraph">
    <w:name w:val="List Paragraph"/>
    <w:basedOn w:val="Normal"/>
    <w:uiPriority w:val="34"/>
    <w:qFormat/>
    <w:rsid w:val="000708F2"/>
    <w:pPr>
      <w:ind w:left="720"/>
      <w:contextualSpacing/>
    </w:pPr>
  </w:style>
  <w:style w:type="character" w:styleId="IntenseEmphasis">
    <w:name w:val="Intense Emphasis"/>
    <w:basedOn w:val="DefaultParagraphFont"/>
    <w:uiPriority w:val="21"/>
    <w:qFormat/>
    <w:rsid w:val="000708F2"/>
    <w:rPr>
      <w:i/>
      <w:iCs/>
      <w:color w:val="2F5496" w:themeColor="accent1" w:themeShade="BF"/>
    </w:rPr>
  </w:style>
  <w:style w:type="paragraph" w:styleId="IntenseQuote">
    <w:name w:val="Intense Quote"/>
    <w:basedOn w:val="Normal"/>
    <w:next w:val="Normal"/>
    <w:link w:val="IntenseQuoteChar"/>
    <w:uiPriority w:val="30"/>
    <w:qFormat/>
    <w:rsid w:val="000708F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708F2"/>
    <w:rPr>
      <w:rFonts w:ascii="Arial" w:eastAsia="Times New Roman" w:hAnsi="Arial" w:cs="Times New Roman"/>
      <w:i/>
      <w:iCs/>
      <w:color w:val="2F5496" w:themeColor="accent1" w:themeShade="BF"/>
      <w:kern w:val="0"/>
      <w:lang w:val="en-GB"/>
      <w14:ligatures w14:val="none"/>
    </w:rPr>
  </w:style>
  <w:style w:type="character" w:styleId="IntenseReference">
    <w:name w:val="Intense Reference"/>
    <w:basedOn w:val="DefaultParagraphFont"/>
    <w:uiPriority w:val="32"/>
    <w:qFormat/>
    <w:rsid w:val="000708F2"/>
    <w:rPr>
      <w:b/>
      <w:bCs/>
      <w:smallCaps/>
      <w:color w:val="2F5496" w:themeColor="accent1" w:themeShade="BF"/>
      <w:spacing w:val="5"/>
    </w:rPr>
  </w:style>
  <w:style w:type="paragraph" w:styleId="NormalWeb">
    <w:name w:val="Normal (Web)"/>
    <w:basedOn w:val="Normal"/>
    <w:uiPriority w:val="99"/>
    <w:unhideWhenUsed/>
    <w:rsid w:val="00EC5C76"/>
    <w:pPr>
      <w:spacing w:before="100" w:beforeAutospacing="1" w:after="100" w:afterAutospacing="1"/>
    </w:pPr>
  </w:style>
  <w:style w:type="character" w:styleId="Strong">
    <w:name w:val="Strong"/>
    <w:basedOn w:val="DefaultParagraphFont"/>
    <w:uiPriority w:val="22"/>
    <w:qFormat/>
    <w:rsid w:val="00EC5C76"/>
    <w:rPr>
      <w:b/>
      <w:bCs/>
    </w:rPr>
  </w:style>
  <w:style w:type="character" w:styleId="Emphasis">
    <w:name w:val="Emphasis"/>
    <w:basedOn w:val="DefaultParagraphFont"/>
    <w:uiPriority w:val="20"/>
    <w:qFormat/>
    <w:rsid w:val="00EC5C76"/>
    <w:rPr>
      <w:i/>
      <w:iCs/>
    </w:rPr>
  </w:style>
  <w:style w:type="character" w:customStyle="1" w:styleId="ml-1">
    <w:name w:val="ml-1"/>
    <w:basedOn w:val="DefaultParagraphFont"/>
    <w:rsid w:val="00EC5C76"/>
  </w:style>
  <w:style w:type="character" w:customStyle="1" w:styleId="overflow-hidden">
    <w:name w:val="overflow-hidden"/>
    <w:basedOn w:val="DefaultParagraphFont"/>
    <w:rsid w:val="0003319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83065999">
      <w:bodyDiv w:val="1"/>
      <w:marLeft w:val="0"/>
      <w:marRight w:val="0"/>
      <w:marTop w:val="0"/>
      <w:marBottom w:val="0"/>
      <w:divBdr>
        <w:top w:val="none" w:sz="0" w:space="0" w:color="auto"/>
        <w:left w:val="none" w:sz="0" w:space="0" w:color="auto"/>
        <w:bottom w:val="none" w:sz="0" w:space="0" w:color="auto"/>
        <w:right w:val="none" w:sz="0" w:space="0" w:color="auto"/>
      </w:divBdr>
      <w:divsChild>
        <w:div w:id="678504350">
          <w:blockQuote w:val="1"/>
          <w:marLeft w:val="720"/>
          <w:marRight w:val="720"/>
          <w:marTop w:val="100"/>
          <w:marBottom w:val="100"/>
          <w:divBdr>
            <w:top w:val="none" w:sz="0" w:space="0" w:color="auto"/>
            <w:left w:val="none" w:sz="0" w:space="0" w:color="auto"/>
            <w:bottom w:val="none" w:sz="0" w:space="0" w:color="auto"/>
            <w:right w:val="none" w:sz="0" w:space="0" w:color="auto"/>
          </w:divBdr>
        </w:div>
        <w:div w:id="902524760">
          <w:blockQuote w:val="1"/>
          <w:marLeft w:val="720"/>
          <w:marRight w:val="720"/>
          <w:marTop w:val="100"/>
          <w:marBottom w:val="100"/>
          <w:divBdr>
            <w:top w:val="none" w:sz="0" w:space="0" w:color="auto"/>
            <w:left w:val="none" w:sz="0" w:space="0" w:color="auto"/>
            <w:bottom w:val="none" w:sz="0" w:space="0" w:color="auto"/>
            <w:right w:val="none" w:sz="0" w:space="0" w:color="auto"/>
          </w:divBdr>
        </w:div>
        <w:div w:id="179197411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70012259">
      <w:bodyDiv w:val="1"/>
      <w:marLeft w:val="0"/>
      <w:marRight w:val="0"/>
      <w:marTop w:val="0"/>
      <w:marBottom w:val="0"/>
      <w:divBdr>
        <w:top w:val="none" w:sz="0" w:space="0" w:color="auto"/>
        <w:left w:val="none" w:sz="0" w:space="0" w:color="auto"/>
        <w:bottom w:val="none" w:sz="0" w:space="0" w:color="auto"/>
        <w:right w:val="none" w:sz="0" w:space="0" w:color="auto"/>
      </w:divBdr>
    </w:div>
    <w:div w:id="288825437">
      <w:bodyDiv w:val="1"/>
      <w:marLeft w:val="0"/>
      <w:marRight w:val="0"/>
      <w:marTop w:val="0"/>
      <w:marBottom w:val="0"/>
      <w:divBdr>
        <w:top w:val="none" w:sz="0" w:space="0" w:color="auto"/>
        <w:left w:val="none" w:sz="0" w:space="0" w:color="auto"/>
        <w:bottom w:val="none" w:sz="0" w:space="0" w:color="auto"/>
        <w:right w:val="none" w:sz="0" w:space="0" w:color="auto"/>
      </w:divBdr>
      <w:divsChild>
        <w:div w:id="197062140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08293177">
      <w:bodyDiv w:val="1"/>
      <w:marLeft w:val="0"/>
      <w:marRight w:val="0"/>
      <w:marTop w:val="0"/>
      <w:marBottom w:val="0"/>
      <w:divBdr>
        <w:top w:val="none" w:sz="0" w:space="0" w:color="auto"/>
        <w:left w:val="none" w:sz="0" w:space="0" w:color="auto"/>
        <w:bottom w:val="none" w:sz="0" w:space="0" w:color="auto"/>
        <w:right w:val="none" w:sz="0" w:space="0" w:color="auto"/>
      </w:divBdr>
      <w:divsChild>
        <w:div w:id="351881867">
          <w:blockQuote w:val="1"/>
          <w:marLeft w:val="720"/>
          <w:marRight w:val="720"/>
          <w:marTop w:val="100"/>
          <w:marBottom w:val="100"/>
          <w:divBdr>
            <w:top w:val="none" w:sz="0" w:space="0" w:color="auto"/>
            <w:left w:val="none" w:sz="0" w:space="0" w:color="auto"/>
            <w:bottom w:val="none" w:sz="0" w:space="0" w:color="auto"/>
            <w:right w:val="none" w:sz="0" w:space="0" w:color="auto"/>
          </w:divBdr>
        </w:div>
        <w:div w:id="1222836284">
          <w:blockQuote w:val="1"/>
          <w:marLeft w:val="720"/>
          <w:marRight w:val="720"/>
          <w:marTop w:val="100"/>
          <w:marBottom w:val="100"/>
          <w:divBdr>
            <w:top w:val="none" w:sz="0" w:space="0" w:color="auto"/>
            <w:left w:val="none" w:sz="0" w:space="0" w:color="auto"/>
            <w:bottom w:val="none" w:sz="0" w:space="0" w:color="auto"/>
            <w:right w:val="none" w:sz="0" w:space="0" w:color="auto"/>
          </w:divBdr>
        </w:div>
        <w:div w:id="2035643983">
          <w:blockQuote w:val="1"/>
          <w:marLeft w:val="720"/>
          <w:marRight w:val="720"/>
          <w:marTop w:val="100"/>
          <w:marBottom w:val="100"/>
          <w:divBdr>
            <w:top w:val="none" w:sz="0" w:space="0" w:color="auto"/>
            <w:left w:val="none" w:sz="0" w:space="0" w:color="auto"/>
            <w:bottom w:val="none" w:sz="0" w:space="0" w:color="auto"/>
            <w:right w:val="none" w:sz="0" w:space="0" w:color="auto"/>
          </w:divBdr>
        </w:div>
        <w:div w:id="190205968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44482461">
      <w:bodyDiv w:val="1"/>
      <w:marLeft w:val="0"/>
      <w:marRight w:val="0"/>
      <w:marTop w:val="0"/>
      <w:marBottom w:val="0"/>
      <w:divBdr>
        <w:top w:val="none" w:sz="0" w:space="0" w:color="auto"/>
        <w:left w:val="none" w:sz="0" w:space="0" w:color="auto"/>
        <w:bottom w:val="none" w:sz="0" w:space="0" w:color="auto"/>
        <w:right w:val="none" w:sz="0" w:space="0" w:color="auto"/>
      </w:divBdr>
    </w:div>
    <w:div w:id="355154066">
      <w:bodyDiv w:val="1"/>
      <w:marLeft w:val="0"/>
      <w:marRight w:val="0"/>
      <w:marTop w:val="0"/>
      <w:marBottom w:val="0"/>
      <w:divBdr>
        <w:top w:val="none" w:sz="0" w:space="0" w:color="auto"/>
        <w:left w:val="none" w:sz="0" w:space="0" w:color="auto"/>
        <w:bottom w:val="none" w:sz="0" w:space="0" w:color="auto"/>
        <w:right w:val="none" w:sz="0" w:space="0" w:color="auto"/>
      </w:divBdr>
      <w:divsChild>
        <w:div w:id="1016080245">
          <w:marLeft w:val="0"/>
          <w:marRight w:val="0"/>
          <w:marTop w:val="0"/>
          <w:marBottom w:val="0"/>
          <w:divBdr>
            <w:top w:val="none" w:sz="0" w:space="0" w:color="auto"/>
            <w:left w:val="none" w:sz="0" w:space="0" w:color="auto"/>
            <w:bottom w:val="none" w:sz="0" w:space="0" w:color="auto"/>
            <w:right w:val="none" w:sz="0" w:space="0" w:color="auto"/>
          </w:divBdr>
          <w:divsChild>
            <w:div w:id="319316073">
              <w:marLeft w:val="0"/>
              <w:marRight w:val="0"/>
              <w:marTop w:val="0"/>
              <w:marBottom w:val="0"/>
              <w:divBdr>
                <w:top w:val="none" w:sz="0" w:space="0" w:color="auto"/>
                <w:left w:val="none" w:sz="0" w:space="0" w:color="auto"/>
                <w:bottom w:val="none" w:sz="0" w:space="0" w:color="auto"/>
                <w:right w:val="none" w:sz="0" w:space="0" w:color="auto"/>
              </w:divBdr>
              <w:divsChild>
                <w:div w:id="1564094955">
                  <w:marLeft w:val="0"/>
                  <w:marRight w:val="0"/>
                  <w:marTop w:val="0"/>
                  <w:marBottom w:val="0"/>
                  <w:divBdr>
                    <w:top w:val="none" w:sz="0" w:space="0" w:color="auto"/>
                    <w:left w:val="none" w:sz="0" w:space="0" w:color="auto"/>
                    <w:bottom w:val="none" w:sz="0" w:space="0" w:color="auto"/>
                    <w:right w:val="none" w:sz="0" w:space="0" w:color="auto"/>
                  </w:divBdr>
                  <w:divsChild>
                    <w:div w:id="10177376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18745335">
          <w:marLeft w:val="0"/>
          <w:marRight w:val="0"/>
          <w:marTop w:val="0"/>
          <w:marBottom w:val="0"/>
          <w:divBdr>
            <w:top w:val="none" w:sz="0" w:space="0" w:color="auto"/>
            <w:left w:val="none" w:sz="0" w:space="0" w:color="auto"/>
            <w:bottom w:val="none" w:sz="0" w:space="0" w:color="auto"/>
            <w:right w:val="none" w:sz="0" w:space="0" w:color="auto"/>
          </w:divBdr>
          <w:divsChild>
            <w:div w:id="182404623">
              <w:marLeft w:val="0"/>
              <w:marRight w:val="0"/>
              <w:marTop w:val="0"/>
              <w:marBottom w:val="0"/>
              <w:divBdr>
                <w:top w:val="none" w:sz="0" w:space="0" w:color="auto"/>
                <w:left w:val="none" w:sz="0" w:space="0" w:color="auto"/>
                <w:bottom w:val="none" w:sz="0" w:space="0" w:color="auto"/>
                <w:right w:val="none" w:sz="0" w:space="0" w:color="auto"/>
              </w:divBdr>
              <w:divsChild>
                <w:div w:id="1457021639">
                  <w:marLeft w:val="0"/>
                  <w:marRight w:val="0"/>
                  <w:marTop w:val="0"/>
                  <w:marBottom w:val="0"/>
                  <w:divBdr>
                    <w:top w:val="none" w:sz="0" w:space="0" w:color="auto"/>
                    <w:left w:val="none" w:sz="0" w:space="0" w:color="auto"/>
                    <w:bottom w:val="none" w:sz="0" w:space="0" w:color="auto"/>
                    <w:right w:val="none" w:sz="0" w:space="0" w:color="auto"/>
                  </w:divBdr>
                  <w:divsChild>
                    <w:div w:id="9874400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94107478">
      <w:bodyDiv w:val="1"/>
      <w:marLeft w:val="0"/>
      <w:marRight w:val="0"/>
      <w:marTop w:val="0"/>
      <w:marBottom w:val="0"/>
      <w:divBdr>
        <w:top w:val="none" w:sz="0" w:space="0" w:color="auto"/>
        <w:left w:val="none" w:sz="0" w:space="0" w:color="auto"/>
        <w:bottom w:val="none" w:sz="0" w:space="0" w:color="auto"/>
        <w:right w:val="none" w:sz="0" w:space="0" w:color="auto"/>
      </w:divBdr>
      <w:divsChild>
        <w:div w:id="102259090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99849610">
      <w:bodyDiv w:val="1"/>
      <w:marLeft w:val="0"/>
      <w:marRight w:val="0"/>
      <w:marTop w:val="0"/>
      <w:marBottom w:val="0"/>
      <w:divBdr>
        <w:top w:val="none" w:sz="0" w:space="0" w:color="auto"/>
        <w:left w:val="none" w:sz="0" w:space="0" w:color="auto"/>
        <w:bottom w:val="none" w:sz="0" w:space="0" w:color="auto"/>
        <w:right w:val="none" w:sz="0" w:space="0" w:color="auto"/>
      </w:divBdr>
    </w:div>
    <w:div w:id="590511835">
      <w:bodyDiv w:val="1"/>
      <w:marLeft w:val="0"/>
      <w:marRight w:val="0"/>
      <w:marTop w:val="0"/>
      <w:marBottom w:val="0"/>
      <w:divBdr>
        <w:top w:val="none" w:sz="0" w:space="0" w:color="auto"/>
        <w:left w:val="none" w:sz="0" w:space="0" w:color="auto"/>
        <w:bottom w:val="none" w:sz="0" w:space="0" w:color="auto"/>
        <w:right w:val="none" w:sz="0" w:space="0" w:color="auto"/>
      </w:divBdr>
    </w:div>
    <w:div w:id="993068641">
      <w:bodyDiv w:val="1"/>
      <w:marLeft w:val="0"/>
      <w:marRight w:val="0"/>
      <w:marTop w:val="0"/>
      <w:marBottom w:val="0"/>
      <w:divBdr>
        <w:top w:val="none" w:sz="0" w:space="0" w:color="auto"/>
        <w:left w:val="none" w:sz="0" w:space="0" w:color="auto"/>
        <w:bottom w:val="none" w:sz="0" w:space="0" w:color="auto"/>
        <w:right w:val="none" w:sz="0" w:space="0" w:color="auto"/>
      </w:divBdr>
      <w:divsChild>
        <w:div w:id="1763989682">
          <w:marLeft w:val="0"/>
          <w:marRight w:val="0"/>
          <w:marTop w:val="0"/>
          <w:marBottom w:val="0"/>
          <w:divBdr>
            <w:top w:val="none" w:sz="0" w:space="0" w:color="auto"/>
            <w:left w:val="none" w:sz="0" w:space="0" w:color="auto"/>
            <w:bottom w:val="none" w:sz="0" w:space="0" w:color="auto"/>
            <w:right w:val="none" w:sz="0" w:space="0" w:color="auto"/>
          </w:divBdr>
          <w:divsChild>
            <w:div w:id="932516414">
              <w:marLeft w:val="0"/>
              <w:marRight w:val="0"/>
              <w:marTop w:val="0"/>
              <w:marBottom w:val="0"/>
              <w:divBdr>
                <w:top w:val="none" w:sz="0" w:space="0" w:color="auto"/>
                <w:left w:val="none" w:sz="0" w:space="0" w:color="auto"/>
                <w:bottom w:val="none" w:sz="0" w:space="0" w:color="auto"/>
                <w:right w:val="none" w:sz="0" w:space="0" w:color="auto"/>
              </w:divBdr>
              <w:divsChild>
                <w:div w:id="1026442810">
                  <w:marLeft w:val="0"/>
                  <w:marRight w:val="0"/>
                  <w:marTop w:val="0"/>
                  <w:marBottom w:val="0"/>
                  <w:divBdr>
                    <w:top w:val="none" w:sz="0" w:space="0" w:color="auto"/>
                    <w:left w:val="none" w:sz="0" w:space="0" w:color="auto"/>
                    <w:bottom w:val="none" w:sz="0" w:space="0" w:color="auto"/>
                    <w:right w:val="none" w:sz="0" w:space="0" w:color="auto"/>
                  </w:divBdr>
                  <w:divsChild>
                    <w:div w:id="297031237">
                      <w:marLeft w:val="0"/>
                      <w:marRight w:val="0"/>
                      <w:marTop w:val="0"/>
                      <w:marBottom w:val="0"/>
                      <w:divBdr>
                        <w:top w:val="none" w:sz="0" w:space="0" w:color="auto"/>
                        <w:left w:val="none" w:sz="0" w:space="0" w:color="auto"/>
                        <w:bottom w:val="none" w:sz="0" w:space="0" w:color="auto"/>
                        <w:right w:val="none" w:sz="0" w:space="0" w:color="auto"/>
                      </w:divBdr>
                      <w:divsChild>
                        <w:div w:id="639387063">
                          <w:marLeft w:val="0"/>
                          <w:marRight w:val="0"/>
                          <w:marTop w:val="0"/>
                          <w:marBottom w:val="0"/>
                          <w:divBdr>
                            <w:top w:val="none" w:sz="0" w:space="0" w:color="auto"/>
                            <w:left w:val="none" w:sz="0" w:space="0" w:color="auto"/>
                            <w:bottom w:val="none" w:sz="0" w:space="0" w:color="auto"/>
                            <w:right w:val="none" w:sz="0" w:space="0" w:color="auto"/>
                          </w:divBdr>
                          <w:divsChild>
                            <w:div w:id="1043873140">
                              <w:marLeft w:val="0"/>
                              <w:marRight w:val="0"/>
                              <w:marTop w:val="0"/>
                              <w:marBottom w:val="0"/>
                              <w:divBdr>
                                <w:top w:val="none" w:sz="0" w:space="0" w:color="auto"/>
                                <w:left w:val="none" w:sz="0" w:space="0" w:color="auto"/>
                                <w:bottom w:val="none" w:sz="0" w:space="0" w:color="auto"/>
                                <w:right w:val="none" w:sz="0" w:space="0" w:color="auto"/>
                              </w:divBdr>
                              <w:divsChild>
                                <w:div w:id="1172598350">
                                  <w:marLeft w:val="0"/>
                                  <w:marRight w:val="0"/>
                                  <w:marTop w:val="0"/>
                                  <w:marBottom w:val="0"/>
                                  <w:divBdr>
                                    <w:top w:val="none" w:sz="0" w:space="0" w:color="auto"/>
                                    <w:left w:val="none" w:sz="0" w:space="0" w:color="auto"/>
                                    <w:bottom w:val="none" w:sz="0" w:space="0" w:color="auto"/>
                                    <w:right w:val="none" w:sz="0" w:space="0" w:color="auto"/>
                                  </w:divBdr>
                                  <w:divsChild>
                                    <w:div w:id="1731922683">
                                      <w:marLeft w:val="0"/>
                                      <w:marRight w:val="0"/>
                                      <w:marTop w:val="0"/>
                                      <w:marBottom w:val="0"/>
                                      <w:divBdr>
                                        <w:top w:val="none" w:sz="0" w:space="0" w:color="auto"/>
                                        <w:left w:val="none" w:sz="0" w:space="0" w:color="auto"/>
                                        <w:bottom w:val="none" w:sz="0" w:space="0" w:color="auto"/>
                                        <w:right w:val="none" w:sz="0" w:space="0" w:color="auto"/>
                                      </w:divBdr>
                                      <w:divsChild>
                                        <w:div w:id="106792440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028219346">
      <w:bodyDiv w:val="1"/>
      <w:marLeft w:val="0"/>
      <w:marRight w:val="0"/>
      <w:marTop w:val="0"/>
      <w:marBottom w:val="0"/>
      <w:divBdr>
        <w:top w:val="none" w:sz="0" w:space="0" w:color="auto"/>
        <w:left w:val="none" w:sz="0" w:space="0" w:color="auto"/>
        <w:bottom w:val="none" w:sz="0" w:space="0" w:color="auto"/>
        <w:right w:val="none" w:sz="0" w:space="0" w:color="auto"/>
      </w:divBdr>
    </w:div>
    <w:div w:id="1162043154">
      <w:bodyDiv w:val="1"/>
      <w:marLeft w:val="0"/>
      <w:marRight w:val="0"/>
      <w:marTop w:val="0"/>
      <w:marBottom w:val="0"/>
      <w:divBdr>
        <w:top w:val="none" w:sz="0" w:space="0" w:color="auto"/>
        <w:left w:val="none" w:sz="0" w:space="0" w:color="auto"/>
        <w:bottom w:val="none" w:sz="0" w:space="0" w:color="auto"/>
        <w:right w:val="none" w:sz="0" w:space="0" w:color="auto"/>
      </w:divBdr>
    </w:div>
    <w:div w:id="1185704437">
      <w:bodyDiv w:val="1"/>
      <w:marLeft w:val="0"/>
      <w:marRight w:val="0"/>
      <w:marTop w:val="0"/>
      <w:marBottom w:val="0"/>
      <w:divBdr>
        <w:top w:val="none" w:sz="0" w:space="0" w:color="auto"/>
        <w:left w:val="none" w:sz="0" w:space="0" w:color="auto"/>
        <w:bottom w:val="none" w:sz="0" w:space="0" w:color="auto"/>
        <w:right w:val="none" w:sz="0" w:space="0" w:color="auto"/>
      </w:divBdr>
    </w:div>
    <w:div w:id="1290016453">
      <w:bodyDiv w:val="1"/>
      <w:marLeft w:val="0"/>
      <w:marRight w:val="0"/>
      <w:marTop w:val="0"/>
      <w:marBottom w:val="0"/>
      <w:divBdr>
        <w:top w:val="none" w:sz="0" w:space="0" w:color="auto"/>
        <w:left w:val="none" w:sz="0" w:space="0" w:color="auto"/>
        <w:bottom w:val="none" w:sz="0" w:space="0" w:color="auto"/>
        <w:right w:val="none" w:sz="0" w:space="0" w:color="auto"/>
      </w:divBdr>
      <w:divsChild>
        <w:div w:id="1336683847">
          <w:blockQuote w:val="1"/>
          <w:marLeft w:val="720"/>
          <w:marRight w:val="720"/>
          <w:marTop w:val="100"/>
          <w:marBottom w:val="100"/>
          <w:divBdr>
            <w:top w:val="none" w:sz="0" w:space="0" w:color="auto"/>
            <w:left w:val="none" w:sz="0" w:space="0" w:color="auto"/>
            <w:bottom w:val="none" w:sz="0" w:space="0" w:color="auto"/>
            <w:right w:val="none" w:sz="0" w:space="0" w:color="auto"/>
          </w:divBdr>
        </w:div>
        <w:div w:id="598412112">
          <w:blockQuote w:val="1"/>
          <w:marLeft w:val="720"/>
          <w:marRight w:val="720"/>
          <w:marTop w:val="100"/>
          <w:marBottom w:val="100"/>
          <w:divBdr>
            <w:top w:val="none" w:sz="0" w:space="0" w:color="auto"/>
            <w:left w:val="none" w:sz="0" w:space="0" w:color="auto"/>
            <w:bottom w:val="none" w:sz="0" w:space="0" w:color="auto"/>
            <w:right w:val="none" w:sz="0" w:space="0" w:color="auto"/>
          </w:divBdr>
        </w:div>
        <w:div w:id="226038518">
          <w:blockQuote w:val="1"/>
          <w:marLeft w:val="720"/>
          <w:marRight w:val="720"/>
          <w:marTop w:val="100"/>
          <w:marBottom w:val="100"/>
          <w:divBdr>
            <w:top w:val="none" w:sz="0" w:space="0" w:color="auto"/>
            <w:left w:val="none" w:sz="0" w:space="0" w:color="auto"/>
            <w:bottom w:val="none" w:sz="0" w:space="0" w:color="auto"/>
            <w:right w:val="none" w:sz="0" w:space="0" w:color="auto"/>
          </w:divBdr>
        </w:div>
        <w:div w:id="400643935">
          <w:blockQuote w:val="1"/>
          <w:marLeft w:val="720"/>
          <w:marRight w:val="720"/>
          <w:marTop w:val="100"/>
          <w:marBottom w:val="100"/>
          <w:divBdr>
            <w:top w:val="none" w:sz="0" w:space="0" w:color="auto"/>
            <w:left w:val="none" w:sz="0" w:space="0" w:color="auto"/>
            <w:bottom w:val="none" w:sz="0" w:space="0" w:color="auto"/>
            <w:right w:val="none" w:sz="0" w:space="0" w:color="auto"/>
          </w:divBdr>
        </w:div>
        <w:div w:id="501547053">
          <w:blockQuote w:val="1"/>
          <w:marLeft w:val="720"/>
          <w:marRight w:val="720"/>
          <w:marTop w:val="100"/>
          <w:marBottom w:val="100"/>
          <w:divBdr>
            <w:top w:val="none" w:sz="0" w:space="0" w:color="auto"/>
            <w:left w:val="none" w:sz="0" w:space="0" w:color="auto"/>
            <w:bottom w:val="none" w:sz="0" w:space="0" w:color="auto"/>
            <w:right w:val="none" w:sz="0" w:space="0" w:color="auto"/>
          </w:divBdr>
        </w:div>
        <w:div w:id="1877110401">
          <w:blockQuote w:val="1"/>
          <w:marLeft w:val="720"/>
          <w:marRight w:val="720"/>
          <w:marTop w:val="100"/>
          <w:marBottom w:val="100"/>
          <w:divBdr>
            <w:top w:val="none" w:sz="0" w:space="0" w:color="auto"/>
            <w:left w:val="none" w:sz="0" w:space="0" w:color="auto"/>
            <w:bottom w:val="none" w:sz="0" w:space="0" w:color="auto"/>
            <w:right w:val="none" w:sz="0" w:space="0" w:color="auto"/>
          </w:divBdr>
        </w:div>
        <w:div w:id="94522048">
          <w:blockQuote w:val="1"/>
          <w:marLeft w:val="720"/>
          <w:marRight w:val="720"/>
          <w:marTop w:val="100"/>
          <w:marBottom w:val="100"/>
          <w:divBdr>
            <w:top w:val="none" w:sz="0" w:space="0" w:color="auto"/>
            <w:left w:val="none" w:sz="0" w:space="0" w:color="auto"/>
            <w:bottom w:val="none" w:sz="0" w:space="0" w:color="auto"/>
            <w:right w:val="none" w:sz="0" w:space="0" w:color="auto"/>
          </w:divBdr>
        </w:div>
        <w:div w:id="136991246">
          <w:blockQuote w:val="1"/>
          <w:marLeft w:val="720"/>
          <w:marRight w:val="720"/>
          <w:marTop w:val="100"/>
          <w:marBottom w:val="100"/>
          <w:divBdr>
            <w:top w:val="none" w:sz="0" w:space="0" w:color="auto"/>
            <w:left w:val="none" w:sz="0" w:space="0" w:color="auto"/>
            <w:bottom w:val="none" w:sz="0" w:space="0" w:color="auto"/>
            <w:right w:val="none" w:sz="0" w:space="0" w:color="auto"/>
          </w:divBdr>
        </w:div>
        <w:div w:id="446388916">
          <w:blockQuote w:val="1"/>
          <w:marLeft w:val="720"/>
          <w:marRight w:val="720"/>
          <w:marTop w:val="100"/>
          <w:marBottom w:val="100"/>
          <w:divBdr>
            <w:top w:val="none" w:sz="0" w:space="0" w:color="auto"/>
            <w:left w:val="none" w:sz="0" w:space="0" w:color="auto"/>
            <w:bottom w:val="none" w:sz="0" w:space="0" w:color="auto"/>
            <w:right w:val="none" w:sz="0" w:space="0" w:color="auto"/>
          </w:divBdr>
        </w:div>
        <w:div w:id="11429732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83091598">
      <w:bodyDiv w:val="1"/>
      <w:marLeft w:val="0"/>
      <w:marRight w:val="0"/>
      <w:marTop w:val="0"/>
      <w:marBottom w:val="0"/>
      <w:divBdr>
        <w:top w:val="none" w:sz="0" w:space="0" w:color="auto"/>
        <w:left w:val="none" w:sz="0" w:space="0" w:color="auto"/>
        <w:bottom w:val="none" w:sz="0" w:space="0" w:color="auto"/>
        <w:right w:val="none" w:sz="0" w:space="0" w:color="auto"/>
      </w:divBdr>
      <w:divsChild>
        <w:div w:id="199124612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93188691">
      <w:bodyDiv w:val="1"/>
      <w:marLeft w:val="0"/>
      <w:marRight w:val="0"/>
      <w:marTop w:val="0"/>
      <w:marBottom w:val="0"/>
      <w:divBdr>
        <w:top w:val="none" w:sz="0" w:space="0" w:color="auto"/>
        <w:left w:val="none" w:sz="0" w:space="0" w:color="auto"/>
        <w:bottom w:val="none" w:sz="0" w:space="0" w:color="auto"/>
        <w:right w:val="none" w:sz="0" w:space="0" w:color="auto"/>
      </w:divBdr>
    </w:div>
    <w:div w:id="1398361923">
      <w:bodyDiv w:val="1"/>
      <w:marLeft w:val="0"/>
      <w:marRight w:val="0"/>
      <w:marTop w:val="0"/>
      <w:marBottom w:val="0"/>
      <w:divBdr>
        <w:top w:val="none" w:sz="0" w:space="0" w:color="auto"/>
        <w:left w:val="none" w:sz="0" w:space="0" w:color="auto"/>
        <w:bottom w:val="none" w:sz="0" w:space="0" w:color="auto"/>
        <w:right w:val="none" w:sz="0" w:space="0" w:color="auto"/>
      </w:divBdr>
    </w:div>
    <w:div w:id="1460537351">
      <w:bodyDiv w:val="1"/>
      <w:marLeft w:val="0"/>
      <w:marRight w:val="0"/>
      <w:marTop w:val="0"/>
      <w:marBottom w:val="0"/>
      <w:divBdr>
        <w:top w:val="none" w:sz="0" w:space="0" w:color="auto"/>
        <w:left w:val="none" w:sz="0" w:space="0" w:color="auto"/>
        <w:bottom w:val="none" w:sz="0" w:space="0" w:color="auto"/>
        <w:right w:val="none" w:sz="0" w:space="0" w:color="auto"/>
      </w:divBdr>
    </w:div>
    <w:div w:id="1465123231">
      <w:bodyDiv w:val="1"/>
      <w:marLeft w:val="0"/>
      <w:marRight w:val="0"/>
      <w:marTop w:val="0"/>
      <w:marBottom w:val="0"/>
      <w:divBdr>
        <w:top w:val="none" w:sz="0" w:space="0" w:color="auto"/>
        <w:left w:val="none" w:sz="0" w:space="0" w:color="auto"/>
        <w:bottom w:val="none" w:sz="0" w:space="0" w:color="auto"/>
        <w:right w:val="none" w:sz="0" w:space="0" w:color="auto"/>
      </w:divBdr>
      <w:divsChild>
        <w:div w:id="214010455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88472591">
      <w:bodyDiv w:val="1"/>
      <w:marLeft w:val="0"/>
      <w:marRight w:val="0"/>
      <w:marTop w:val="0"/>
      <w:marBottom w:val="0"/>
      <w:divBdr>
        <w:top w:val="none" w:sz="0" w:space="0" w:color="auto"/>
        <w:left w:val="none" w:sz="0" w:space="0" w:color="auto"/>
        <w:bottom w:val="none" w:sz="0" w:space="0" w:color="auto"/>
        <w:right w:val="none" w:sz="0" w:space="0" w:color="auto"/>
      </w:divBdr>
    </w:div>
    <w:div w:id="1511677766">
      <w:bodyDiv w:val="1"/>
      <w:marLeft w:val="0"/>
      <w:marRight w:val="0"/>
      <w:marTop w:val="0"/>
      <w:marBottom w:val="0"/>
      <w:divBdr>
        <w:top w:val="none" w:sz="0" w:space="0" w:color="auto"/>
        <w:left w:val="none" w:sz="0" w:space="0" w:color="auto"/>
        <w:bottom w:val="none" w:sz="0" w:space="0" w:color="auto"/>
        <w:right w:val="none" w:sz="0" w:space="0" w:color="auto"/>
      </w:divBdr>
    </w:div>
    <w:div w:id="1922988624">
      <w:bodyDiv w:val="1"/>
      <w:marLeft w:val="0"/>
      <w:marRight w:val="0"/>
      <w:marTop w:val="0"/>
      <w:marBottom w:val="0"/>
      <w:divBdr>
        <w:top w:val="none" w:sz="0" w:space="0" w:color="auto"/>
        <w:left w:val="none" w:sz="0" w:space="0" w:color="auto"/>
        <w:bottom w:val="none" w:sz="0" w:space="0" w:color="auto"/>
        <w:right w:val="none" w:sz="0" w:space="0" w:color="auto"/>
      </w:divBdr>
      <w:divsChild>
        <w:div w:id="110507822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41280202">
      <w:bodyDiv w:val="1"/>
      <w:marLeft w:val="0"/>
      <w:marRight w:val="0"/>
      <w:marTop w:val="0"/>
      <w:marBottom w:val="0"/>
      <w:divBdr>
        <w:top w:val="none" w:sz="0" w:space="0" w:color="auto"/>
        <w:left w:val="none" w:sz="0" w:space="0" w:color="auto"/>
        <w:bottom w:val="none" w:sz="0" w:space="0" w:color="auto"/>
        <w:right w:val="none" w:sz="0" w:space="0" w:color="auto"/>
      </w:divBdr>
    </w:div>
    <w:div w:id="2050764204">
      <w:bodyDiv w:val="1"/>
      <w:marLeft w:val="0"/>
      <w:marRight w:val="0"/>
      <w:marTop w:val="0"/>
      <w:marBottom w:val="0"/>
      <w:divBdr>
        <w:top w:val="none" w:sz="0" w:space="0" w:color="auto"/>
        <w:left w:val="none" w:sz="0" w:space="0" w:color="auto"/>
        <w:bottom w:val="none" w:sz="0" w:space="0" w:color="auto"/>
        <w:right w:val="none" w:sz="0" w:space="0" w:color="auto"/>
      </w:divBdr>
    </w:div>
    <w:div w:id="2058357192">
      <w:bodyDiv w:val="1"/>
      <w:marLeft w:val="0"/>
      <w:marRight w:val="0"/>
      <w:marTop w:val="0"/>
      <w:marBottom w:val="0"/>
      <w:divBdr>
        <w:top w:val="none" w:sz="0" w:space="0" w:color="auto"/>
        <w:left w:val="none" w:sz="0" w:space="0" w:color="auto"/>
        <w:bottom w:val="none" w:sz="0" w:space="0" w:color="auto"/>
        <w:right w:val="none" w:sz="0" w:space="0" w:color="auto"/>
      </w:divBdr>
      <w:divsChild>
        <w:div w:id="1611087583">
          <w:marLeft w:val="0"/>
          <w:marRight w:val="0"/>
          <w:marTop w:val="0"/>
          <w:marBottom w:val="0"/>
          <w:divBdr>
            <w:top w:val="none" w:sz="0" w:space="0" w:color="auto"/>
            <w:left w:val="none" w:sz="0" w:space="0" w:color="auto"/>
            <w:bottom w:val="none" w:sz="0" w:space="0" w:color="auto"/>
            <w:right w:val="none" w:sz="0" w:space="0" w:color="auto"/>
          </w:divBdr>
          <w:divsChild>
            <w:div w:id="507215363">
              <w:marLeft w:val="0"/>
              <w:marRight w:val="0"/>
              <w:marTop w:val="0"/>
              <w:marBottom w:val="0"/>
              <w:divBdr>
                <w:top w:val="none" w:sz="0" w:space="0" w:color="auto"/>
                <w:left w:val="none" w:sz="0" w:space="0" w:color="auto"/>
                <w:bottom w:val="none" w:sz="0" w:space="0" w:color="auto"/>
                <w:right w:val="none" w:sz="0" w:space="0" w:color="auto"/>
              </w:divBdr>
              <w:divsChild>
                <w:div w:id="635917392">
                  <w:marLeft w:val="0"/>
                  <w:marRight w:val="0"/>
                  <w:marTop w:val="0"/>
                  <w:marBottom w:val="0"/>
                  <w:divBdr>
                    <w:top w:val="none" w:sz="0" w:space="0" w:color="auto"/>
                    <w:left w:val="none" w:sz="0" w:space="0" w:color="auto"/>
                    <w:bottom w:val="none" w:sz="0" w:space="0" w:color="auto"/>
                    <w:right w:val="none" w:sz="0" w:space="0" w:color="auto"/>
                  </w:divBdr>
                  <w:divsChild>
                    <w:div w:id="1455904705">
                      <w:marLeft w:val="0"/>
                      <w:marRight w:val="0"/>
                      <w:marTop w:val="0"/>
                      <w:marBottom w:val="0"/>
                      <w:divBdr>
                        <w:top w:val="none" w:sz="0" w:space="0" w:color="auto"/>
                        <w:left w:val="none" w:sz="0" w:space="0" w:color="auto"/>
                        <w:bottom w:val="none" w:sz="0" w:space="0" w:color="auto"/>
                        <w:right w:val="none" w:sz="0" w:space="0" w:color="auto"/>
                      </w:divBdr>
                      <w:divsChild>
                        <w:div w:id="980841426">
                          <w:marLeft w:val="0"/>
                          <w:marRight w:val="0"/>
                          <w:marTop w:val="0"/>
                          <w:marBottom w:val="0"/>
                          <w:divBdr>
                            <w:top w:val="none" w:sz="0" w:space="0" w:color="auto"/>
                            <w:left w:val="none" w:sz="0" w:space="0" w:color="auto"/>
                            <w:bottom w:val="none" w:sz="0" w:space="0" w:color="auto"/>
                            <w:right w:val="none" w:sz="0" w:space="0" w:color="auto"/>
                          </w:divBdr>
                          <w:divsChild>
                            <w:div w:id="1214734975">
                              <w:marLeft w:val="0"/>
                              <w:marRight w:val="0"/>
                              <w:marTop w:val="0"/>
                              <w:marBottom w:val="0"/>
                              <w:divBdr>
                                <w:top w:val="none" w:sz="0" w:space="0" w:color="auto"/>
                                <w:left w:val="none" w:sz="0" w:space="0" w:color="auto"/>
                                <w:bottom w:val="none" w:sz="0" w:space="0" w:color="auto"/>
                                <w:right w:val="none" w:sz="0" w:space="0" w:color="auto"/>
                              </w:divBdr>
                              <w:divsChild>
                                <w:div w:id="506093717">
                                  <w:marLeft w:val="0"/>
                                  <w:marRight w:val="0"/>
                                  <w:marTop w:val="0"/>
                                  <w:marBottom w:val="0"/>
                                  <w:divBdr>
                                    <w:top w:val="none" w:sz="0" w:space="0" w:color="auto"/>
                                    <w:left w:val="none" w:sz="0" w:space="0" w:color="auto"/>
                                    <w:bottom w:val="none" w:sz="0" w:space="0" w:color="auto"/>
                                    <w:right w:val="none" w:sz="0" w:space="0" w:color="auto"/>
                                  </w:divBdr>
                                  <w:divsChild>
                                    <w:div w:id="137580190">
                                      <w:marLeft w:val="0"/>
                                      <w:marRight w:val="0"/>
                                      <w:marTop w:val="0"/>
                                      <w:marBottom w:val="0"/>
                                      <w:divBdr>
                                        <w:top w:val="none" w:sz="0" w:space="0" w:color="auto"/>
                                        <w:left w:val="none" w:sz="0" w:space="0" w:color="auto"/>
                                        <w:bottom w:val="none" w:sz="0" w:space="0" w:color="auto"/>
                                        <w:right w:val="none" w:sz="0" w:space="0" w:color="auto"/>
                                      </w:divBdr>
                                      <w:divsChild>
                                        <w:div w:id="494301302">
                                          <w:marLeft w:val="0"/>
                                          <w:marRight w:val="0"/>
                                          <w:marTop w:val="0"/>
                                          <w:marBottom w:val="0"/>
                                          <w:divBdr>
                                            <w:top w:val="none" w:sz="0" w:space="0" w:color="auto"/>
                                            <w:left w:val="none" w:sz="0" w:space="0" w:color="auto"/>
                                            <w:bottom w:val="none" w:sz="0" w:space="0" w:color="auto"/>
                                            <w:right w:val="none" w:sz="0" w:space="0" w:color="auto"/>
                                          </w:divBdr>
                                          <w:divsChild>
                                            <w:div w:id="386491803">
                                              <w:marLeft w:val="0"/>
                                              <w:marRight w:val="0"/>
                                              <w:marTop w:val="0"/>
                                              <w:marBottom w:val="0"/>
                                              <w:divBdr>
                                                <w:top w:val="none" w:sz="0" w:space="0" w:color="auto"/>
                                                <w:left w:val="none" w:sz="0" w:space="0" w:color="auto"/>
                                                <w:bottom w:val="none" w:sz="0" w:space="0" w:color="auto"/>
                                                <w:right w:val="none" w:sz="0" w:space="0" w:color="auto"/>
                                              </w:divBdr>
                                              <w:divsChild>
                                                <w:div w:id="1359702140">
                                                  <w:marLeft w:val="0"/>
                                                  <w:marRight w:val="0"/>
                                                  <w:marTop w:val="0"/>
                                                  <w:marBottom w:val="0"/>
                                                  <w:divBdr>
                                                    <w:top w:val="none" w:sz="0" w:space="0" w:color="auto"/>
                                                    <w:left w:val="none" w:sz="0" w:space="0" w:color="auto"/>
                                                    <w:bottom w:val="none" w:sz="0" w:space="0" w:color="auto"/>
                                                    <w:right w:val="none" w:sz="0" w:space="0" w:color="auto"/>
                                                  </w:divBdr>
                                                  <w:divsChild>
                                                    <w:div w:id="378480098">
                                                      <w:marLeft w:val="0"/>
                                                      <w:marRight w:val="0"/>
                                                      <w:marTop w:val="0"/>
                                                      <w:marBottom w:val="0"/>
                                                      <w:divBdr>
                                                        <w:top w:val="none" w:sz="0" w:space="0" w:color="auto"/>
                                                        <w:left w:val="none" w:sz="0" w:space="0" w:color="auto"/>
                                                        <w:bottom w:val="none" w:sz="0" w:space="0" w:color="auto"/>
                                                        <w:right w:val="none" w:sz="0" w:space="0" w:color="auto"/>
                                                      </w:divBdr>
                                                      <w:divsChild>
                                                        <w:div w:id="17217866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28</TotalTime>
  <Pages>14</Pages>
  <Words>5020</Words>
  <Characters>28617</Characters>
  <Application>Microsoft Office Word</Application>
  <DocSecurity>0</DocSecurity>
  <Lines>238</Lines>
  <Paragraphs>67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33570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TSANG, AGNES H.L. (Student)</dc:creator>
  <cp:keywords/>
  <dc:description/>
  <cp:lastModifiedBy>TSANG, AGNES H.L. (Student)</cp:lastModifiedBy>
  <cp:revision>5</cp:revision>
  <dcterms:created xsi:type="dcterms:W3CDTF">2025-01-19T15:49:00Z</dcterms:created>
  <dcterms:modified xsi:type="dcterms:W3CDTF">2025-01-19T20:31:00Z</dcterms:modified>
</cp:coreProperties>
</file>