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ACF82" w14:textId="77777777" w:rsidR="00FD1812" w:rsidRPr="00FD1812" w:rsidRDefault="00FD1812" w:rsidP="005C7DC1">
      <w:pPr>
        <w:spacing w:before="100" w:beforeAutospacing="1" w:after="100" w:afterAutospacing="1" w:line="360" w:lineRule="auto"/>
        <w:outlineLvl w:val="2"/>
        <w:rPr>
          <w:rFonts w:ascii="Times New Roman" w:hAnsi="Times New Roman"/>
          <w:b/>
          <w:bCs/>
          <w:lang w:val="en-HK"/>
        </w:rPr>
      </w:pPr>
      <w:r w:rsidRPr="00FD1812">
        <w:rPr>
          <w:rFonts w:ascii="Times New Roman" w:hAnsi="Times New Roman"/>
          <w:b/>
          <w:bCs/>
          <w:lang w:val="en-HK"/>
        </w:rPr>
        <w:t>1. Introduction</w:t>
      </w:r>
    </w:p>
    <w:p w14:paraId="319783F2"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article introduces the tension between the rights of the true owner and a good-faith purchaser when a non-owner sells goods.</w:t>
      </w:r>
    </w:p>
    <w:p w14:paraId="1CADACF7"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starting legal principle is the </w:t>
      </w:r>
      <w:r w:rsidRPr="00FD1812">
        <w:rPr>
          <w:rFonts w:ascii="Times New Roman" w:hAnsi="Times New Roman"/>
          <w:b/>
          <w:bCs/>
          <w:lang w:val="en-HK"/>
        </w:rPr>
        <w:t xml:space="preserve">nemo </w:t>
      </w:r>
      <w:proofErr w:type="spellStart"/>
      <w:r w:rsidRPr="00FD1812">
        <w:rPr>
          <w:rFonts w:ascii="Times New Roman" w:hAnsi="Times New Roman"/>
          <w:b/>
          <w:bCs/>
          <w:lang w:val="en-HK"/>
        </w:rPr>
        <w:t>dat</w:t>
      </w:r>
      <w:proofErr w:type="spellEnd"/>
      <w:r w:rsidRPr="00FD1812">
        <w:rPr>
          <w:rFonts w:ascii="Times New Roman" w:hAnsi="Times New Roman"/>
          <w:b/>
          <w:bCs/>
          <w:lang w:val="en-HK"/>
        </w:rPr>
        <w:t xml:space="preserve"> quod non </w:t>
      </w:r>
      <w:proofErr w:type="spellStart"/>
      <w:r w:rsidRPr="00FD1812">
        <w:rPr>
          <w:rFonts w:ascii="Times New Roman" w:hAnsi="Times New Roman"/>
          <w:b/>
          <w:bCs/>
          <w:lang w:val="en-HK"/>
        </w:rPr>
        <w:t>habet</w:t>
      </w:r>
      <w:proofErr w:type="spellEnd"/>
      <w:r w:rsidRPr="00FD1812">
        <w:rPr>
          <w:rFonts w:ascii="Times New Roman" w:hAnsi="Times New Roman"/>
          <w:lang w:val="en-HK"/>
        </w:rPr>
        <w:t xml:space="preserve"> rule, enshrined in </w:t>
      </w:r>
      <w:r w:rsidRPr="00FD1812">
        <w:rPr>
          <w:rFonts w:ascii="Times New Roman" w:hAnsi="Times New Roman"/>
          <w:b/>
          <w:bCs/>
          <w:lang w:val="en-HK"/>
        </w:rPr>
        <w:t>Section 21(1) of the Sale of Goods Act 1979</w:t>
      </w:r>
      <w:r w:rsidRPr="00FD1812">
        <w:rPr>
          <w:rFonts w:ascii="Times New Roman" w:hAnsi="Times New Roman"/>
          <w:lang w:val="en-HK"/>
        </w:rPr>
        <w:t>, which prevents a non-owner from passing better title than they possess.</w:t>
      </w:r>
    </w:p>
    <w:p w14:paraId="4DD12F3C"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This principle is juxtaposed with the statutory and common law exceptions designed to balance the competing rights of innocent parties, though these exceptions are critiqued as piecemeal, restrictive, and inconsistent.</w:t>
      </w:r>
    </w:p>
    <w:p w14:paraId="6D0DF0C7"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landmark case </w:t>
      </w:r>
      <w:r w:rsidRPr="00FD1812">
        <w:rPr>
          <w:rFonts w:ascii="Times New Roman" w:hAnsi="Times New Roman"/>
          <w:b/>
          <w:bCs/>
          <w:lang w:val="en-HK"/>
        </w:rPr>
        <w:t>Shogun Finance Ltd v Hudson [2003] UKHL 62</w:t>
      </w:r>
      <w:r w:rsidRPr="00FD1812">
        <w:rPr>
          <w:rFonts w:ascii="Times New Roman" w:hAnsi="Times New Roman"/>
          <w:lang w:val="en-HK"/>
        </w:rPr>
        <w:t xml:space="preserve"> is </w:t>
      </w:r>
      <w:proofErr w:type="spellStart"/>
      <w:r w:rsidRPr="00FD1812">
        <w:rPr>
          <w:rFonts w:ascii="Times New Roman" w:hAnsi="Times New Roman"/>
          <w:lang w:val="en-HK"/>
        </w:rPr>
        <w:t>analyzed</w:t>
      </w:r>
      <w:proofErr w:type="spellEnd"/>
      <w:r w:rsidRPr="00FD1812">
        <w:rPr>
          <w:rFonts w:ascii="Times New Roman" w:hAnsi="Times New Roman"/>
          <w:lang w:val="en-HK"/>
        </w:rPr>
        <w:t xml:space="preserve"> to illustrate how technical legal reasoning, such as distinguishing void and voidable contracts, can lead to inequitable outcomes for good-faith purchasers.</w:t>
      </w:r>
    </w:p>
    <w:p w14:paraId="696810EE" w14:textId="77777777" w:rsidR="00FD1812" w:rsidRPr="00FD1812" w:rsidRDefault="00FD1812" w:rsidP="005C7DC1">
      <w:pPr>
        <w:spacing w:before="100" w:beforeAutospacing="1" w:after="100" w:afterAutospacing="1" w:line="360" w:lineRule="auto"/>
        <w:outlineLvl w:val="2"/>
        <w:rPr>
          <w:rFonts w:ascii="Times New Roman" w:hAnsi="Times New Roman"/>
          <w:b/>
          <w:bCs/>
          <w:lang w:val="en-HK"/>
        </w:rPr>
      </w:pPr>
      <w:r w:rsidRPr="00FD1812">
        <w:rPr>
          <w:rFonts w:ascii="Times New Roman" w:hAnsi="Times New Roman"/>
          <w:b/>
          <w:bCs/>
          <w:lang w:val="en-HK"/>
        </w:rPr>
        <w:t>Case Analysis: Shogun Finance Ltd v Hudson [2003] UKHL 62</w:t>
      </w:r>
    </w:p>
    <w:p w14:paraId="585E7472"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1. Facts</w:t>
      </w:r>
    </w:p>
    <w:p w14:paraId="3AA61F2B"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A rogue, impersonating a Mr. Patel, entered into a hire purchase agreement with Shogun Finance Ltd using forged identification, including Mr. Patel’s driving license.</w:t>
      </w:r>
    </w:p>
    <w:p w14:paraId="120681BA"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agreement specifically named Mr. Patel as the party to the contract, which was finalized in writing. The rogue obtained possession of the car through this agreement.</w:t>
      </w:r>
    </w:p>
    <w:p w14:paraId="1EAB6C87"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rogue sold the car to Mr. Hudson, a good-faith purchaser unaware of the fraudulent circumstances.</w:t>
      </w:r>
    </w:p>
    <w:p w14:paraId="316F341C"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Shogun Finance Ltd sought to recover the car from Mr. Hudson, relying on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principle under </w:t>
      </w:r>
      <w:r w:rsidRPr="00FD1812">
        <w:rPr>
          <w:rFonts w:ascii="Times New Roman" w:hAnsi="Times New Roman"/>
          <w:b/>
          <w:bCs/>
          <w:lang w:val="en-HK"/>
        </w:rPr>
        <w:t>Section 21(1) of the Sale of Goods Act 1979</w:t>
      </w:r>
      <w:r w:rsidRPr="00FD1812">
        <w:rPr>
          <w:rFonts w:ascii="Times New Roman" w:hAnsi="Times New Roman"/>
          <w:lang w:val="en-HK"/>
        </w:rPr>
        <w:t>, arguing that the rogue lacked title to transfer ownership.</w:t>
      </w:r>
    </w:p>
    <w:p w14:paraId="122EF170"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3EDBA655">
          <v:rect id="_x0000_i1107" alt="" style="width:451.3pt;height:.05pt;mso-width-percent:0;mso-height-percent:0;mso-width-percent:0;mso-height-percent:0" o:hralign="center" o:hrstd="t" o:hr="t" fillcolor="#a0a0a0" stroked="f"/>
        </w:pict>
      </w:r>
    </w:p>
    <w:p w14:paraId="2DF1124E"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2. Legal Issue</w:t>
      </w:r>
    </w:p>
    <w:p w14:paraId="14581228"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lastRenderedPageBreak/>
        <w:t xml:space="preserve">The case </w:t>
      </w:r>
      <w:proofErr w:type="spellStart"/>
      <w:r w:rsidRPr="00FD1812">
        <w:rPr>
          <w:rFonts w:ascii="Times New Roman" w:hAnsi="Times New Roman"/>
          <w:lang w:val="en-HK"/>
        </w:rPr>
        <w:t>centered</w:t>
      </w:r>
      <w:proofErr w:type="spellEnd"/>
      <w:r w:rsidRPr="00FD1812">
        <w:rPr>
          <w:rFonts w:ascii="Times New Roman" w:hAnsi="Times New Roman"/>
          <w:lang w:val="en-HK"/>
        </w:rPr>
        <w:t xml:space="preserve"> on whether the original hire purchase agreement was void (meaning the rogue acquired no title) or voidable (allowing the rogue to pass title to Mr. Hudson before rescission by Shogun Finance Ltd).</w:t>
      </w:r>
    </w:p>
    <w:p w14:paraId="11BD3784"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FD86CB8">
          <v:rect id="_x0000_i1106" alt="" style="width:451.3pt;height:.05pt;mso-width-percent:0;mso-height-percent:0;mso-width-percent:0;mso-height-percent:0" o:hralign="center" o:hrstd="t" o:hr="t" fillcolor="#a0a0a0" stroked="f"/>
        </w:pict>
      </w:r>
    </w:p>
    <w:p w14:paraId="23077229"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 Decision</w:t>
      </w:r>
    </w:p>
    <w:p w14:paraId="6FB35300"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w:t>
      </w:r>
      <w:r w:rsidRPr="00FD1812">
        <w:rPr>
          <w:rFonts w:ascii="Times New Roman" w:hAnsi="Times New Roman"/>
          <w:b/>
          <w:bCs/>
          <w:lang w:val="en-HK"/>
        </w:rPr>
        <w:t>House of Lords</w:t>
      </w:r>
      <w:r w:rsidRPr="00FD1812">
        <w:rPr>
          <w:rFonts w:ascii="Times New Roman" w:hAnsi="Times New Roman"/>
          <w:lang w:val="en-HK"/>
        </w:rPr>
        <w:t xml:space="preserve">, by a majority, held that the hire purchase agreement was </w:t>
      </w:r>
      <w:r w:rsidRPr="00FD1812">
        <w:rPr>
          <w:rFonts w:ascii="Times New Roman" w:hAnsi="Times New Roman"/>
          <w:b/>
          <w:bCs/>
          <w:lang w:val="en-HK"/>
        </w:rPr>
        <w:t>void</w:t>
      </w:r>
      <w:r w:rsidRPr="00FD1812">
        <w:rPr>
          <w:rFonts w:ascii="Times New Roman" w:hAnsi="Times New Roman"/>
          <w:lang w:val="en-HK"/>
        </w:rPr>
        <w:t xml:space="preserve"> because the written contract specifically identified Mr. Patel as the contracting party. As the rogue was not Mr. Patel, no valid agreement was formed with the rogue, and he did not acquire title to the car. Consequently, Mr. Hudson could not acquire good title from the rogue.</w:t>
      </w:r>
    </w:p>
    <w:p w14:paraId="4D842B79"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61F9149">
          <v:rect id="_x0000_i1105" alt="" style="width:451.3pt;height:.05pt;mso-width-percent:0;mso-height-percent:0;mso-width-percent:0;mso-height-percent:0" o:hralign="center" o:hrstd="t" o:hr="t" fillcolor="#a0a0a0" stroked="f"/>
        </w:pict>
      </w:r>
    </w:p>
    <w:p w14:paraId="6284A030"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4. Reasoning</w:t>
      </w:r>
    </w:p>
    <w:p w14:paraId="15024C79"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Written Nature of the Contract</w:t>
      </w:r>
      <w:r w:rsidRPr="00FD1812">
        <w:rPr>
          <w:rFonts w:ascii="Times New Roman" w:hAnsi="Times New Roman"/>
          <w:lang w:val="en-HK"/>
        </w:rPr>
        <w:t>:</w:t>
      </w:r>
    </w:p>
    <w:p w14:paraId="143C7B2D"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Lords emphasized the importance of the written agreement, which expressly referred to Mr. Patel as the party to the contract. The identity of the contracting party was fundamental to the agreement.</w:t>
      </w:r>
    </w:p>
    <w:p w14:paraId="6F4E302E"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Since Mr. Patel did not enter into the contract, the agreement was void, and the rogue acquired no title.</w:t>
      </w:r>
    </w:p>
    <w:p w14:paraId="259B55D0"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Section 21(1) of the Sale of Goods Act 1979</w:t>
      </w:r>
      <w:r w:rsidRPr="00FD1812">
        <w:rPr>
          <w:rFonts w:ascii="Times New Roman" w:hAnsi="Times New Roman"/>
          <w:lang w:val="en-HK"/>
        </w:rPr>
        <w:t>:</w:t>
      </w:r>
    </w:p>
    <w:p w14:paraId="5337E534"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Under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principle, no one can transfer a better title than they possess. Since the rogue did not acquire title, he could not pass any title to Mr. Hudson.</w:t>
      </w:r>
    </w:p>
    <w:p w14:paraId="2260D129"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361D717F">
          <v:rect id="_x0000_i1104" alt="" style="width:451.3pt;height:.05pt;mso-width-percent:0;mso-height-percent:0;mso-width-percent:0;mso-height-percent:0" o:hralign="center" o:hrstd="t" o:hr="t" fillcolor="#a0a0a0" stroked="f"/>
        </w:pict>
      </w:r>
    </w:p>
    <w:p w14:paraId="7744E07E"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5. Implications</w:t>
      </w:r>
    </w:p>
    <w:p w14:paraId="2865305F" w14:textId="77777777" w:rsidR="00FD1812" w:rsidRPr="00FD1812" w:rsidRDefault="00FD1812" w:rsidP="005C7DC1">
      <w:pPr>
        <w:numPr>
          <w:ilvl w:val="0"/>
          <w:numId w:val="6"/>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case highlights the </w:t>
      </w:r>
      <w:r w:rsidRPr="00FD1812">
        <w:rPr>
          <w:rFonts w:ascii="Times New Roman" w:hAnsi="Times New Roman"/>
          <w:b/>
          <w:bCs/>
          <w:lang w:val="en-HK"/>
        </w:rPr>
        <w:t>arbitrariness</w:t>
      </w:r>
      <w:r w:rsidRPr="00FD1812">
        <w:rPr>
          <w:rFonts w:ascii="Times New Roman" w:hAnsi="Times New Roman"/>
          <w:lang w:val="en-HK"/>
        </w:rPr>
        <w:t xml:space="preserve"> of legal principles in deciding ownership. The outcome depended heavily on the written nature of the contract. Had the agreement been </w:t>
      </w:r>
      <w:r w:rsidRPr="00FD1812">
        <w:rPr>
          <w:rFonts w:ascii="Times New Roman" w:hAnsi="Times New Roman"/>
          <w:lang w:val="en-HK"/>
        </w:rPr>
        <w:lastRenderedPageBreak/>
        <w:t xml:space="preserve">oral, the rogue might have acquired a voidable title under </w:t>
      </w:r>
      <w:r w:rsidRPr="00FD1812">
        <w:rPr>
          <w:rFonts w:ascii="Times New Roman" w:hAnsi="Times New Roman"/>
          <w:b/>
          <w:bCs/>
          <w:lang w:val="en-HK"/>
        </w:rPr>
        <w:t>Section 23</w:t>
      </w:r>
      <w:r w:rsidRPr="00FD1812">
        <w:rPr>
          <w:rFonts w:ascii="Times New Roman" w:hAnsi="Times New Roman"/>
          <w:lang w:val="en-HK"/>
        </w:rPr>
        <w:t xml:space="preserve"> of the Act, potentially allowing Mr. Hudson to retain ownership.</w:t>
      </w:r>
    </w:p>
    <w:p w14:paraId="4CFD63E2" w14:textId="77777777" w:rsidR="00FD1812" w:rsidRPr="00FD1812" w:rsidRDefault="00FD1812" w:rsidP="005C7DC1">
      <w:pPr>
        <w:numPr>
          <w:ilvl w:val="0"/>
          <w:numId w:val="6"/>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decision reflects a strict interpretation of the law, </w:t>
      </w:r>
      <w:proofErr w:type="spellStart"/>
      <w:r w:rsidRPr="00FD1812">
        <w:rPr>
          <w:rFonts w:ascii="Times New Roman" w:hAnsi="Times New Roman"/>
          <w:lang w:val="en-HK"/>
        </w:rPr>
        <w:t>favoring</w:t>
      </w:r>
      <w:proofErr w:type="spellEnd"/>
      <w:r w:rsidRPr="00FD1812">
        <w:rPr>
          <w:rFonts w:ascii="Times New Roman" w:hAnsi="Times New Roman"/>
          <w:lang w:val="en-HK"/>
        </w:rPr>
        <w:t xml:space="preserve"> the true owner (Shogun Finance Ltd) over the good-faith purchaser (Mr. Hudson).</w:t>
      </w:r>
    </w:p>
    <w:p w14:paraId="2FEDB7DC"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4CF824F">
          <v:rect id="_x0000_i1103" alt="" style="width:451.3pt;height:.05pt;mso-width-percent:0;mso-height-percent:0;mso-width-percent:0;mso-height-percent:0" o:hralign="center" o:hrstd="t" o:hr="t" fillcolor="#a0a0a0" stroked="f"/>
        </w:pict>
      </w:r>
    </w:p>
    <w:p w14:paraId="4DB335D5"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6. Critique</w:t>
      </w:r>
    </w:p>
    <w:p w14:paraId="6F250E15" w14:textId="77777777" w:rsidR="00FD1812" w:rsidRPr="00FD1812" w:rsidRDefault="00FD1812" w:rsidP="005C7DC1">
      <w:pPr>
        <w:numPr>
          <w:ilvl w:val="0"/>
          <w:numId w:val="7"/>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decision exposes the </w:t>
      </w:r>
      <w:r w:rsidRPr="00FD1812">
        <w:rPr>
          <w:rFonts w:ascii="Times New Roman" w:hAnsi="Times New Roman"/>
          <w:b/>
          <w:bCs/>
          <w:lang w:val="en-HK"/>
        </w:rPr>
        <w:t>inconsistency and complexity</w:t>
      </w:r>
      <w:r w:rsidRPr="00FD1812">
        <w:rPr>
          <w:rFonts w:ascii="Times New Roman" w:hAnsi="Times New Roman"/>
          <w:lang w:val="en-HK"/>
        </w:rPr>
        <w:t xml:space="preserve"> in distinguishing between void and voidable contracts. As noted in the document, this distinction often depends on “the method by which the original contract was concluded and the majority view of the court as to the legal effect of such contracts.”</w:t>
      </w:r>
    </w:p>
    <w:p w14:paraId="7B9A366F" w14:textId="77777777" w:rsidR="00FD1812" w:rsidRPr="00FD1812" w:rsidRDefault="00FD1812" w:rsidP="005C7DC1">
      <w:pPr>
        <w:numPr>
          <w:ilvl w:val="0"/>
          <w:numId w:val="7"/>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criticizes the courts for “engaging in legal and academic arguments” over issues like mistaken identity while failing to consider the equity of the situation. The innocent purchaser (Mr. Hudson) was left without the car or compensation, illustrating the </w:t>
      </w:r>
      <w:r w:rsidRPr="00FD1812">
        <w:rPr>
          <w:rFonts w:ascii="Times New Roman" w:hAnsi="Times New Roman"/>
          <w:b/>
          <w:bCs/>
          <w:lang w:val="en-HK"/>
        </w:rPr>
        <w:t xml:space="preserve">unfairness of the strict nemo </w:t>
      </w:r>
      <w:proofErr w:type="spellStart"/>
      <w:r w:rsidRPr="00FD1812">
        <w:rPr>
          <w:rFonts w:ascii="Times New Roman" w:hAnsi="Times New Roman"/>
          <w:b/>
          <w:bCs/>
          <w:lang w:val="en-HK"/>
        </w:rPr>
        <w:t>dat</w:t>
      </w:r>
      <w:proofErr w:type="spellEnd"/>
      <w:r w:rsidRPr="00FD1812">
        <w:rPr>
          <w:rFonts w:ascii="Times New Roman" w:hAnsi="Times New Roman"/>
          <w:b/>
          <w:bCs/>
          <w:lang w:val="en-HK"/>
        </w:rPr>
        <w:t xml:space="preserve"> rule</w:t>
      </w:r>
      <w:r w:rsidRPr="00FD1812">
        <w:rPr>
          <w:rFonts w:ascii="Times New Roman" w:hAnsi="Times New Roman"/>
          <w:lang w:val="en-HK"/>
        </w:rPr>
        <w:t xml:space="preserve"> in such cases.</w:t>
      </w:r>
    </w:p>
    <w:p w14:paraId="6627356F"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AD0DB07">
          <v:rect id="_x0000_i1102" alt="" style="width:451.3pt;height:.05pt;mso-width-percent:0;mso-height-percent:0;mso-width-percent:0;mso-height-percent:0" o:hralign="center" o:hrstd="t" o:hr="t" fillcolor="#a0a0a0" stroked="f"/>
        </w:pict>
      </w:r>
    </w:p>
    <w:p w14:paraId="0939DFEF"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7. Broader Analysis from the Document</w:t>
      </w:r>
    </w:p>
    <w:p w14:paraId="0C5089ED" w14:textId="77777777" w:rsidR="00FD1812" w:rsidRPr="00FD1812" w:rsidRDefault="00FD1812" w:rsidP="005C7DC1">
      <w:pPr>
        <w:numPr>
          <w:ilvl w:val="0"/>
          <w:numId w:val="8"/>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case demonstrates how </w:t>
      </w:r>
      <w:r w:rsidRPr="00FD1812">
        <w:rPr>
          <w:rFonts w:ascii="Times New Roman" w:hAnsi="Times New Roman"/>
          <w:b/>
          <w:bCs/>
          <w:lang w:val="en-HK"/>
        </w:rPr>
        <w:t xml:space="preserve">exceptions to nemo </w:t>
      </w:r>
      <w:proofErr w:type="spellStart"/>
      <w:r w:rsidRPr="00FD1812">
        <w:rPr>
          <w:rFonts w:ascii="Times New Roman" w:hAnsi="Times New Roman"/>
          <w:b/>
          <w:bCs/>
          <w:lang w:val="en-HK"/>
        </w:rPr>
        <w:t>dat</w:t>
      </w:r>
      <w:proofErr w:type="spellEnd"/>
      <w:r w:rsidRPr="00FD1812">
        <w:rPr>
          <w:rFonts w:ascii="Times New Roman" w:hAnsi="Times New Roman"/>
          <w:lang w:val="en-HK"/>
        </w:rPr>
        <w:t xml:space="preserve">, such as </w:t>
      </w:r>
      <w:r w:rsidRPr="00FD1812">
        <w:rPr>
          <w:rFonts w:ascii="Times New Roman" w:hAnsi="Times New Roman"/>
          <w:b/>
          <w:bCs/>
          <w:lang w:val="en-HK"/>
        </w:rPr>
        <w:t>Section 23</w:t>
      </w:r>
      <w:r w:rsidRPr="00FD1812">
        <w:rPr>
          <w:rFonts w:ascii="Times New Roman" w:hAnsi="Times New Roman"/>
          <w:lang w:val="en-HK"/>
        </w:rPr>
        <w:t xml:space="preserve"> (voidable title) and </w:t>
      </w:r>
      <w:r w:rsidRPr="00FD1812">
        <w:rPr>
          <w:rFonts w:ascii="Times New Roman" w:hAnsi="Times New Roman"/>
          <w:b/>
          <w:bCs/>
          <w:lang w:val="en-HK"/>
        </w:rPr>
        <w:t>Section 27 of the Hire Purchase Act 1964</w:t>
      </w:r>
      <w:r w:rsidRPr="00FD1812">
        <w:rPr>
          <w:rFonts w:ascii="Times New Roman" w:hAnsi="Times New Roman"/>
          <w:lang w:val="en-HK"/>
        </w:rPr>
        <w:t xml:space="preserve"> (good-faith purchaser protection), are narrowly applied.</w:t>
      </w:r>
    </w:p>
    <w:p w14:paraId="08C8021F" w14:textId="77777777" w:rsidR="00FD1812" w:rsidRPr="00FD1812" w:rsidRDefault="00FD1812" w:rsidP="005C7DC1">
      <w:pPr>
        <w:numPr>
          <w:ilvl w:val="0"/>
          <w:numId w:val="8"/>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document suggests that reliance on formalities like written contracts can create arbitrary outcomes, disadvantaging good-faith purchasers and leaving them unprotected.</w:t>
      </w:r>
    </w:p>
    <w:p w14:paraId="7C061B80"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5CF7CDE5">
          <v:rect id="_x0000_i1101" alt="" style="width:451.3pt;height:.05pt;mso-width-percent:0;mso-height-percent:0;mso-width-percent:0;mso-height-percent:0" o:hralign="center" o:hrstd="t" o:hr="t" fillcolor="#a0a0a0" stroked="f"/>
        </w:pict>
      </w:r>
    </w:p>
    <w:p w14:paraId="1159FF34"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8. Conclusion</w:t>
      </w:r>
    </w:p>
    <w:p w14:paraId="44A0318D"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decision in </w:t>
      </w:r>
      <w:r w:rsidRPr="00FD1812">
        <w:rPr>
          <w:rFonts w:ascii="Times New Roman" w:hAnsi="Times New Roman"/>
          <w:b/>
          <w:bCs/>
          <w:lang w:val="en-HK"/>
        </w:rPr>
        <w:t>Shogun Finance</w:t>
      </w:r>
      <w:r w:rsidRPr="00FD1812">
        <w:rPr>
          <w:rFonts w:ascii="Times New Roman" w:hAnsi="Times New Roman"/>
          <w:lang w:val="en-HK"/>
        </w:rPr>
        <w:t xml:space="preserve"> illustrates the courts’ preference for strict legal interpretations over fairness-based outcomes. The case highlights the inadequacy of existing statutory exceptions to address scenarios involving fraud and mistaken identity, underscoring the need for reform to better protect good-faith purchasers.</w:t>
      </w:r>
    </w:p>
    <w:p w14:paraId="31F70431" w14:textId="6C68A08B" w:rsidR="00FD1812" w:rsidRPr="005C7DC1" w:rsidRDefault="00D4652D" w:rsidP="005C7DC1">
      <w:pPr>
        <w:spacing w:before="100" w:beforeAutospacing="1" w:after="100" w:afterAutospacing="1" w:line="360" w:lineRule="auto"/>
        <w:outlineLvl w:val="2"/>
        <w:rPr>
          <w:rFonts w:ascii="Times New Roman" w:hAnsi="Times New Roman"/>
          <w:b/>
          <w:bCs/>
          <w:lang w:val="en-HK"/>
        </w:rPr>
      </w:pPr>
      <w:r w:rsidRPr="00D4652D">
        <w:rPr>
          <w:rFonts w:ascii="Times New Roman" w:hAnsi="Times New Roman"/>
          <w:noProof/>
          <w:lang w:val="en-HK"/>
          <w14:ligatures w14:val="standardContextual"/>
        </w:rPr>
        <w:lastRenderedPageBreak/>
        <w:pict w14:anchorId="7C4466C7">
          <v:rect id="_x0000_i1100" alt="" style="width:451.3pt;height:.05pt;mso-width-percent:0;mso-height-percent:0;mso-width-percent:0;mso-height-percent:0" o:hralign="center" o:hrstd="t" o:hr="t" fillcolor="#a0a0a0" stroked="f"/>
        </w:pict>
      </w:r>
    </w:p>
    <w:p w14:paraId="67D9532D" w14:textId="7A51DF78" w:rsidR="00FD1812" w:rsidRPr="00FD1812" w:rsidRDefault="00FD1812" w:rsidP="005C7DC1">
      <w:pPr>
        <w:spacing w:before="100" w:beforeAutospacing="1" w:after="100" w:afterAutospacing="1" w:line="360" w:lineRule="auto"/>
        <w:outlineLvl w:val="2"/>
        <w:rPr>
          <w:rFonts w:ascii="Times New Roman" w:hAnsi="Times New Roman"/>
          <w:b/>
          <w:bCs/>
          <w:lang w:val="en-HK"/>
        </w:rPr>
      </w:pPr>
      <w:r w:rsidRPr="00FD1812">
        <w:rPr>
          <w:rFonts w:ascii="Times New Roman" w:hAnsi="Times New Roman"/>
          <w:b/>
          <w:bCs/>
          <w:lang w:val="en-HK"/>
        </w:rPr>
        <w:t>2. The General Rule</w:t>
      </w:r>
    </w:p>
    <w:p w14:paraId="1758D931"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2.1. Explanation of the Nemo Dat Rule</w:t>
      </w:r>
    </w:p>
    <w:p w14:paraId="4690D93C"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general rule governing the sale of goods is encapsulated in the Latin maxim </w:t>
      </w:r>
      <w:r w:rsidRPr="00FD1812">
        <w:rPr>
          <w:rFonts w:ascii="Times New Roman" w:hAnsi="Times New Roman"/>
          <w:b/>
          <w:bCs/>
          <w:lang w:val="en-HK"/>
        </w:rPr>
        <w:t xml:space="preserve">nemo </w:t>
      </w:r>
      <w:proofErr w:type="spellStart"/>
      <w:r w:rsidRPr="00FD1812">
        <w:rPr>
          <w:rFonts w:ascii="Times New Roman" w:hAnsi="Times New Roman"/>
          <w:b/>
          <w:bCs/>
          <w:lang w:val="en-HK"/>
        </w:rPr>
        <w:t>dat</w:t>
      </w:r>
      <w:proofErr w:type="spellEnd"/>
      <w:r w:rsidRPr="00FD1812">
        <w:rPr>
          <w:rFonts w:ascii="Times New Roman" w:hAnsi="Times New Roman"/>
          <w:b/>
          <w:bCs/>
          <w:lang w:val="en-HK"/>
        </w:rPr>
        <w:t xml:space="preserve"> quod non </w:t>
      </w:r>
      <w:proofErr w:type="spellStart"/>
      <w:r w:rsidRPr="00FD1812">
        <w:rPr>
          <w:rFonts w:ascii="Times New Roman" w:hAnsi="Times New Roman"/>
          <w:b/>
          <w:bCs/>
          <w:lang w:val="en-HK"/>
        </w:rPr>
        <w:t>habet</w:t>
      </w:r>
      <w:proofErr w:type="spellEnd"/>
      <w:r w:rsidRPr="00FD1812">
        <w:rPr>
          <w:rFonts w:ascii="Times New Roman" w:hAnsi="Times New Roman"/>
          <w:lang w:val="en-HK"/>
        </w:rPr>
        <w:t>, which translates to "no one can give what they do not have."</w:t>
      </w:r>
    </w:p>
    <w:p w14:paraId="3DEAA19F"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This principle is codified in </w:t>
      </w:r>
      <w:r w:rsidRPr="00FD1812">
        <w:rPr>
          <w:rFonts w:ascii="Times New Roman" w:hAnsi="Times New Roman"/>
          <w:b/>
          <w:bCs/>
          <w:lang w:val="en-HK"/>
        </w:rPr>
        <w:t>Section 21(1) of the Sale of Goods Act 1979</w:t>
      </w:r>
      <w:r w:rsidRPr="00FD1812">
        <w:rPr>
          <w:rFonts w:ascii="Times New Roman" w:hAnsi="Times New Roman"/>
          <w:lang w:val="en-HK"/>
        </w:rPr>
        <w:t>, which states:</w:t>
      </w:r>
    </w:p>
    <w:p w14:paraId="6D472DE5" w14:textId="77777777" w:rsidR="00FD1812" w:rsidRPr="00FD1812" w:rsidRDefault="00FD1812" w:rsidP="005C7DC1">
      <w:pPr>
        <w:spacing w:beforeAutospacing="1" w:afterAutospacing="1" w:line="360" w:lineRule="auto"/>
        <w:rPr>
          <w:rFonts w:ascii="Times New Roman" w:hAnsi="Times New Roman"/>
          <w:lang w:val="en-HK"/>
        </w:rPr>
      </w:pPr>
      <w:r w:rsidRPr="00FD1812">
        <w:rPr>
          <w:rFonts w:ascii="Times New Roman" w:hAnsi="Times New Roman"/>
          <w:lang w:val="en-HK"/>
        </w:rPr>
        <w:t>"Subject to this Act, where goods are sold by a person who is not their owner, and who does not sell them under the authority or with the consent of the owner, the buyer acquires no better title to the goods than the seller had."</w:t>
      </w:r>
    </w:p>
    <w:p w14:paraId="5EB8A1ED"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DA39FAE">
          <v:rect id="_x0000_i1099" alt="" style="width:451.3pt;height:.05pt;mso-width-percent:0;mso-height-percent:0;mso-width-percent:0;mso-height-percent:0" o:hralign="center" o:hrstd="t" o:hr="t" fillcolor="#a0a0a0" stroked="f"/>
        </w:pict>
      </w:r>
    </w:p>
    <w:p w14:paraId="6C28E4FA"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2.2. Purpose of the Rule</w:t>
      </w:r>
    </w:p>
    <w:p w14:paraId="77E52987" w14:textId="77777777" w:rsidR="00FD1812" w:rsidRPr="00FD1812" w:rsidRDefault="00FD1812" w:rsidP="005C7DC1">
      <w:pPr>
        <w:numPr>
          <w:ilvl w:val="0"/>
          <w:numId w:val="11"/>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principle reflects the law's commitment to </w:t>
      </w:r>
      <w:r w:rsidRPr="00FD1812">
        <w:rPr>
          <w:rFonts w:ascii="Times New Roman" w:hAnsi="Times New Roman"/>
          <w:b/>
          <w:bCs/>
          <w:lang w:val="en-HK"/>
        </w:rPr>
        <w:t>protecting property rights</w:t>
      </w:r>
      <w:r w:rsidRPr="00FD1812">
        <w:rPr>
          <w:rFonts w:ascii="Times New Roman" w:hAnsi="Times New Roman"/>
          <w:lang w:val="en-HK"/>
        </w:rPr>
        <w:t xml:space="preserve"> of the true owner over the interests of any subsequent purchaser.</w:t>
      </w:r>
    </w:p>
    <w:p w14:paraId="2D7710A9" w14:textId="77777777" w:rsidR="00FD1812" w:rsidRPr="00FD1812" w:rsidRDefault="00FD1812" w:rsidP="005C7DC1">
      <w:pPr>
        <w:numPr>
          <w:ilvl w:val="0"/>
          <w:numId w:val="11"/>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This principle is especially significant in cases where personal property transactions are informal, making it relatively easy for non-owners to purport to transfer goods to unsuspecting buyers. Unlike transactions for real property, which involve formalities, personal property sales typically lack robust verification processes.</w:t>
      </w:r>
    </w:p>
    <w:p w14:paraId="4BC6FD88"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C2925A4">
          <v:rect id="_x0000_i1098" alt="" style="width:451.3pt;height:.05pt;mso-width-percent:0;mso-height-percent:0;mso-width-percent:0;mso-height-percent:0" o:hralign="center" o:hrstd="t" o:hr="t" fillcolor="#a0a0a0" stroked="f"/>
        </w:pict>
      </w:r>
    </w:p>
    <w:p w14:paraId="2BF937F4"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2.3. Challenges in Application</w:t>
      </w:r>
    </w:p>
    <w:p w14:paraId="12E4548D" w14:textId="77777777" w:rsidR="00FD1812" w:rsidRPr="00FD1812" w:rsidRDefault="00FD1812" w:rsidP="005C7DC1">
      <w:pPr>
        <w:numPr>
          <w:ilvl w:val="0"/>
          <w:numId w:val="12"/>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informal nature of personal property sales often results in disputes where both the true owner and a good-faith purchaser have valid claims to the goods.</w:t>
      </w:r>
    </w:p>
    <w:p w14:paraId="5C8C4E95" w14:textId="77777777" w:rsidR="00FD1812" w:rsidRPr="00FD1812" w:rsidRDefault="00FD1812" w:rsidP="005C7DC1">
      <w:pPr>
        <w:numPr>
          <w:ilvl w:val="0"/>
          <w:numId w:val="12"/>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This dilemma arises because, while the law seeks to prioritize the true owner’s rights, the interests of a bona fide purchaser who acted in good faith and without notice of any defect in title also deserve consideration.</w:t>
      </w:r>
    </w:p>
    <w:p w14:paraId="0DAF8E29"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C9A15BC">
          <v:rect id="_x0000_i1097" alt="" style="width:451.3pt;height:.05pt;mso-width-percent:0;mso-height-percent:0;mso-width-percent:0;mso-height-percent:0" o:hralign="center" o:hrstd="t" o:hr="t" fillcolor="#a0a0a0" stroked="f"/>
        </w:pict>
      </w:r>
    </w:p>
    <w:p w14:paraId="22ED812E"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lastRenderedPageBreak/>
        <w:t>2.4. Rationale for Exceptions</w:t>
      </w:r>
    </w:p>
    <w:p w14:paraId="0C8183BA" w14:textId="77777777" w:rsidR="00FD1812" w:rsidRPr="00FD1812" w:rsidRDefault="00FD1812" w:rsidP="005C7DC1">
      <w:pPr>
        <w:numPr>
          <w:ilvl w:val="0"/>
          <w:numId w:val="13"/>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Given the potential for conflict between these two interests, statutory and common law exceptions to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rule have been developed. These exceptions attempt to balance the rights of the true owner and the purchaser.</w:t>
      </w:r>
    </w:p>
    <w:p w14:paraId="5FA72B05" w14:textId="77777777" w:rsidR="00FD1812" w:rsidRPr="00FD1812" w:rsidRDefault="00FD1812" w:rsidP="005C7DC1">
      <w:pPr>
        <w:numPr>
          <w:ilvl w:val="0"/>
          <w:numId w:val="13"/>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emphasizes that these exceptions have grown out of necessity due to the </w:t>
      </w:r>
      <w:r w:rsidRPr="00FD1812">
        <w:rPr>
          <w:rFonts w:ascii="Times New Roman" w:hAnsi="Times New Roman"/>
          <w:b/>
          <w:bCs/>
          <w:lang w:val="en-HK"/>
        </w:rPr>
        <w:t>nature of personal property transactions</w:t>
      </w:r>
      <w:r w:rsidRPr="00FD1812">
        <w:rPr>
          <w:rFonts w:ascii="Times New Roman" w:hAnsi="Times New Roman"/>
          <w:lang w:val="en-HK"/>
        </w:rPr>
        <w:t>, which are often based on trust and minimal formalities.</w:t>
      </w:r>
    </w:p>
    <w:p w14:paraId="2B2A3E5A"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5C9D078">
          <v:rect id="_x0000_i1096" alt="" style="width:451.3pt;height:.05pt;mso-width-percent:0;mso-height-percent:0;mso-width-percent:0;mso-height-percent:0" o:hralign="center" o:hrstd="t" o:hr="t" fillcolor="#a0a0a0" stroked="f"/>
        </w:pict>
      </w:r>
    </w:p>
    <w:p w14:paraId="0EA6CCE1"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2.5. Critique of the Rule</w:t>
      </w:r>
    </w:p>
    <w:p w14:paraId="300E8079" w14:textId="77777777" w:rsidR="00FD1812" w:rsidRPr="00FD1812" w:rsidRDefault="00FD1812" w:rsidP="005C7DC1">
      <w:pPr>
        <w:numPr>
          <w:ilvl w:val="0"/>
          <w:numId w:val="14"/>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critiques the strictness of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principle, stating that it often results in unfair outcomes where an innocent purchaser is deprived of goods they acquired in good faith.</w:t>
      </w:r>
    </w:p>
    <w:p w14:paraId="3763664B" w14:textId="77777777" w:rsidR="00FD1812" w:rsidRPr="00FD1812" w:rsidRDefault="00FD1812" w:rsidP="005C7DC1">
      <w:pPr>
        <w:numPr>
          <w:ilvl w:val="0"/>
          <w:numId w:val="14"/>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law is described as being developed in a </w:t>
      </w:r>
      <w:r w:rsidRPr="00FD1812">
        <w:rPr>
          <w:rFonts w:ascii="Times New Roman" w:hAnsi="Times New Roman"/>
          <w:b/>
          <w:bCs/>
          <w:lang w:val="en-HK"/>
        </w:rPr>
        <w:t>piecemeal fashion</w:t>
      </w:r>
      <w:r w:rsidRPr="00FD1812">
        <w:rPr>
          <w:rFonts w:ascii="Times New Roman" w:hAnsi="Times New Roman"/>
          <w:lang w:val="en-HK"/>
        </w:rPr>
        <w:t xml:space="preserve">, leading to </w:t>
      </w:r>
      <w:r w:rsidRPr="00FD1812">
        <w:rPr>
          <w:rFonts w:ascii="Times New Roman" w:hAnsi="Times New Roman"/>
          <w:b/>
          <w:bCs/>
          <w:lang w:val="en-HK"/>
        </w:rPr>
        <w:t>inconsistent interpretations by the courts</w:t>
      </w:r>
      <w:r w:rsidRPr="00FD1812">
        <w:rPr>
          <w:rFonts w:ascii="Times New Roman" w:hAnsi="Times New Roman"/>
          <w:lang w:val="en-HK"/>
        </w:rPr>
        <w:t>. The rigidity of the rule often undermines the equitable resolution of disputes, as seen in cases where the true owner’s rights are upheld without adequately considering the purchaser’s lack of fault.</w:t>
      </w:r>
    </w:p>
    <w:p w14:paraId="7B5817E5"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35372B66">
          <v:rect id="_x0000_i1095" alt="" style="width:451.3pt;height:.05pt;mso-width-percent:0;mso-height-percent:0;mso-width-percent:0;mso-height-percent:0" o:hralign="center" o:hrstd="t" o:hr="t" fillcolor="#a0a0a0" stroked="f"/>
        </w:pict>
      </w:r>
    </w:p>
    <w:p w14:paraId="7D99A56C"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2.6. Case Examples and Implications</w:t>
      </w:r>
    </w:p>
    <w:p w14:paraId="0A6C1C65" w14:textId="77777777" w:rsidR="00FD1812" w:rsidRPr="00FD1812" w:rsidRDefault="00FD1812" w:rsidP="005C7DC1">
      <w:pPr>
        <w:numPr>
          <w:ilvl w:val="0"/>
          <w:numId w:val="15"/>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While specific cases are not detailed in this section, the document alludes to scenarios where the application of the rule disadvantages good-faith purchasers. It is noted that exceptions to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rule, such as </w:t>
      </w:r>
      <w:r w:rsidRPr="00FD1812">
        <w:rPr>
          <w:rFonts w:ascii="Times New Roman" w:hAnsi="Times New Roman"/>
          <w:b/>
          <w:bCs/>
          <w:lang w:val="en-HK"/>
        </w:rPr>
        <w:t>estoppel</w:t>
      </w:r>
      <w:r w:rsidRPr="00FD1812">
        <w:rPr>
          <w:rFonts w:ascii="Times New Roman" w:hAnsi="Times New Roman"/>
          <w:lang w:val="en-HK"/>
        </w:rPr>
        <w:t xml:space="preserve"> or </w:t>
      </w:r>
      <w:r w:rsidRPr="00FD1812">
        <w:rPr>
          <w:rFonts w:ascii="Times New Roman" w:hAnsi="Times New Roman"/>
          <w:b/>
          <w:bCs/>
          <w:lang w:val="en-HK"/>
        </w:rPr>
        <w:t>voidable title</w:t>
      </w:r>
      <w:r w:rsidRPr="00FD1812">
        <w:rPr>
          <w:rFonts w:ascii="Times New Roman" w:hAnsi="Times New Roman"/>
          <w:lang w:val="en-HK"/>
        </w:rPr>
        <w:t>, provide limited relief and are inconsistently applied.</w:t>
      </w:r>
    </w:p>
    <w:p w14:paraId="708A016A" w14:textId="77777777" w:rsidR="00FD1812" w:rsidRPr="00FD1812" w:rsidRDefault="00FD1812" w:rsidP="005C7DC1">
      <w:pPr>
        <w:numPr>
          <w:ilvl w:val="0"/>
          <w:numId w:val="15"/>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stresses the </w:t>
      </w:r>
      <w:r w:rsidRPr="00FD1812">
        <w:rPr>
          <w:rFonts w:ascii="Times New Roman" w:hAnsi="Times New Roman"/>
          <w:b/>
          <w:bCs/>
          <w:lang w:val="en-HK"/>
        </w:rPr>
        <w:t>importance of fairness</w:t>
      </w:r>
      <w:r w:rsidRPr="00FD1812">
        <w:rPr>
          <w:rFonts w:ascii="Times New Roman" w:hAnsi="Times New Roman"/>
          <w:lang w:val="en-HK"/>
        </w:rPr>
        <w:t xml:space="preserve">, suggesting that the strict application of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should give way to a more flexible, equity-based approach in certain circumstances.</w:t>
      </w:r>
    </w:p>
    <w:p w14:paraId="79653E95"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9CDDEB2">
          <v:rect id="_x0000_i1094" alt="" style="width:451.3pt;height:.05pt;mso-width-percent:0;mso-height-percent:0;mso-width-percent:0;mso-height-percent:0" o:hralign="center" o:hrstd="t" o:hr="t" fillcolor="#a0a0a0" stroked="f"/>
        </w:pict>
      </w:r>
    </w:p>
    <w:p w14:paraId="3C1EDCBB"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2.7. Conclusion</w:t>
      </w:r>
    </w:p>
    <w:p w14:paraId="0706BC7E" w14:textId="77777777" w:rsidR="00FD1812" w:rsidRPr="00FD1812" w:rsidRDefault="00FD1812" w:rsidP="005C7DC1">
      <w:pPr>
        <w:numPr>
          <w:ilvl w:val="0"/>
          <w:numId w:val="16"/>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lastRenderedPageBreak/>
        <w:t xml:space="preserve">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rule forms the foundation of property law for goods, emphasizing the primacy of the true owner’s rights.</w:t>
      </w:r>
    </w:p>
    <w:p w14:paraId="2879D6FC" w14:textId="77777777" w:rsidR="00FD1812" w:rsidRPr="00FD1812" w:rsidRDefault="00FD1812" w:rsidP="005C7DC1">
      <w:pPr>
        <w:numPr>
          <w:ilvl w:val="0"/>
          <w:numId w:val="16"/>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However, its rigid application, combined with the inadequacy of existing exceptions, often leads to </w:t>
      </w:r>
      <w:r w:rsidRPr="00FD1812">
        <w:rPr>
          <w:rFonts w:ascii="Times New Roman" w:hAnsi="Times New Roman"/>
          <w:b/>
          <w:bCs/>
          <w:lang w:val="en-HK"/>
        </w:rPr>
        <w:t>arbitrary and unfair outcomes</w:t>
      </w:r>
      <w:r w:rsidRPr="00FD1812">
        <w:rPr>
          <w:rFonts w:ascii="Times New Roman" w:hAnsi="Times New Roman"/>
          <w:lang w:val="en-HK"/>
        </w:rPr>
        <w:t>, particularly for innocent purchasers.</w:t>
      </w:r>
    </w:p>
    <w:p w14:paraId="653957A3" w14:textId="77777777" w:rsidR="00FD1812" w:rsidRPr="00FD1812" w:rsidRDefault="00FD1812" w:rsidP="005C7DC1">
      <w:pPr>
        <w:numPr>
          <w:ilvl w:val="0"/>
          <w:numId w:val="16"/>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sets the stage for an examination of the rule’s exceptions, arguing that a </w:t>
      </w:r>
      <w:r w:rsidRPr="00FD1812">
        <w:rPr>
          <w:rFonts w:ascii="Times New Roman" w:hAnsi="Times New Roman"/>
          <w:b/>
          <w:bCs/>
          <w:lang w:val="en-HK"/>
        </w:rPr>
        <w:t>fair balance</w:t>
      </w:r>
      <w:r w:rsidRPr="00FD1812">
        <w:rPr>
          <w:rFonts w:ascii="Times New Roman" w:hAnsi="Times New Roman"/>
          <w:lang w:val="en-HK"/>
        </w:rPr>
        <w:t xml:space="preserve"> between the interests of true owners and good-faith purchasers remains elusive under the current framework.</w:t>
      </w:r>
    </w:p>
    <w:p w14:paraId="41743AB0"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5365EC5">
          <v:rect id="_x0000_i1093" alt="" style="width:451.3pt;height:.05pt;mso-width-percent:0;mso-height-percent:0;mso-width-percent:0;mso-height-percent:0" o:hralign="center" o:hrstd="t" o:hr="t" fillcolor="#a0a0a0" stroked="f"/>
        </w:pict>
      </w:r>
    </w:p>
    <w:p w14:paraId="22FC4EED" w14:textId="77777777" w:rsidR="00FD1812" w:rsidRPr="00FD1812" w:rsidRDefault="00FD1812" w:rsidP="005C7DC1">
      <w:pPr>
        <w:spacing w:before="100" w:beforeAutospacing="1" w:after="100" w:afterAutospacing="1" w:line="360" w:lineRule="auto"/>
        <w:outlineLvl w:val="2"/>
        <w:rPr>
          <w:rFonts w:ascii="Times New Roman" w:hAnsi="Times New Roman"/>
          <w:b/>
          <w:bCs/>
          <w:lang w:val="en-HK"/>
        </w:rPr>
      </w:pPr>
      <w:r w:rsidRPr="00FD1812">
        <w:rPr>
          <w:rFonts w:ascii="Times New Roman" w:hAnsi="Times New Roman"/>
          <w:b/>
          <w:bCs/>
          <w:lang w:val="en-HK"/>
        </w:rPr>
        <w:t>3. Estoppel</w:t>
      </w:r>
    </w:p>
    <w:p w14:paraId="446C9D88"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3.1. Statutory Basis of the Doctrine</w:t>
      </w:r>
    </w:p>
    <w:p w14:paraId="4780E305" w14:textId="77777777" w:rsidR="00DE1A20" w:rsidRPr="005C7DC1"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Section 21(1) of the Sale of Goods Act 1979</w:t>
      </w:r>
      <w:r w:rsidRPr="00FD1812">
        <w:rPr>
          <w:rFonts w:ascii="Times New Roman" w:hAnsi="Times New Roman"/>
          <w:lang w:val="en-HK"/>
        </w:rPr>
        <w:t xml:space="preserve"> incorporates the doctrine of estoppel into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principle:</w:t>
      </w:r>
    </w:p>
    <w:p w14:paraId="73D85700" w14:textId="25BFBB4B"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"Where the owner of the goods is by his conduct precluded from denying the seller’s authority to sell, the buyer acquires good title."</w:t>
      </w:r>
    </w:p>
    <w:p w14:paraId="4D8E92A9"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This provision aligns with the broader legal principle that a person who causes or permits another to believe in a certain state of affairs should not later be allowed to deny the existence of that state of affairs.</w:t>
      </w:r>
    </w:p>
    <w:p w14:paraId="719D3A61"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3D981452">
          <v:rect id="_x0000_i1092" alt="" style="width:451.3pt;height:.05pt;mso-width-percent:0;mso-height-percent:0;mso-width-percent:0;mso-height-percent:0" o:hralign="center" o:hrstd="t" o:hr="t" fillcolor="#a0a0a0" stroked="f"/>
        </w:pict>
      </w:r>
    </w:p>
    <w:p w14:paraId="37D5850A"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3.2. Nature of the Exception</w:t>
      </w:r>
    </w:p>
    <w:p w14:paraId="155D9665" w14:textId="77777777" w:rsidR="00FD1812" w:rsidRPr="00FD1812" w:rsidRDefault="00FD1812" w:rsidP="005C7DC1">
      <w:pPr>
        <w:spacing w:before="100" w:beforeAutospacing="1" w:after="100" w:afterAutospacing="1" w:line="360" w:lineRule="auto"/>
        <w:rPr>
          <w:rFonts w:ascii="Times New Roman" w:hAnsi="Times New Roman"/>
          <w:b/>
          <w:bCs/>
          <w:lang w:val="en-HK"/>
        </w:rPr>
      </w:pPr>
      <w:r w:rsidRPr="00FD1812">
        <w:rPr>
          <w:rFonts w:ascii="Times New Roman" w:hAnsi="Times New Roman"/>
          <w:lang w:val="en-HK"/>
        </w:rPr>
        <w:t xml:space="preserve">Estoppel provides an exception to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rule by protecting </w:t>
      </w:r>
      <w:r w:rsidRPr="00FD1812">
        <w:rPr>
          <w:rFonts w:ascii="Times New Roman" w:hAnsi="Times New Roman"/>
          <w:b/>
          <w:bCs/>
          <w:lang w:val="en-HK"/>
        </w:rPr>
        <w:t>innocent purchasers in cases where the true owner’s words, conduct, or negligence have induced the purchaser to believe that the seller had the authority to sell.</w:t>
      </w:r>
    </w:p>
    <w:p w14:paraId="425F584A"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There are three main forms of estoppel relevant here:</w:t>
      </w:r>
    </w:p>
    <w:p w14:paraId="5ECAE02E"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Estoppel by Representation</w:t>
      </w:r>
      <w:r w:rsidRPr="00FD1812">
        <w:rPr>
          <w:rFonts w:ascii="Times New Roman" w:hAnsi="Times New Roman"/>
          <w:lang w:val="en-HK"/>
        </w:rPr>
        <w:t>: Based on words or conduct by the true owner, explicitly or implicitly granting the seller the appearance of authority to sell.</w:t>
      </w:r>
    </w:p>
    <w:p w14:paraId="280721A0"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lastRenderedPageBreak/>
        <w:t>Estoppel by Negligence</w:t>
      </w:r>
      <w:r w:rsidRPr="00FD1812">
        <w:rPr>
          <w:rFonts w:ascii="Times New Roman" w:hAnsi="Times New Roman"/>
          <w:lang w:val="en-HK"/>
        </w:rPr>
        <w:t xml:space="preserve">: Arises when the true owner’s careless </w:t>
      </w:r>
      <w:proofErr w:type="spellStart"/>
      <w:r w:rsidRPr="00FD1812">
        <w:rPr>
          <w:rFonts w:ascii="Times New Roman" w:hAnsi="Times New Roman"/>
          <w:lang w:val="en-HK"/>
        </w:rPr>
        <w:t>behavior</w:t>
      </w:r>
      <w:proofErr w:type="spellEnd"/>
      <w:r w:rsidRPr="00FD1812">
        <w:rPr>
          <w:rFonts w:ascii="Times New Roman" w:hAnsi="Times New Roman"/>
          <w:lang w:val="en-HK"/>
        </w:rPr>
        <w:t xml:space="preserve"> facilitates the sale by creating a false appearance of authority.</w:t>
      </w:r>
    </w:p>
    <w:p w14:paraId="34A1B398"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Estoppel by Conduct</w:t>
      </w:r>
      <w:r w:rsidRPr="00FD1812">
        <w:rPr>
          <w:rFonts w:ascii="Times New Roman" w:hAnsi="Times New Roman"/>
          <w:lang w:val="en-HK"/>
        </w:rPr>
        <w:t>: Where the owner’s actions or inaction mislead third parties regarding the seller's authority.</w:t>
      </w:r>
    </w:p>
    <w:p w14:paraId="3A739819"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116D898">
          <v:rect id="_x0000_i1091" alt="" style="width:451.3pt;height:.05pt;mso-width-percent:0;mso-height-percent:0;mso-width-percent:0;mso-height-percent:0" o:hralign="center" o:hrstd="t" o:hr="t" fillcolor="#a0a0a0" stroked="f"/>
        </w:pict>
      </w:r>
    </w:p>
    <w:p w14:paraId="7F9ED4AA"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3.3. Case Law Examples</w:t>
      </w:r>
    </w:p>
    <w:p w14:paraId="0B5178F2" w14:textId="77777777" w:rsidR="00FD1812" w:rsidRPr="00FD1812" w:rsidRDefault="00FD1812" w:rsidP="005C7DC1">
      <w:pPr>
        <w:numPr>
          <w:ilvl w:val="0"/>
          <w:numId w:val="19"/>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Mercantile Bank of India Ltd v Central Bank of India Ltd [1938] AC 287</w:t>
      </w:r>
      <w:r w:rsidRPr="00FD1812">
        <w:rPr>
          <w:rFonts w:ascii="Times New Roman" w:hAnsi="Times New Roman"/>
          <w:lang w:val="en-HK"/>
        </w:rPr>
        <w:t>:</w:t>
      </w:r>
    </w:p>
    <w:p w14:paraId="4F9980B4"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Lord Wright </w:t>
      </w:r>
      <w:r w:rsidRPr="00FD1812">
        <w:rPr>
          <w:rFonts w:ascii="Times New Roman" w:hAnsi="Times New Roman"/>
          <w:b/>
          <w:bCs/>
          <w:lang w:val="en-HK"/>
        </w:rPr>
        <w:t>highlighted the limited success of estoppel</w:t>
      </w:r>
      <w:r w:rsidRPr="00FD1812">
        <w:rPr>
          <w:rFonts w:ascii="Times New Roman" w:hAnsi="Times New Roman"/>
          <w:lang w:val="en-HK"/>
        </w:rPr>
        <w:t xml:space="preserve"> by representation in actions for conversion.</w:t>
      </w:r>
    </w:p>
    <w:p w14:paraId="4EEB5A59"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He stated:</w:t>
      </w:r>
    </w:p>
    <w:p w14:paraId="35F5E3D2" w14:textId="77777777" w:rsidR="00FD1812" w:rsidRPr="00FD1812" w:rsidRDefault="00FD1812" w:rsidP="005C7DC1">
      <w:pPr>
        <w:spacing w:beforeAutospacing="1" w:afterAutospacing="1" w:line="360" w:lineRule="auto"/>
        <w:rPr>
          <w:rFonts w:ascii="Times New Roman" w:hAnsi="Times New Roman"/>
          <w:b/>
          <w:bCs/>
          <w:lang w:val="en-HK"/>
        </w:rPr>
      </w:pPr>
      <w:r w:rsidRPr="00FD1812">
        <w:rPr>
          <w:rFonts w:ascii="Times New Roman" w:hAnsi="Times New Roman"/>
          <w:lang w:val="en-HK"/>
        </w:rPr>
        <w:t xml:space="preserve">"Very few cases of actions for conversion </w:t>
      </w:r>
      <w:r w:rsidRPr="00FD1812">
        <w:rPr>
          <w:rFonts w:ascii="Times New Roman" w:hAnsi="Times New Roman"/>
          <w:b/>
          <w:bCs/>
          <w:lang w:val="en-HK"/>
        </w:rPr>
        <w:t>have succeeded on a plea of estoppel by representation."</w:t>
      </w:r>
    </w:p>
    <w:p w14:paraId="3531C0D0" w14:textId="77777777" w:rsidR="00FD1812" w:rsidRPr="00FD1812" w:rsidRDefault="00FD1812" w:rsidP="005C7DC1">
      <w:pPr>
        <w:numPr>
          <w:ilvl w:val="0"/>
          <w:numId w:val="19"/>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 xml:space="preserve">Moorgate Mercantile v </w:t>
      </w:r>
      <w:proofErr w:type="spellStart"/>
      <w:r w:rsidRPr="00FD1812">
        <w:rPr>
          <w:rFonts w:ascii="Times New Roman" w:hAnsi="Times New Roman"/>
          <w:b/>
          <w:bCs/>
          <w:lang w:val="en-HK"/>
        </w:rPr>
        <w:t>Twitchings</w:t>
      </w:r>
      <w:proofErr w:type="spellEnd"/>
      <w:r w:rsidRPr="00FD1812">
        <w:rPr>
          <w:rFonts w:ascii="Times New Roman" w:hAnsi="Times New Roman"/>
          <w:b/>
          <w:bCs/>
          <w:lang w:val="en-HK"/>
        </w:rPr>
        <w:t xml:space="preserve"> [1977] AC 890</w:t>
      </w:r>
      <w:r w:rsidRPr="00FD1812">
        <w:rPr>
          <w:rFonts w:ascii="Times New Roman" w:hAnsi="Times New Roman"/>
          <w:lang w:val="en-HK"/>
        </w:rPr>
        <w:t>:</w:t>
      </w:r>
    </w:p>
    <w:p w14:paraId="50BEB704"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Facts: A finance company let a car on hire purchase terms but failed to register the car with Hire Purchase Information (HPI), a database used to verify ownership. The car was later sold to an innocent purchaser who relied on the absence of registration in HPI as proof of ownership.</w:t>
      </w:r>
    </w:p>
    <w:p w14:paraId="3F7FEAEC"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Outcome: The court rejected the claim of estoppel, stating that the failure to register did not amount to misrepresentation.</w:t>
      </w:r>
    </w:p>
    <w:p w14:paraId="29642ABD"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Key Reasoning:</w:t>
      </w:r>
    </w:p>
    <w:p w14:paraId="02C867AF"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claimant made no direct representation to the purchaser, nor did it owe a duty of care to the finance company or dealers to register the transaction.</w:t>
      </w:r>
    </w:p>
    <w:p w14:paraId="5D3E61F0"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Critique: The document suggests this decision gives undue priority to the true owner’s rights. </w:t>
      </w:r>
      <w:r w:rsidRPr="00FD1812">
        <w:rPr>
          <w:rFonts w:ascii="Times New Roman" w:hAnsi="Times New Roman"/>
          <w:b/>
          <w:bCs/>
          <w:lang w:val="en-HK"/>
        </w:rPr>
        <w:t>Lord Wilberforce</w:t>
      </w:r>
      <w:r w:rsidRPr="00FD1812">
        <w:rPr>
          <w:rFonts w:ascii="Times New Roman" w:hAnsi="Times New Roman"/>
          <w:lang w:val="en-HK"/>
        </w:rPr>
        <w:t>, dissenting, argued that imposing a duty on businesses to take reasonable care in such cases would better protect innocent third parties.</w:t>
      </w:r>
    </w:p>
    <w:p w14:paraId="3D402B54" w14:textId="77777777" w:rsidR="00FD1812" w:rsidRPr="00FD1812" w:rsidRDefault="00FD1812" w:rsidP="005C7DC1">
      <w:pPr>
        <w:numPr>
          <w:ilvl w:val="0"/>
          <w:numId w:val="19"/>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lastRenderedPageBreak/>
        <w:t>Farquharson Bros v King [1902] AC 325</w:t>
      </w:r>
      <w:r w:rsidRPr="00FD1812">
        <w:rPr>
          <w:rFonts w:ascii="Times New Roman" w:hAnsi="Times New Roman"/>
          <w:lang w:val="en-HK"/>
        </w:rPr>
        <w:t>:</w:t>
      </w:r>
    </w:p>
    <w:p w14:paraId="61CAF8A6"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House of Lords considered estoppel by conduct, establishing that the true owner’s actions must have directly induced the third party’s belief in the seller’s authority.</w:t>
      </w:r>
    </w:p>
    <w:p w14:paraId="42B1EEEB"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37F15403">
          <v:rect id="_x0000_i1090" alt="" style="width:451.3pt;height:.05pt;mso-width-percent:0;mso-height-percent:0;mso-width-percent:0;mso-height-percent:0" o:hralign="center" o:hrstd="t" o:hr="t" fillcolor="#a0a0a0" stroked="f"/>
        </w:pict>
      </w:r>
    </w:p>
    <w:p w14:paraId="3F277574"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3.4. Judicial Interpretation and Limitations</w:t>
      </w:r>
    </w:p>
    <w:p w14:paraId="67D1B2F0"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courts </w:t>
      </w:r>
      <w:r w:rsidRPr="00FD1812">
        <w:rPr>
          <w:rFonts w:ascii="Times New Roman" w:hAnsi="Times New Roman"/>
          <w:b/>
          <w:bCs/>
          <w:lang w:val="en-HK"/>
        </w:rPr>
        <w:t>have interpreted the doctrine of estoppel narrowly</w:t>
      </w:r>
      <w:r w:rsidRPr="00FD1812">
        <w:rPr>
          <w:rFonts w:ascii="Times New Roman" w:hAnsi="Times New Roman"/>
          <w:lang w:val="en-HK"/>
        </w:rPr>
        <w:t xml:space="preserve">, </w:t>
      </w:r>
      <w:proofErr w:type="spellStart"/>
      <w:r w:rsidRPr="00FD1812">
        <w:rPr>
          <w:rFonts w:ascii="Times New Roman" w:hAnsi="Times New Roman"/>
          <w:lang w:val="en-HK"/>
        </w:rPr>
        <w:t>favoring</w:t>
      </w:r>
      <w:proofErr w:type="spellEnd"/>
      <w:r w:rsidRPr="00FD1812">
        <w:rPr>
          <w:rFonts w:ascii="Times New Roman" w:hAnsi="Times New Roman"/>
          <w:lang w:val="en-HK"/>
        </w:rPr>
        <w:t xml:space="preserve"> the </w:t>
      </w:r>
      <w:r w:rsidRPr="00FD1812">
        <w:rPr>
          <w:rFonts w:ascii="Times New Roman" w:hAnsi="Times New Roman"/>
          <w:b/>
          <w:bCs/>
          <w:lang w:val="en-HK"/>
        </w:rPr>
        <w:t>true owner</w:t>
      </w:r>
      <w:r w:rsidRPr="00FD1812">
        <w:rPr>
          <w:rFonts w:ascii="Times New Roman" w:hAnsi="Times New Roman"/>
          <w:lang w:val="en-HK"/>
        </w:rPr>
        <w:t xml:space="preserve"> in most cases.</w:t>
      </w:r>
    </w:p>
    <w:p w14:paraId="72CA8C2F"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For estoppel to succeed:</w:t>
      </w:r>
    </w:p>
    <w:p w14:paraId="5F70CF99" w14:textId="77777777" w:rsidR="00FD1812" w:rsidRPr="00FD1812" w:rsidRDefault="00FD1812" w:rsidP="005C7DC1">
      <w:pPr>
        <w:numPr>
          <w:ilvl w:val="1"/>
          <w:numId w:val="20"/>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owner must have caused or permitted the misrepresentation.</w:t>
      </w:r>
    </w:p>
    <w:p w14:paraId="05D90969" w14:textId="77777777" w:rsidR="00FD1812" w:rsidRPr="00FD1812" w:rsidRDefault="00FD1812" w:rsidP="005C7DC1">
      <w:pPr>
        <w:numPr>
          <w:ilvl w:val="1"/>
          <w:numId w:val="20"/>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purchaser must have relied on this representation in good faith.</w:t>
      </w:r>
    </w:p>
    <w:p w14:paraId="724AB90A"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In </w:t>
      </w:r>
      <w:r w:rsidRPr="00FD1812">
        <w:rPr>
          <w:rFonts w:ascii="Times New Roman" w:hAnsi="Times New Roman"/>
          <w:b/>
          <w:bCs/>
          <w:lang w:val="en-HK"/>
        </w:rPr>
        <w:t>Moorgate Mercantile</w:t>
      </w:r>
      <w:r w:rsidRPr="00FD1812">
        <w:rPr>
          <w:rFonts w:ascii="Times New Roman" w:hAnsi="Times New Roman"/>
          <w:lang w:val="en-HK"/>
        </w:rPr>
        <w:t>, the court’s refusal to impose a duty of care illustrates judicial reluctance to extend the scope of estoppel to cover negligence.</w:t>
      </w:r>
    </w:p>
    <w:p w14:paraId="37A9A1CE"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3301B90">
          <v:rect id="_x0000_i1089" alt="" style="width:451.3pt;height:.05pt;mso-width-percent:0;mso-height-percent:0;mso-width-percent:0;mso-height-percent:0" o:hralign="center" o:hrstd="t" o:hr="t" fillcolor="#a0a0a0" stroked="f"/>
        </w:pict>
      </w:r>
    </w:p>
    <w:p w14:paraId="01B12858"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3.5. Criticism and Scholarly Views</w:t>
      </w:r>
    </w:p>
    <w:p w14:paraId="0465568B"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critiques the </w:t>
      </w:r>
      <w:r w:rsidRPr="00FD1812">
        <w:rPr>
          <w:rFonts w:ascii="Times New Roman" w:hAnsi="Times New Roman"/>
          <w:b/>
          <w:bCs/>
          <w:lang w:val="en-HK"/>
        </w:rPr>
        <w:t>limited scope of estoppel</w:t>
      </w:r>
      <w:r w:rsidRPr="00FD1812">
        <w:rPr>
          <w:rFonts w:ascii="Times New Roman" w:hAnsi="Times New Roman"/>
          <w:lang w:val="en-HK"/>
        </w:rPr>
        <w:t>, noting that it rarely provides protection to good-faith purchasers.</w:t>
      </w:r>
    </w:p>
    <w:p w14:paraId="3EB5CA2C"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Scholars argue that this restrictiveness undermines fairness in cases where the true owner is a business entity better positioned to manage risks:</w:t>
      </w:r>
    </w:p>
    <w:p w14:paraId="5F19C2E2"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dissent in </w:t>
      </w:r>
      <w:r w:rsidRPr="00FD1812">
        <w:rPr>
          <w:rFonts w:ascii="Times New Roman" w:hAnsi="Times New Roman"/>
          <w:b/>
          <w:bCs/>
          <w:lang w:val="en-HK"/>
        </w:rPr>
        <w:t>Moorgate Mercantile</w:t>
      </w:r>
      <w:r w:rsidRPr="00FD1812">
        <w:rPr>
          <w:rFonts w:ascii="Times New Roman" w:hAnsi="Times New Roman"/>
          <w:lang w:val="en-HK"/>
        </w:rPr>
        <w:t xml:space="preserve"> proposed a broader application of estoppel by negligence, particularly for finance companies with the resources to verify and protect their interests.</w:t>
      </w:r>
    </w:p>
    <w:p w14:paraId="7A56468B"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19CEEC58">
          <v:rect id="_x0000_i1088" alt="" style="width:451.3pt;height:.05pt;mso-width-percent:0;mso-height-percent:0;mso-width-percent:0;mso-height-percent:0" o:hralign="center" o:hrstd="t" o:hr="t" fillcolor="#a0a0a0" stroked="f"/>
        </w:pict>
      </w:r>
    </w:p>
    <w:p w14:paraId="5ADD38A8"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3.6. Broader Implications</w:t>
      </w:r>
    </w:p>
    <w:p w14:paraId="73D3701A" w14:textId="77777777" w:rsidR="00FD1812" w:rsidRPr="00FD1812" w:rsidRDefault="00FD1812" w:rsidP="005C7DC1">
      <w:pPr>
        <w:numPr>
          <w:ilvl w:val="0"/>
          <w:numId w:val="22"/>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lastRenderedPageBreak/>
        <w:t>The strict application of estoppel reflects a tension between protecting property rights and ensuring fairness in commercial transactions.</w:t>
      </w:r>
    </w:p>
    <w:p w14:paraId="118084F1" w14:textId="77777777" w:rsidR="00FD1812" w:rsidRPr="00FD1812" w:rsidRDefault="00FD1812" w:rsidP="005C7DC1">
      <w:pPr>
        <w:numPr>
          <w:ilvl w:val="0"/>
          <w:numId w:val="22"/>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courts’ narrow interpretation often leaves innocent purchasers without recourse, especially where the true owner’s negligence indirectly contributed to the loss.</w:t>
      </w:r>
    </w:p>
    <w:p w14:paraId="0A78CFD2" w14:textId="77777777" w:rsidR="00FD1812" w:rsidRPr="00FD1812" w:rsidRDefault="00FD1812" w:rsidP="005C7DC1">
      <w:pPr>
        <w:numPr>
          <w:ilvl w:val="0"/>
          <w:numId w:val="22"/>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document suggests that a more expansive approach to estoppel could better balance the interests of both parties, particularly in cases involving businesses or professional sellers.</w:t>
      </w:r>
    </w:p>
    <w:p w14:paraId="57C95C97"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18CF5B43">
          <v:rect id="_x0000_i1087" alt="" style="width:451.3pt;height:.05pt;mso-width-percent:0;mso-height-percent:0;mso-width-percent:0;mso-height-percent:0" o:hralign="center" o:hrstd="t" o:hr="t" fillcolor="#a0a0a0" stroked="f"/>
        </w:pict>
      </w:r>
    </w:p>
    <w:p w14:paraId="62F1FAA0"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3.7. Conclusion</w:t>
      </w:r>
    </w:p>
    <w:p w14:paraId="7828A9EF" w14:textId="77777777" w:rsidR="00FD1812" w:rsidRPr="00FD1812" w:rsidRDefault="00FD1812" w:rsidP="005C7DC1">
      <w:pPr>
        <w:numPr>
          <w:ilvl w:val="0"/>
          <w:numId w:val="23"/>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Estoppel remains a </w:t>
      </w:r>
      <w:r w:rsidRPr="00FD1812">
        <w:rPr>
          <w:rFonts w:ascii="Times New Roman" w:hAnsi="Times New Roman"/>
          <w:b/>
          <w:bCs/>
          <w:lang w:val="en-HK"/>
        </w:rPr>
        <w:t>limited exception</w:t>
      </w:r>
      <w:r w:rsidRPr="00FD1812">
        <w:rPr>
          <w:rFonts w:ascii="Times New Roman" w:hAnsi="Times New Roman"/>
          <w:lang w:val="en-HK"/>
        </w:rPr>
        <w:t xml:space="preserve"> to the nemo </w:t>
      </w:r>
      <w:proofErr w:type="spellStart"/>
      <w:r w:rsidRPr="00FD1812">
        <w:rPr>
          <w:rFonts w:ascii="Times New Roman" w:hAnsi="Times New Roman"/>
          <w:lang w:val="en-HK"/>
        </w:rPr>
        <w:t>dat</w:t>
      </w:r>
      <w:proofErr w:type="spellEnd"/>
      <w:r w:rsidRPr="00FD1812">
        <w:rPr>
          <w:rFonts w:ascii="Times New Roman" w:hAnsi="Times New Roman"/>
          <w:lang w:val="en-HK"/>
        </w:rPr>
        <w:t xml:space="preserve"> rule, offering little protection to good-faith purchasers in practice.</w:t>
      </w:r>
    </w:p>
    <w:p w14:paraId="4B0C1F8C" w14:textId="77777777" w:rsidR="00FD1812" w:rsidRPr="005C7DC1" w:rsidRDefault="00FD1812" w:rsidP="005C7DC1">
      <w:pPr>
        <w:numPr>
          <w:ilvl w:val="0"/>
          <w:numId w:val="23"/>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document advocates for reform, particularly to expand the doctrine’s application in cases where the true owner’s actions or omissions create an appearance of authority. It highlights the need for fairness, particularly in scenarios where businesses have the resources and opportunities to prevent such disputes.</w:t>
      </w:r>
    </w:p>
    <w:p w14:paraId="6BF064B4" w14:textId="00542BBB" w:rsidR="0061098F" w:rsidRPr="00FD1812" w:rsidRDefault="00D4652D" w:rsidP="005C7DC1">
      <w:pPr>
        <w:spacing w:before="100" w:beforeAutospacing="1" w:after="100" w:afterAutospacing="1" w:line="360" w:lineRule="auto"/>
        <w:rPr>
          <w:rFonts w:ascii="Times New Roman" w:hAnsi="Times New Roman"/>
          <w:lang w:val="en-HK"/>
        </w:rPr>
      </w:pPr>
      <w:r w:rsidRPr="00D4652D">
        <w:rPr>
          <w:rFonts w:ascii="Times New Roman" w:hAnsi="Times New Roman"/>
          <w:noProof/>
          <w:lang w:val="en-HK"/>
          <w14:ligatures w14:val="standardContextual"/>
        </w:rPr>
        <w:pict w14:anchorId="409D8444">
          <v:rect id="_x0000_i1086" alt="" style="width:451.3pt;height:.05pt;mso-width-percent:0;mso-height-percent:0;mso-width-percent:0;mso-height-percent:0" o:hralign="center" o:hrstd="t" o:hr="t" fillcolor="#a0a0a0" stroked="f"/>
        </w:pict>
      </w:r>
    </w:p>
    <w:p w14:paraId="2C96339D" w14:textId="77777777" w:rsidR="00FD1812" w:rsidRPr="00FD1812" w:rsidRDefault="00FD1812" w:rsidP="005C7DC1">
      <w:pPr>
        <w:spacing w:before="100" w:beforeAutospacing="1" w:after="100" w:afterAutospacing="1" w:line="360" w:lineRule="auto"/>
        <w:outlineLvl w:val="2"/>
        <w:rPr>
          <w:rFonts w:ascii="Times New Roman" w:hAnsi="Times New Roman"/>
          <w:b/>
          <w:bCs/>
          <w:lang w:val="en-HK"/>
        </w:rPr>
      </w:pPr>
      <w:r w:rsidRPr="00FD1812">
        <w:rPr>
          <w:rFonts w:ascii="Times New Roman" w:hAnsi="Times New Roman"/>
          <w:b/>
          <w:bCs/>
          <w:lang w:val="en-HK"/>
        </w:rPr>
        <w:t>4. Sale under a Voidable Title</w:t>
      </w:r>
    </w:p>
    <w:p w14:paraId="1946C808"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4.1. Statutory Basis</w:t>
      </w:r>
    </w:p>
    <w:p w14:paraId="608A168F" w14:textId="77777777" w:rsidR="00295D8D" w:rsidRPr="005C7DC1"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exception for voidable titles is codified in </w:t>
      </w:r>
      <w:r w:rsidRPr="00FD1812">
        <w:rPr>
          <w:rFonts w:ascii="Times New Roman" w:hAnsi="Times New Roman"/>
          <w:b/>
          <w:bCs/>
          <w:lang w:val="en-HK"/>
        </w:rPr>
        <w:t>Section 23 of the Sale of Goods Act 1979</w:t>
      </w:r>
      <w:r w:rsidRPr="00FD1812">
        <w:rPr>
          <w:rFonts w:ascii="Times New Roman" w:hAnsi="Times New Roman"/>
          <w:lang w:val="en-HK"/>
        </w:rPr>
        <w:t>, which states:</w:t>
      </w:r>
    </w:p>
    <w:p w14:paraId="54EB3037" w14:textId="38C7B57C"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"When the seller of goods has a voidable title to them, but his title has not been avoided at the time of sale, the buyer acquires a good title to the goods, provided he buys them in good faith and without notice of the seller's defect of title."</w:t>
      </w:r>
    </w:p>
    <w:p w14:paraId="5DA59CCC"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This provision recognizes that a voidable title, while defective, remains valid until the true owner takes steps to rescind it. If the goods are sold to a third party in good faith before rescission, the purchaser acquires good title.</w:t>
      </w:r>
    </w:p>
    <w:p w14:paraId="357D30C0"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8298AB4">
          <v:rect id="_x0000_i1085" alt="" style="width:451.3pt;height:.05pt;mso-width-percent:0;mso-height-percent:0;mso-width-percent:0;mso-height-percent:0" o:hralign="center" o:hrstd="t" o:hr="t" fillcolor="#a0a0a0" stroked="f"/>
        </w:pict>
      </w:r>
    </w:p>
    <w:p w14:paraId="1EC40C25"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lastRenderedPageBreak/>
        <w:t>4.2. Key Elements</w:t>
      </w:r>
    </w:p>
    <w:p w14:paraId="6212AB79" w14:textId="77777777" w:rsidR="00FD1812" w:rsidRPr="00FD1812" w:rsidRDefault="00FD1812" w:rsidP="005C7DC1">
      <w:pPr>
        <w:numPr>
          <w:ilvl w:val="0"/>
          <w:numId w:val="25"/>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Voidable vs. Void Titles</w:t>
      </w:r>
      <w:r w:rsidRPr="00FD1812">
        <w:rPr>
          <w:rFonts w:ascii="Times New Roman" w:hAnsi="Times New Roman"/>
          <w:lang w:val="en-HK"/>
        </w:rPr>
        <w:t>:</w:t>
      </w:r>
    </w:p>
    <w:p w14:paraId="01493E77"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A voidable title arises in transactions where the contract is valid but subject to rescission due to fraud, misrepresentation, undue influence, or equitable mistake.</w:t>
      </w:r>
    </w:p>
    <w:p w14:paraId="71EE1838"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In contrast, a void title occurs when there is no valid contract at all (e.g., mistaken identity or theft), and the seller cannot pass title to a good-faith purchaser.</w:t>
      </w:r>
    </w:p>
    <w:p w14:paraId="56241700" w14:textId="77777777" w:rsidR="00FD1812" w:rsidRPr="00FD1812" w:rsidRDefault="00FD1812" w:rsidP="005C7DC1">
      <w:pPr>
        <w:numPr>
          <w:ilvl w:val="0"/>
          <w:numId w:val="25"/>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Good Faith and Notice</w:t>
      </w:r>
      <w:r w:rsidRPr="00FD1812">
        <w:rPr>
          <w:rFonts w:ascii="Times New Roman" w:hAnsi="Times New Roman"/>
          <w:lang w:val="en-HK"/>
        </w:rPr>
        <w:t>:</w:t>
      </w:r>
    </w:p>
    <w:p w14:paraId="41934D91"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innocent purchaser must buy in </w:t>
      </w:r>
      <w:r w:rsidRPr="00FD1812">
        <w:rPr>
          <w:rFonts w:ascii="Times New Roman" w:hAnsi="Times New Roman"/>
          <w:b/>
          <w:bCs/>
          <w:lang w:val="en-HK"/>
        </w:rPr>
        <w:t>good faith</w:t>
      </w:r>
      <w:r w:rsidRPr="00FD1812">
        <w:rPr>
          <w:rFonts w:ascii="Times New Roman" w:hAnsi="Times New Roman"/>
          <w:lang w:val="en-HK"/>
        </w:rPr>
        <w:t xml:space="preserve"> and without </w:t>
      </w:r>
      <w:r w:rsidRPr="00FD1812">
        <w:rPr>
          <w:rFonts w:ascii="Times New Roman" w:hAnsi="Times New Roman"/>
          <w:b/>
          <w:bCs/>
          <w:lang w:val="en-HK"/>
        </w:rPr>
        <w:t>notice</w:t>
      </w:r>
      <w:r w:rsidRPr="00FD1812">
        <w:rPr>
          <w:rFonts w:ascii="Times New Roman" w:hAnsi="Times New Roman"/>
          <w:lang w:val="en-HK"/>
        </w:rPr>
        <w:t xml:space="preserve"> of the seller’s defect in title. The burden of proof lies with the true owner to demonstrate that the purchaser acted otherwise.</w:t>
      </w:r>
    </w:p>
    <w:p w14:paraId="4B138319" w14:textId="77777777" w:rsidR="00FD1812" w:rsidRPr="00FD1812" w:rsidRDefault="00FD1812" w:rsidP="005C7DC1">
      <w:pPr>
        <w:numPr>
          <w:ilvl w:val="0"/>
          <w:numId w:val="25"/>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Timing of Rescission</w:t>
      </w:r>
      <w:r w:rsidRPr="00FD1812">
        <w:rPr>
          <w:rFonts w:ascii="Times New Roman" w:hAnsi="Times New Roman"/>
          <w:lang w:val="en-HK"/>
        </w:rPr>
        <w:t>:</w:t>
      </w:r>
    </w:p>
    <w:p w14:paraId="4699449A"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true owner must rescind the contract before the goods are sold to the third party to prevent the transfer of good title.</w:t>
      </w:r>
    </w:p>
    <w:p w14:paraId="00E99EB7"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C850054">
          <v:rect id="_x0000_i1084" alt="" style="width:451.3pt;height:.05pt;mso-width-percent:0;mso-height-percent:0;mso-width-percent:0;mso-height-percent:0" o:hralign="center" o:hrstd="t" o:hr="t" fillcolor="#a0a0a0" stroked="f"/>
        </w:pict>
      </w:r>
    </w:p>
    <w:p w14:paraId="1D7A92FF"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4.3. Case Law Examples</w:t>
      </w:r>
    </w:p>
    <w:p w14:paraId="0266032E" w14:textId="77777777" w:rsidR="00FD1812" w:rsidRPr="00FD1812" w:rsidRDefault="00FD1812" w:rsidP="005C7DC1">
      <w:pPr>
        <w:numPr>
          <w:ilvl w:val="0"/>
          <w:numId w:val="26"/>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Car and Universal Finance Ltd v Caldwell [1965] 1 QB 525</w:t>
      </w:r>
      <w:r w:rsidRPr="00FD1812">
        <w:rPr>
          <w:rFonts w:ascii="Times New Roman" w:hAnsi="Times New Roman"/>
          <w:lang w:val="en-HK"/>
        </w:rPr>
        <w:t>:</w:t>
      </w:r>
    </w:p>
    <w:p w14:paraId="1E949FB7" w14:textId="77777777" w:rsidR="00FD1812" w:rsidRPr="005C7DC1" w:rsidRDefault="00FD1812" w:rsidP="005C7DC1">
      <w:pPr>
        <w:spacing w:before="100" w:beforeAutospacing="1" w:after="100" w:afterAutospacing="1" w:line="360" w:lineRule="auto"/>
        <w:rPr>
          <w:rFonts w:ascii="Times New Roman" w:hAnsi="Times New Roman"/>
          <w:lang w:val="en-HK"/>
        </w:rPr>
      </w:pPr>
      <w:r w:rsidRPr="005C7DC1">
        <w:rPr>
          <w:rFonts w:ascii="Times New Roman" w:hAnsi="Times New Roman"/>
          <w:lang w:val="en-HK"/>
        </w:rPr>
        <w:t>Facts:</w:t>
      </w:r>
    </w:p>
    <w:p w14:paraId="46C000D1" w14:textId="77777777" w:rsidR="00FD1812" w:rsidRPr="005C7DC1" w:rsidRDefault="00FD1812" w:rsidP="005C7DC1">
      <w:pPr>
        <w:spacing w:before="100" w:beforeAutospacing="1" w:after="100" w:afterAutospacing="1" w:line="360" w:lineRule="auto"/>
        <w:rPr>
          <w:rFonts w:ascii="Times New Roman" w:hAnsi="Times New Roman"/>
          <w:lang w:val="en-HK"/>
        </w:rPr>
      </w:pPr>
      <w:r w:rsidRPr="005C7DC1">
        <w:rPr>
          <w:rFonts w:ascii="Times New Roman" w:hAnsi="Times New Roman"/>
          <w:lang w:val="en-HK"/>
        </w:rPr>
        <w:t>A rogue bought a car from Caldwell with a fraudulent cheque. Upon discovering the fraud, Caldwell immediately informed the police and motor organizations to rescind the contract.</w:t>
      </w:r>
    </w:p>
    <w:p w14:paraId="4EEC3624" w14:textId="77777777" w:rsidR="00FD1812" w:rsidRPr="005C7DC1" w:rsidRDefault="00FD1812" w:rsidP="005C7DC1">
      <w:pPr>
        <w:spacing w:before="100" w:beforeAutospacing="1" w:after="100" w:afterAutospacing="1" w:line="360" w:lineRule="auto"/>
        <w:rPr>
          <w:rFonts w:ascii="Times New Roman" w:hAnsi="Times New Roman"/>
          <w:lang w:val="en-HK"/>
        </w:rPr>
      </w:pPr>
      <w:r w:rsidRPr="005C7DC1">
        <w:rPr>
          <w:rFonts w:ascii="Times New Roman" w:hAnsi="Times New Roman"/>
          <w:lang w:val="en-HK"/>
        </w:rPr>
        <w:t>Before the rogue could sell the car, the title was deemed rescinded, preventing the rogue from passing good title to any third party.</w:t>
      </w:r>
    </w:p>
    <w:p w14:paraId="56E5EE00" w14:textId="77777777" w:rsidR="00FD1812" w:rsidRPr="005C7DC1" w:rsidRDefault="00FD1812" w:rsidP="005C7DC1">
      <w:pPr>
        <w:spacing w:before="100" w:beforeAutospacing="1" w:after="100" w:afterAutospacing="1" w:line="360" w:lineRule="auto"/>
        <w:rPr>
          <w:rFonts w:ascii="Times New Roman" w:hAnsi="Times New Roman"/>
          <w:lang w:val="en-HK"/>
        </w:rPr>
      </w:pPr>
      <w:r w:rsidRPr="005C7DC1">
        <w:rPr>
          <w:rFonts w:ascii="Times New Roman" w:hAnsi="Times New Roman"/>
          <w:lang w:val="en-HK"/>
        </w:rPr>
        <w:t>Outcome:</w:t>
      </w:r>
    </w:p>
    <w:p w14:paraId="4DE8578E" w14:textId="77777777" w:rsidR="00FD1812" w:rsidRPr="005C7DC1" w:rsidRDefault="00FD1812" w:rsidP="005C7DC1">
      <w:pPr>
        <w:spacing w:before="100" w:beforeAutospacing="1" w:after="100" w:afterAutospacing="1" w:line="360" w:lineRule="auto"/>
        <w:rPr>
          <w:rFonts w:ascii="Times New Roman" w:hAnsi="Times New Roman"/>
          <w:lang w:val="en-HK"/>
        </w:rPr>
      </w:pPr>
      <w:r w:rsidRPr="005C7DC1">
        <w:rPr>
          <w:rFonts w:ascii="Times New Roman" w:hAnsi="Times New Roman"/>
          <w:lang w:val="en-HK"/>
        </w:rPr>
        <w:lastRenderedPageBreak/>
        <w:t>The Court of Appeal held that Caldwell’s actions to inform the authorities constituted effective rescission.</w:t>
      </w:r>
    </w:p>
    <w:p w14:paraId="6573CF74" w14:textId="77777777" w:rsidR="00FD1812" w:rsidRPr="005C7DC1" w:rsidRDefault="00FD1812" w:rsidP="005C7DC1">
      <w:pPr>
        <w:spacing w:before="100" w:beforeAutospacing="1" w:after="100" w:afterAutospacing="1" w:line="360" w:lineRule="auto"/>
        <w:rPr>
          <w:rFonts w:ascii="Times New Roman" w:hAnsi="Times New Roman"/>
          <w:lang w:val="en-HK"/>
        </w:rPr>
      </w:pPr>
      <w:r w:rsidRPr="005C7DC1">
        <w:rPr>
          <w:rFonts w:ascii="Times New Roman" w:hAnsi="Times New Roman"/>
          <w:lang w:val="en-HK"/>
        </w:rPr>
        <w:t>Significance:</w:t>
      </w:r>
    </w:p>
    <w:p w14:paraId="26EA926C" w14:textId="77777777" w:rsidR="00FD1812" w:rsidRPr="005C7DC1" w:rsidRDefault="00FD1812" w:rsidP="005C7DC1">
      <w:pPr>
        <w:spacing w:before="100" w:beforeAutospacing="1" w:after="100" w:afterAutospacing="1" w:line="360" w:lineRule="auto"/>
        <w:rPr>
          <w:rFonts w:ascii="Times New Roman" w:hAnsi="Times New Roman"/>
          <w:lang w:val="en-HK"/>
        </w:rPr>
      </w:pPr>
      <w:r w:rsidRPr="005C7DC1">
        <w:rPr>
          <w:rFonts w:ascii="Times New Roman" w:hAnsi="Times New Roman"/>
          <w:lang w:val="en-HK"/>
        </w:rPr>
        <w:t>The decision expanded the scope of rescission by allowing actions other than direct notification to the rogue to suffice. The document notes this as a practical interpretation to protect true owners from fraudulent schemes.</w:t>
      </w:r>
    </w:p>
    <w:p w14:paraId="100007B0" w14:textId="77777777" w:rsidR="00FD1812" w:rsidRPr="00FD1812" w:rsidRDefault="00FD1812" w:rsidP="005C7DC1">
      <w:pPr>
        <w:numPr>
          <w:ilvl w:val="0"/>
          <w:numId w:val="26"/>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McLeod v Kerr [1965] SC 253</w:t>
      </w:r>
      <w:r w:rsidRPr="00FD1812">
        <w:rPr>
          <w:rFonts w:ascii="Times New Roman" w:hAnsi="Times New Roman"/>
          <w:lang w:val="en-HK"/>
        </w:rPr>
        <w:t xml:space="preserve"> (Scotland):</w:t>
      </w:r>
    </w:p>
    <w:p w14:paraId="6C33A53B"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In contrast to Caldwell, the Scottish court required direct notification to the rogue for rescission to take effect.</w:t>
      </w:r>
    </w:p>
    <w:p w14:paraId="1456AE6A"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This inconsistency between jurisdictions illustrates the </w:t>
      </w:r>
      <w:r w:rsidRPr="00FD1812">
        <w:rPr>
          <w:rFonts w:ascii="Times New Roman" w:hAnsi="Times New Roman"/>
          <w:b/>
          <w:bCs/>
          <w:lang w:val="en-HK"/>
        </w:rPr>
        <w:t>controversy surrounding the timing and method of rescission</w:t>
      </w:r>
      <w:r w:rsidRPr="00FD1812">
        <w:rPr>
          <w:rFonts w:ascii="Times New Roman" w:hAnsi="Times New Roman"/>
          <w:lang w:val="en-HK"/>
        </w:rPr>
        <w:t>.</w:t>
      </w:r>
    </w:p>
    <w:p w14:paraId="5C6DD439" w14:textId="77777777" w:rsidR="00FD1812" w:rsidRPr="00FD1812" w:rsidRDefault="00FD1812" w:rsidP="005C7DC1">
      <w:pPr>
        <w:numPr>
          <w:ilvl w:val="0"/>
          <w:numId w:val="26"/>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Whitehorn Brothers v Davison [1911] 1 KB 463</w:t>
      </w:r>
      <w:r w:rsidRPr="00FD1812">
        <w:rPr>
          <w:rFonts w:ascii="Times New Roman" w:hAnsi="Times New Roman"/>
          <w:lang w:val="en-HK"/>
        </w:rPr>
        <w:t>:</w:t>
      </w:r>
    </w:p>
    <w:p w14:paraId="7C7385FD"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court ruled that the true owner bears the burden of proving the buyer acted with notice or lacked good faith.</w:t>
      </w:r>
    </w:p>
    <w:p w14:paraId="76E841B4"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reversal of the burden of proof from standard cases was critiqued in the document as capable of causing unfairness to true owners.</w:t>
      </w:r>
    </w:p>
    <w:p w14:paraId="472D8DE7"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A1C0EA3">
          <v:rect id="_x0000_i1083" alt="" style="width:451.3pt;height:.05pt;mso-width-percent:0;mso-height-percent:0;mso-width-percent:0;mso-height-percent:0" o:hralign="center" o:hrstd="t" o:hr="t" fillcolor="#a0a0a0" stroked="f"/>
        </w:pict>
      </w:r>
    </w:p>
    <w:p w14:paraId="39A9A5F8"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4.4. Judicial and Scholarly Critique</w:t>
      </w:r>
    </w:p>
    <w:p w14:paraId="3C50E6C6" w14:textId="77777777" w:rsidR="00FD1812" w:rsidRPr="00FD1812" w:rsidRDefault="00FD1812" w:rsidP="005C7DC1">
      <w:pPr>
        <w:numPr>
          <w:ilvl w:val="0"/>
          <w:numId w:val="27"/>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Arbitrariness of Void and Voidable Contracts</w:t>
      </w:r>
      <w:r w:rsidRPr="00FD1812">
        <w:rPr>
          <w:rFonts w:ascii="Times New Roman" w:hAnsi="Times New Roman"/>
          <w:lang w:val="en-HK"/>
        </w:rPr>
        <w:t>:</w:t>
      </w:r>
    </w:p>
    <w:p w14:paraId="06B1FEF1"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highlights the </w:t>
      </w:r>
      <w:r w:rsidRPr="00FD1812">
        <w:rPr>
          <w:rFonts w:ascii="Times New Roman" w:hAnsi="Times New Roman"/>
          <w:b/>
          <w:bCs/>
          <w:lang w:val="en-HK"/>
        </w:rPr>
        <w:t>fine and often arbitrary distinctions</w:t>
      </w:r>
      <w:r w:rsidRPr="00FD1812">
        <w:rPr>
          <w:rFonts w:ascii="Times New Roman" w:hAnsi="Times New Roman"/>
          <w:lang w:val="en-HK"/>
        </w:rPr>
        <w:t xml:space="preserve"> between void and voidable contracts as a source of uncertainty and inequity.</w:t>
      </w:r>
    </w:p>
    <w:p w14:paraId="758E2230"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It references </w:t>
      </w:r>
      <w:r w:rsidRPr="00FD1812">
        <w:rPr>
          <w:rFonts w:ascii="Times New Roman" w:hAnsi="Times New Roman"/>
          <w:b/>
          <w:bCs/>
          <w:lang w:val="en-HK"/>
        </w:rPr>
        <w:t>Shogun Finance Ltd v Hudson [2003] UKHL 62</w:t>
      </w:r>
      <w:r w:rsidRPr="00FD1812">
        <w:rPr>
          <w:rFonts w:ascii="Times New Roman" w:hAnsi="Times New Roman"/>
          <w:lang w:val="en-HK"/>
        </w:rPr>
        <w:t>, where the written nature of the contract determined it was void, leaving the good-faith purchaser without title. In contrast, had the contract been oral, the rogue might have acquired a voidable title, enabling the purchaser to retain the goods.</w:t>
      </w:r>
    </w:p>
    <w:p w14:paraId="68C285F1"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lastRenderedPageBreak/>
        <w:t>The document critiques this rigid classification, stating:</w:t>
      </w:r>
    </w:p>
    <w:p w14:paraId="09996E28" w14:textId="77777777" w:rsidR="00FD1812" w:rsidRPr="005C7DC1" w:rsidRDefault="00FD1812" w:rsidP="005C7DC1">
      <w:pPr>
        <w:spacing w:beforeAutospacing="1" w:afterAutospacing="1" w:line="360" w:lineRule="auto"/>
        <w:rPr>
          <w:rFonts w:ascii="Times New Roman" w:hAnsi="Times New Roman"/>
          <w:lang w:val="en-HK"/>
        </w:rPr>
      </w:pPr>
      <w:r w:rsidRPr="005C7DC1">
        <w:rPr>
          <w:rFonts w:ascii="Times New Roman" w:hAnsi="Times New Roman"/>
          <w:lang w:val="en-HK"/>
        </w:rPr>
        <w:t>"The success or failure of a bona fide purchaser’s claim depends on how the original transaction is classified, irrespective of either fault or the equity of the claim."</w:t>
      </w:r>
    </w:p>
    <w:p w14:paraId="5E23B4D1" w14:textId="77777777" w:rsidR="00FD1812" w:rsidRPr="00FD1812" w:rsidRDefault="00FD1812" w:rsidP="005C7DC1">
      <w:pPr>
        <w:numPr>
          <w:ilvl w:val="0"/>
          <w:numId w:val="27"/>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Scholarly Recommendations</w:t>
      </w:r>
      <w:r w:rsidRPr="00FD1812">
        <w:rPr>
          <w:rFonts w:ascii="Times New Roman" w:hAnsi="Times New Roman"/>
          <w:lang w:val="en-HK"/>
        </w:rPr>
        <w:t>:</w:t>
      </w:r>
    </w:p>
    <w:p w14:paraId="1ADCB049"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document suggests that all transactions involving misrepresentation as to identity should be treated as voidable (at least regarding third-party rights). This approach would:</w:t>
      </w:r>
    </w:p>
    <w:p w14:paraId="1F63ABC0" w14:textId="77777777" w:rsidR="00FD1812" w:rsidRPr="00FD1812" w:rsidRDefault="00FD1812" w:rsidP="005C7DC1">
      <w:pPr>
        <w:numPr>
          <w:ilvl w:val="2"/>
          <w:numId w:val="27"/>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Provide greater </w:t>
      </w:r>
      <w:r w:rsidRPr="00FD1812">
        <w:rPr>
          <w:rFonts w:ascii="Times New Roman" w:hAnsi="Times New Roman"/>
          <w:b/>
          <w:bCs/>
          <w:lang w:val="en-HK"/>
        </w:rPr>
        <w:t>certainty</w:t>
      </w:r>
      <w:r w:rsidRPr="00FD1812">
        <w:rPr>
          <w:rFonts w:ascii="Times New Roman" w:hAnsi="Times New Roman"/>
          <w:lang w:val="en-HK"/>
        </w:rPr>
        <w:t>.</w:t>
      </w:r>
    </w:p>
    <w:p w14:paraId="4DC0A650" w14:textId="77777777" w:rsidR="00FD1812" w:rsidRPr="00FD1812" w:rsidRDefault="00FD1812" w:rsidP="005C7DC1">
      <w:pPr>
        <w:numPr>
          <w:ilvl w:val="2"/>
          <w:numId w:val="27"/>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Enhance </w:t>
      </w:r>
      <w:r w:rsidRPr="00FD1812">
        <w:rPr>
          <w:rFonts w:ascii="Times New Roman" w:hAnsi="Times New Roman"/>
          <w:b/>
          <w:bCs/>
          <w:lang w:val="en-HK"/>
        </w:rPr>
        <w:t>fairness</w:t>
      </w:r>
      <w:r w:rsidRPr="00FD1812">
        <w:rPr>
          <w:rFonts w:ascii="Times New Roman" w:hAnsi="Times New Roman"/>
          <w:lang w:val="en-HK"/>
        </w:rPr>
        <w:t xml:space="preserve"> for good-faith purchasers.</w:t>
      </w:r>
    </w:p>
    <w:p w14:paraId="72B9226D"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6573730">
          <v:rect id="_x0000_i1082" alt="" style="width:451.3pt;height:.05pt;mso-width-percent:0;mso-height-percent:0;mso-width-percent:0;mso-height-percent:0" o:hralign="center" o:hrstd="t" o:hr="t" fillcolor="#a0a0a0" stroked="f"/>
        </w:pict>
      </w:r>
    </w:p>
    <w:p w14:paraId="436AA7DC"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4.5. Critique of Burden of Proof</w:t>
      </w:r>
    </w:p>
    <w:p w14:paraId="6DB66AED" w14:textId="77777777" w:rsidR="00FD1812" w:rsidRPr="00FD1812" w:rsidRDefault="00FD1812" w:rsidP="005C7DC1">
      <w:pPr>
        <w:numPr>
          <w:ilvl w:val="0"/>
          <w:numId w:val="28"/>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notes that placing the burden on the true owner to prove the purchaser’s notice of defect, as seen in </w:t>
      </w:r>
      <w:r w:rsidRPr="00FD1812">
        <w:rPr>
          <w:rFonts w:ascii="Times New Roman" w:hAnsi="Times New Roman"/>
          <w:b/>
          <w:bCs/>
          <w:lang w:val="en-HK"/>
        </w:rPr>
        <w:t>Whitehorn Brothers</w:t>
      </w:r>
      <w:r w:rsidRPr="00FD1812">
        <w:rPr>
          <w:rFonts w:ascii="Times New Roman" w:hAnsi="Times New Roman"/>
          <w:lang w:val="en-HK"/>
        </w:rPr>
        <w:t>, can be unfair.</w:t>
      </w:r>
    </w:p>
    <w:p w14:paraId="0A30F54B" w14:textId="77777777" w:rsidR="00FD1812" w:rsidRPr="00FD1812" w:rsidRDefault="00FD1812" w:rsidP="005C7DC1">
      <w:pPr>
        <w:numPr>
          <w:ilvl w:val="0"/>
          <w:numId w:val="28"/>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A purchaser is often in a better position to demonstrate the circumstances of their acquisition, and reversing the burden aligns with general principles of equity.</w:t>
      </w:r>
    </w:p>
    <w:p w14:paraId="133F0701"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E0A184E">
          <v:rect id="_x0000_i1081" alt="" style="width:451.3pt;height:.05pt;mso-width-percent:0;mso-height-percent:0;mso-width-percent:0;mso-height-percent:0" o:hralign="center" o:hrstd="t" o:hr="t" fillcolor="#a0a0a0" stroked="f"/>
        </w:pict>
      </w:r>
    </w:p>
    <w:p w14:paraId="73FC7326"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4.6. Broader Implications</w:t>
      </w:r>
    </w:p>
    <w:p w14:paraId="36DA6514" w14:textId="77777777" w:rsidR="00FD1812" w:rsidRPr="00FD1812" w:rsidRDefault="00FD1812" w:rsidP="005C7DC1">
      <w:pPr>
        <w:numPr>
          <w:ilvl w:val="0"/>
          <w:numId w:val="29"/>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Practical Challenges</w:t>
      </w:r>
      <w:r w:rsidRPr="00FD1812">
        <w:rPr>
          <w:rFonts w:ascii="Times New Roman" w:hAnsi="Times New Roman"/>
          <w:lang w:val="en-HK"/>
        </w:rPr>
        <w:t>:</w:t>
      </w:r>
    </w:p>
    <w:p w14:paraId="736475DF"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Rescission may not always be feasible before the rogue sells the goods, particularly if the true owner is unaware of the fraud.</w:t>
      </w:r>
    </w:p>
    <w:p w14:paraId="700AE265"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distinction between void and voidable contracts complicates outcomes, often disadvantaging innocent parties.</w:t>
      </w:r>
    </w:p>
    <w:p w14:paraId="6C9C3C97" w14:textId="77777777" w:rsidR="00FD1812" w:rsidRPr="00FD1812" w:rsidRDefault="00FD1812" w:rsidP="005C7DC1">
      <w:pPr>
        <w:numPr>
          <w:ilvl w:val="0"/>
          <w:numId w:val="29"/>
        </w:numPr>
        <w:spacing w:before="100" w:beforeAutospacing="1" w:after="100" w:afterAutospacing="1" w:line="360" w:lineRule="auto"/>
        <w:rPr>
          <w:rFonts w:ascii="Times New Roman" w:hAnsi="Times New Roman"/>
          <w:lang w:val="en-HK"/>
        </w:rPr>
      </w:pPr>
      <w:r w:rsidRPr="00FD1812">
        <w:rPr>
          <w:rFonts w:ascii="Times New Roman" w:hAnsi="Times New Roman"/>
          <w:b/>
          <w:bCs/>
          <w:lang w:val="en-HK"/>
        </w:rPr>
        <w:t>Reform Suggestions</w:t>
      </w:r>
      <w:r w:rsidRPr="00FD1812">
        <w:rPr>
          <w:rFonts w:ascii="Times New Roman" w:hAnsi="Times New Roman"/>
          <w:lang w:val="en-HK"/>
        </w:rPr>
        <w:t>:</w:t>
      </w:r>
    </w:p>
    <w:p w14:paraId="40CD6F75" w14:textId="77777777" w:rsidR="00FD1812" w:rsidRPr="00FD1812" w:rsidRDefault="00FD1812" w:rsidP="005C7DC1">
      <w:p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document advocates for legislative reform to simplify the void/voidable distinction and prioritize the protection of good-faith purchasers over strict formalities.</w:t>
      </w:r>
    </w:p>
    <w:p w14:paraId="2439A60F" w14:textId="77777777" w:rsidR="00FD1812" w:rsidRPr="00FD1812"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lastRenderedPageBreak/>
        <w:pict w14:anchorId="40CD0F40">
          <v:rect id="_x0000_i1080" alt="" style="width:451.3pt;height:.05pt;mso-width-percent:0;mso-height-percent:0;mso-width-percent:0;mso-height-percent:0" o:hralign="center" o:hrstd="t" o:hr="t" fillcolor="#a0a0a0" stroked="f"/>
        </w:pict>
      </w:r>
    </w:p>
    <w:p w14:paraId="52A45D06" w14:textId="77777777" w:rsidR="00FD1812" w:rsidRPr="00FD1812" w:rsidRDefault="00FD1812" w:rsidP="005C7DC1">
      <w:pPr>
        <w:spacing w:before="100" w:beforeAutospacing="1" w:after="100" w:afterAutospacing="1" w:line="360" w:lineRule="auto"/>
        <w:outlineLvl w:val="3"/>
        <w:rPr>
          <w:rFonts w:ascii="Times New Roman" w:hAnsi="Times New Roman"/>
          <w:b/>
          <w:bCs/>
          <w:lang w:val="en-HK"/>
        </w:rPr>
      </w:pPr>
      <w:r w:rsidRPr="00FD1812">
        <w:rPr>
          <w:rFonts w:ascii="Times New Roman" w:hAnsi="Times New Roman"/>
          <w:b/>
          <w:bCs/>
          <w:lang w:val="en-HK"/>
        </w:rPr>
        <w:t>4.7. Conclusion</w:t>
      </w:r>
    </w:p>
    <w:p w14:paraId="06918547" w14:textId="77777777" w:rsidR="00FD1812" w:rsidRPr="00FD1812" w:rsidRDefault="00FD1812" w:rsidP="005C7DC1">
      <w:pPr>
        <w:numPr>
          <w:ilvl w:val="0"/>
          <w:numId w:val="30"/>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exception for voidable titles under Section 23 provides some protection to innocent purchasers, but its application is fraught with complexities and inconsistencies.</w:t>
      </w:r>
    </w:p>
    <w:p w14:paraId="17B29CF5" w14:textId="77777777" w:rsidR="00FD1812" w:rsidRPr="00FD1812" w:rsidRDefault="00FD1812" w:rsidP="005C7DC1">
      <w:pPr>
        <w:numPr>
          <w:ilvl w:val="0"/>
          <w:numId w:val="30"/>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The timing of rescission and the distinction between void and voidable contracts are pivotal but problematic.</w:t>
      </w:r>
    </w:p>
    <w:p w14:paraId="3A3C2444" w14:textId="77777777" w:rsidR="00FD1812" w:rsidRPr="00FD1812" w:rsidRDefault="00FD1812" w:rsidP="005C7DC1">
      <w:pPr>
        <w:numPr>
          <w:ilvl w:val="0"/>
          <w:numId w:val="30"/>
        </w:numPr>
        <w:spacing w:before="100" w:beforeAutospacing="1" w:after="100" w:afterAutospacing="1" w:line="360" w:lineRule="auto"/>
        <w:rPr>
          <w:rFonts w:ascii="Times New Roman" w:hAnsi="Times New Roman"/>
          <w:lang w:val="en-HK"/>
        </w:rPr>
      </w:pPr>
      <w:r w:rsidRPr="00FD1812">
        <w:rPr>
          <w:rFonts w:ascii="Times New Roman" w:hAnsi="Times New Roman"/>
          <w:lang w:val="en-HK"/>
        </w:rPr>
        <w:t xml:space="preserve">The document concludes that a </w:t>
      </w:r>
      <w:r w:rsidRPr="00FD1812">
        <w:rPr>
          <w:rFonts w:ascii="Times New Roman" w:hAnsi="Times New Roman"/>
          <w:b/>
          <w:bCs/>
          <w:lang w:val="en-HK"/>
        </w:rPr>
        <w:t>more uniform and equitable approach</w:t>
      </w:r>
      <w:r w:rsidRPr="00FD1812">
        <w:rPr>
          <w:rFonts w:ascii="Times New Roman" w:hAnsi="Times New Roman"/>
          <w:lang w:val="en-HK"/>
        </w:rPr>
        <w:t xml:space="preserve"> is needed to resolve disputes involving voidable titles and to ensure fair outcomes for good-faith purchasers.</w:t>
      </w:r>
    </w:p>
    <w:p w14:paraId="6F2B23A0" w14:textId="6502A2A4" w:rsidR="00C17DE0" w:rsidRPr="005C7DC1" w:rsidRDefault="00D4652D" w:rsidP="005C7DC1">
      <w:pPr>
        <w:spacing w:before="100" w:beforeAutospacing="1" w:after="100" w:afterAutospacing="1" w:line="360" w:lineRule="auto"/>
        <w:outlineLvl w:val="2"/>
        <w:rPr>
          <w:rFonts w:ascii="Times New Roman" w:hAnsi="Times New Roman"/>
          <w:b/>
          <w:bCs/>
          <w:lang w:val="en-HK"/>
        </w:rPr>
      </w:pPr>
      <w:r w:rsidRPr="00D4652D">
        <w:rPr>
          <w:rFonts w:ascii="Times New Roman" w:hAnsi="Times New Roman"/>
          <w:noProof/>
          <w:lang w:val="en-HK"/>
          <w14:ligatures w14:val="standardContextual"/>
        </w:rPr>
        <w:pict w14:anchorId="41606392">
          <v:rect id="_x0000_i1079" alt="" style="width:451.3pt;height:.05pt;mso-width-percent:0;mso-height-percent:0;mso-width-percent:0;mso-height-percent:0" o:hralign="center" o:hrstd="t" o:hr="t" fillcolor="#a0a0a0" stroked="f"/>
        </w:pict>
      </w:r>
    </w:p>
    <w:p w14:paraId="43767D0A" w14:textId="0BF91F1C" w:rsidR="00295D8D" w:rsidRPr="00295D8D" w:rsidRDefault="00295D8D" w:rsidP="005C7DC1">
      <w:pPr>
        <w:spacing w:before="100" w:beforeAutospacing="1" w:after="100" w:afterAutospacing="1" w:line="360" w:lineRule="auto"/>
        <w:outlineLvl w:val="2"/>
        <w:rPr>
          <w:rFonts w:ascii="Times New Roman" w:hAnsi="Times New Roman"/>
          <w:b/>
          <w:bCs/>
          <w:lang w:val="en-HK"/>
        </w:rPr>
      </w:pPr>
      <w:r w:rsidRPr="00295D8D">
        <w:rPr>
          <w:rFonts w:ascii="Times New Roman" w:hAnsi="Times New Roman"/>
          <w:b/>
          <w:bCs/>
          <w:lang w:val="en-HK"/>
        </w:rPr>
        <w:t>5. Seller in Possession After Sale</w:t>
      </w:r>
    </w:p>
    <w:p w14:paraId="33A7D2BB"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5.1. Statutory Basis</w:t>
      </w:r>
    </w:p>
    <w:p w14:paraId="484C3191"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exception for a seller remaining in possession after a sale is codified in </w:t>
      </w:r>
      <w:r w:rsidRPr="00295D8D">
        <w:rPr>
          <w:rFonts w:ascii="Times New Roman" w:hAnsi="Times New Roman"/>
          <w:b/>
          <w:bCs/>
          <w:lang w:val="en-HK"/>
        </w:rPr>
        <w:t>Section 24 of the Sale of Goods Act 1979</w:t>
      </w:r>
      <w:r w:rsidRPr="00295D8D">
        <w:rPr>
          <w:rFonts w:ascii="Times New Roman" w:hAnsi="Times New Roman"/>
          <w:lang w:val="en-HK"/>
        </w:rPr>
        <w:t>, which provides:</w:t>
      </w:r>
    </w:p>
    <w:p w14:paraId="2E165527"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 xml:space="preserve">"Where a person having sold goods continues or is in possession of the goods, or of the documents of title to the goods, the delivery or transfer by that person, or by a mercantile agent acting for him, of the goods or documents of title under any sale, pledge, or other disposition thereof, </w:t>
      </w:r>
      <w:r w:rsidRPr="00295D8D">
        <w:rPr>
          <w:rFonts w:ascii="Times New Roman" w:hAnsi="Times New Roman"/>
          <w:u w:val="single"/>
          <w:lang w:val="en-HK"/>
        </w:rPr>
        <w:t>to any person receiving the same in good faith and without notice</w:t>
      </w:r>
      <w:r w:rsidRPr="00295D8D">
        <w:rPr>
          <w:rFonts w:ascii="Times New Roman" w:hAnsi="Times New Roman"/>
          <w:lang w:val="en-HK"/>
        </w:rPr>
        <w:t xml:space="preserve"> of the previous sale, has the same effect as if the person making the delivery or transfer were expressly authorized by the owner of goods to make the same."</w:t>
      </w:r>
    </w:p>
    <w:p w14:paraId="29CD8BF7"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1DEB5F3">
          <v:rect id="_x0000_i1078" alt="" style="width:451.3pt;height:.05pt;mso-width-percent:0;mso-height-percent:0;mso-width-percent:0;mso-height-percent:0" o:hralign="center" o:hrstd="t" o:hr="t" fillcolor="#a0a0a0" stroked="f"/>
        </w:pict>
      </w:r>
    </w:p>
    <w:p w14:paraId="4D7F518E"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5.2. Purpose of the Rule</w:t>
      </w:r>
    </w:p>
    <w:p w14:paraId="286891B9" w14:textId="77777777" w:rsidR="00295D8D" w:rsidRPr="00295D8D" w:rsidRDefault="00295D8D" w:rsidP="005C7DC1">
      <w:pPr>
        <w:numPr>
          <w:ilvl w:val="0"/>
          <w:numId w:val="3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provision aims to </w:t>
      </w:r>
      <w:r w:rsidRPr="00295D8D">
        <w:rPr>
          <w:rFonts w:ascii="Times New Roman" w:hAnsi="Times New Roman"/>
          <w:b/>
          <w:bCs/>
          <w:lang w:val="en-HK"/>
        </w:rPr>
        <w:t>protect innocent purchasers</w:t>
      </w:r>
      <w:r w:rsidRPr="00295D8D">
        <w:rPr>
          <w:rFonts w:ascii="Times New Roman" w:hAnsi="Times New Roman"/>
          <w:lang w:val="en-HK"/>
        </w:rPr>
        <w:t xml:space="preserve"> who are deceived by a seller's continued possession of goods or documents of title.</w:t>
      </w:r>
    </w:p>
    <w:p w14:paraId="4EAB3794" w14:textId="77777777" w:rsidR="00295D8D" w:rsidRPr="00295D8D" w:rsidRDefault="00295D8D" w:rsidP="005C7DC1">
      <w:pPr>
        <w:numPr>
          <w:ilvl w:val="0"/>
          <w:numId w:val="3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rationale is that such purchasers rely on the physical possession of goods or documents as evidence of ownership or authority to transfer.</w:t>
      </w:r>
    </w:p>
    <w:p w14:paraId="19800CA6"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lastRenderedPageBreak/>
        <w:pict w14:anchorId="08126E55">
          <v:rect id="_x0000_i1077" alt="" style="width:451.3pt;height:.05pt;mso-width-percent:0;mso-height-percent:0;mso-width-percent:0;mso-height-percent:0" o:hralign="center" o:hrstd="t" o:hr="t" fillcolor="#a0a0a0" stroked="f"/>
        </w:pict>
      </w:r>
    </w:p>
    <w:p w14:paraId="6071F4A6"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5.3. Key Elements</w:t>
      </w:r>
    </w:p>
    <w:p w14:paraId="51E01278" w14:textId="77777777" w:rsidR="00295D8D" w:rsidRPr="005C7DC1" w:rsidRDefault="00295D8D" w:rsidP="005C7DC1">
      <w:pPr>
        <w:numPr>
          <w:ilvl w:val="0"/>
          <w:numId w:val="3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Continued Possession by the Seller</w:t>
      </w:r>
      <w:r w:rsidRPr="00295D8D">
        <w:rPr>
          <w:rFonts w:ascii="Times New Roman" w:hAnsi="Times New Roman"/>
          <w:lang w:val="en-HK"/>
        </w:rPr>
        <w:t>:</w:t>
      </w:r>
    </w:p>
    <w:p w14:paraId="7B695BCB" w14:textId="7AF987EA"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seller must </w:t>
      </w:r>
      <w:r w:rsidRPr="00295D8D">
        <w:rPr>
          <w:rFonts w:ascii="Times New Roman" w:hAnsi="Times New Roman"/>
          <w:b/>
          <w:bCs/>
          <w:lang w:val="en-HK"/>
        </w:rPr>
        <w:t>remain in physical or constructive possession</w:t>
      </w:r>
      <w:r w:rsidRPr="00295D8D">
        <w:rPr>
          <w:rFonts w:ascii="Times New Roman" w:hAnsi="Times New Roman"/>
          <w:lang w:val="en-HK"/>
        </w:rPr>
        <w:t xml:space="preserve"> of the goods or documents of title after the initial sale.</w:t>
      </w:r>
    </w:p>
    <w:p w14:paraId="13F387B0"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provision applies whether the seller retains possession as a seller or in another capacity (e.g., as a repairer).</w:t>
      </w:r>
    </w:p>
    <w:p w14:paraId="00A9380B" w14:textId="77777777" w:rsidR="00295D8D" w:rsidRPr="00295D8D" w:rsidRDefault="00295D8D" w:rsidP="005C7DC1">
      <w:pPr>
        <w:numPr>
          <w:ilvl w:val="0"/>
          <w:numId w:val="3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Good Faith and Without Notice</w:t>
      </w:r>
      <w:r w:rsidRPr="00295D8D">
        <w:rPr>
          <w:rFonts w:ascii="Times New Roman" w:hAnsi="Times New Roman"/>
          <w:lang w:val="en-HK"/>
        </w:rPr>
        <w:t>:</w:t>
      </w:r>
    </w:p>
    <w:p w14:paraId="76D7ADF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w:t>
      </w:r>
      <w:r w:rsidRPr="00295D8D">
        <w:rPr>
          <w:rFonts w:ascii="Times New Roman" w:hAnsi="Times New Roman"/>
          <w:b/>
          <w:bCs/>
          <w:lang w:val="en-HK"/>
        </w:rPr>
        <w:t>second purchaser must act in good faith and without notice of the prior sale</w:t>
      </w:r>
      <w:r w:rsidRPr="00295D8D">
        <w:rPr>
          <w:rFonts w:ascii="Times New Roman" w:hAnsi="Times New Roman"/>
          <w:lang w:val="en-HK"/>
        </w:rPr>
        <w:t>. The burden of proof lies on the person claiming title under Section 24 to show these elements.</w:t>
      </w:r>
    </w:p>
    <w:p w14:paraId="4B3926B5" w14:textId="77777777" w:rsidR="00295D8D" w:rsidRPr="00295D8D" w:rsidRDefault="00295D8D" w:rsidP="005C7DC1">
      <w:pPr>
        <w:numPr>
          <w:ilvl w:val="0"/>
          <w:numId w:val="3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Delivery or Transfer</w:t>
      </w:r>
      <w:r w:rsidRPr="00295D8D">
        <w:rPr>
          <w:rFonts w:ascii="Times New Roman" w:hAnsi="Times New Roman"/>
          <w:lang w:val="en-HK"/>
        </w:rPr>
        <w:t>:</w:t>
      </w:r>
    </w:p>
    <w:p w14:paraId="6A8ED47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delivery or transfer of goods or documents must occur under a new sale, pledge, or disposition.</w:t>
      </w:r>
    </w:p>
    <w:p w14:paraId="047A4DA7"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14AE1FE0">
          <v:rect id="_x0000_i1076" alt="" style="width:451.3pt;height:.05pt;mso-width-percent:0;mso-height-percent:0;mso-width-percent:0;mso-height-percent:0" o:hralign="center" o:hrstd="t" o:hr="t" fillcolor="#a0a0a0" stroked="f"/>
        </w:pict>
      </w:r>
    </w:p>
    <w:p w14:paraId="6301A069"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5.4. Case Law Examples</w:t>
      </w:r>
    </w:p>
    <w:p w14:paraId="5073C472" w14:textId="77777777" w:rsidR="00295D8D" w:rsidRPr="00295D8D" w:rsidRDefault="00295D8D" w:rsidP="005C7DC1">
      <w:pPr>
        <w:numPr>
          <w:ilvl w:val="0"/>
          <w:numId w:val="36"/>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Pacific Motor Auctions Ltd v Motor Credit (Hire Purchase) Ltd [1965] AC 867</w:t>
      </w:r>
      <w:r w:rsidRPr="00295D8D">
        <w:rPr>
          <w:rFonts w:ascii="Times New Roman" w:hAnsi="Times New Roman"/>
          <w:lang w:val="en-HK"/>
        </w:rPr>
        <w:t>:</w:t>
      </w:r>
    </w:p>
    <w:p w14:paraId="04441D4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Facts: A seller, retaining possession of vehicles after sale, transferred them to another purchaser. The court examined the requirement of continuous possession.</w:t>
      </w:r>
    </w:p>
    <w:p w14:paraId="442350A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Outcome: The court held that </w:t>
      </w:r>
      <w:r w:rsidRPr="00295D8D">
        <w:rPr>
          <w:rFonts w:ascii="Times New Roman" w:hAnsi="Times New Roman"/>
          <w:b/>
          <w:bCs/>
          <w:lang w:val="en-HK"/>
        </w:rPr>
        <w:t>physical continuity of possession</w:t>
      </w:r>
      <w:r w:rsidRPr="00295D8D">
        <w:rPr>
          <w:rFonts w:ascii="Times New Roman" w:hAnsi="Times New Roman"/>
          <w:lang w:val="en-HK"/>
        </w:rPr>
        <w:t xml:space="preserve"> by the seller is crucial for Section 24 to apply.</w:t>
      </w:r>
    </w:p>
    <w:p w14:paraId="19D920A9"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Significance: The case established that constructive delivery (e.g., symbolic acts like handing over keys) suffices to constitute delivery under the provision.</w:t>
      </w:r>
    </w:p>
    <w:p w14:paraId="39C6A3A6" w14:textId="77777777" w:rsidR="00295D8D" w:rsidRPr="00295D8D" w:rsidRDefault="00295D8D" w:rsidP="005C7DC1">
      <w:pPr>
        <w:numPr>
          <w:ilvl w:val="0"/>
          <w:numId w:val="36"/>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 xml:space="preserve">Worcester Works Finance Ltd v </w:t>
      </w:r>
      <w:proofErr w:type="spellStart"/>
      <w:r w:rsidRPr="00295D8D">
        <w:rPr>
          <w:rFonts w:ascii="Times New Roman" w:hAnsi="Times New Roman"/>
          <w:b/>
          <w:bCs/>
          <w:lang w:val="en-HK"/>
        </w:rPr>
        <w:t>Cooden</w:t>
      </w:r>
      <w:proofErr w:type="spellEnd"/>
      <w:r w:rsidRPr="00295D8D">
        <w:rPr>
          <w:rFonts w:ascii="Times New Roman" w:hAnsi="Times New Roman"/>
          <w:b/>
          <w:bCs/>
          <w:lang w:val="en-HK"/>
        </w:rPr>
        <w:t xml:space="preserve"> Engineering [1972] 1 QB 210</w:t>
      </w:r>
      <w:r w:rsidRPr="00295D8D">
        <w:rPr>
          <w:rFonts w:ascii="Times New Roman" w:hAnsi="Times New Roman"/>
          <w:lang w:val="en-HK"/>
        </w:rPr>
        <w:t>:</w:t>
      </w:r>
    </w:p>
    <w:p w14:paraId="1480F03F"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Facts: The seller retained possession of goods as a repairer after the initial sale, then resold the goods to a second purchaser.</w:t>
      </w:r>
    </w:p>
    <w:p w14:paraId="318D6BA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Outcome: The court upheld the second purchaser’s title, emphasizing that the seller’s capacity (e.g., as a repairer) did not affect the application of Section 24.</w:t>
      </w:r>
    </w:p>
    <w:p w14:paraId="19683D3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Implication: The section protects second purchasers even when the seller's possession is not directly related to the original sale, provided the possession remains continuous.</w:t>
      </w:r>
    </w:p>
    <w:p w14:paraId="4F0216E4" w14:textId="77777777" w:rsidR="00295D8D" w:rsidRPr="00295D8D" w:rsidRDefault="00295D8D" w:rsidP="005C7DC1">
      <w:pPr>
        <w:numPr>
          <w:ilvl w:val="0"/>
          <w:numId w:val="36"/>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Michael Gerson (Leasing) Ltd v Wilkinson [2000] 3 WLR 1645</w:t>
      </w:r>
      <w:r w:rsidRPr="00295D8D">
        <w:rPr>
          <w:rFonts w:ascii="Times New Roman" w:hAnsi="Times New Roman"/>
          <w:lang w:val="en-HK"/>
        </w:rPr>
        <w:t>:</w:t>
      </w:r>
    </w:p>
    <w:p w14:paraId="1E34F87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Outcome: The Court of Appeal ruled that delivery does not have to be physical; constructive delivery (e.g., assignment of rights to goods) can satisfy the requirements of Section 24.</w:t>
      </w:r>
    </w:p>
    <w:p w14:paraId="712D3D61"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CC193E2">
          <v:rect id="_x0000_i1075" alt="" style="width:451.3pt;height:.05pt;mso-width-percent:0;mso-height-percent:0;mso-width-percent:0;mso-height-percent:0" o:hralign="center" o:hrstd="t" o:hr="t" fillcolor="#a0a0a0" stroked="f"/>
        </w:pict>
      </w:r>
    </w:p>
    <w:p w14:paraId="6F98A301"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5.5. Critique of the Rule</w:t>
      </w:r>
    </w:p>
    <w:p w14:paraId="4DB24570" w14:textId="77777777" w:rsidR="00295D8D" w:rsidRPr="00295D8D" w:rsidRDefault="00295D8D" w:rsidP="005C7DC1">
      <w:pPr>
        <w:numPr>
          <w:ilvl w:val="0"/>
          <w:numId w:val="3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Complexity of Application</w:t>
      </w:r>
      <w:r w:rsidRPr="00295D8D">
        <w:rPr>
          <w:rFonts w:ascii="Times New Roman" w:hAnsi="Times New Roman"/>
          <w:lang w:val="en-HK"/>
        </w:rPr>
        <w:t>:</w:t>
      </w:r>
    </w:p>
    <w:p w14:paraId="4B1EBF11"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requirement for continuous possession creates uncertainty, particularly in cases where there is a break in possession. For example:</w:t>
      </w:r>
    </w:p>
    <w:p w14:paraId="7594BFCC"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If the buyer temporarily takes possession but later returns the goods to the seller, the rule’s applicability becomes unclear.</w:t>
      </w:r>
    </w:p>
    <w:p w14:paraId="668EE008"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Scholars critique this complexity as undermining the certainty and predictability of outcomes for innocent parties.</w:t>
      </w:r>
    </w:p>
    <w:p w14:paraId="1235748A" w14:textId="77777777" w:rsidR="00295D8D" w:rsidRPr="00295D8D" w:rsidRDefault="00295D8D" w:rsidP="005C7DC1">
      <w:pPr>
        <w:numPr>
          <w:ilvl w:val="0"/>
          <w:numId w:val="3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Technical Distinctions</w:t>
      </w:r>
      <w:r w:rsidRPr="00295D8D">
        <w:rPr>
          <w:rFonts w:ascii="Times New Roman" w:hAnsi="Times New Roman"/>
          <w:lang w:val="en-HK"/>
        </w:rPr>
        <w:t>:</w:t>
      </w:r>
    </w:p>
    <w:p w14:paraId="27C49F9C"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Section 24 applies only to </w:t>
      </w:r>
      <w:r w:rsidRPr="00295D8D">
        <w:rPr>
          <w:rFonts w:ascii="Times New Roman" w:hAnsi="Times New Roman"/>
          <w:b/>
          <w:bCs/>
          <w:lang w:val="en-HK"/>
        </w:rPr>
        <w:t>completed sales</w:t>
      </w:r>
      <w:r w:rsidRPr="00295D8D">
        <w:rPr>
          <w:rFonts w:ascii="Times New Roman" w:hAnsi="Times New Roman"/>
          <w:lang w:val="en-HK"/>
        </w:rPr>
        <w:t>, not to agreements to sell. This distinction disadvantages parties who rely on agreements but lack formal transfer of title.</w:t>
      </w:r>
    </w:p>
    <w:p w14:paraId="3D2BF678" w14:textId="77777777" w:rsidR="00295D8D" w:rsidRPr="00295D8D" w:rsidRDefault="00295D8D" w:rsidP="005C7DC1">
      <w:pPr>
        <w:numPr>
          <w:ilvl w:val="0"/>
          <w:numId w:val="3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Potential for Abuse</w:t>
      </w:r>
      <w:r w:rsidRPr="00295D8D">
        <w:rPr>
          <w:rFonts w:ascii="Times New Roman" w:hAnsi="Times New Roman"/>
          <w:lang w:val="en-HK"/>
        </w:rPr>
        <w:t>:</w:t>
      </w:r>
    </w:p>
    <w:p w14:paraId="5A9B286B" w14:textId="77777777" w:rsidR="00295D8D" w:rsidRPr="00295D8D" w:rsidRDefault="00295D8D" w:rsidP="005C7DC1">
      <w:pPr>
        <w:spacing w:before="100" w:beforeAutospacing="1" w:after="100" w:afterAutospacing="1" w:line="360" w:lineRule="auto"/>
        <w:rPr>
          <w:rFonts w:ascii="Times New Roman" w:hAnsi="Times New Roman"/>
          <w:u w:val="single"/>
          <w:lang w:val="en-HK"/>
        </w:rPr>
      </w:pPr>
      <w:r w:rsidRPr="00295D8D">
        <w:rPr>
          <w:rFonts w:ascii="Times New Roman" w:hAnsi="Times New Roman"/>
          <w:lang w:val="en-HK"/>
        </w:rPr>
        <w:t xml:space="preserve">Critics argue that </w:t>
      </w:r>
      <w:r w:rsidRPr="00295D8D">
        <w:rPr>
          <w:rFonts w:ascii="Times New Roman" w:hAnsi="Times New Roman"/>
          <w:u w:val="single"/>
          <w:lang w:val="en-HK"/>
        </w:rPr>
        <w:t>the rule can inadvertently protect fraudulent sellers who exploit their possession of goods to deceive multiple buyers.</w:t>
      </w:r>
    </w:p>
    <w:p w14:paraId="0D6A6E03"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lastRenderedPageBreak/>
        <w:pict w14:anchorId="428E6FD6">
          <v:rect id="_x0000_i1074" alt="" style="width:451.3pt;height:.05pt;mso-width-percent:0;mso-height-percent:0;mso-width-percent:0;mso-height-percent:0" o:hralign="center" o:hrstd="t" o:hr="t" fillcolor="#a0a0a0" stroked="f"/>
        </w:pict>
      </w:r>
    </w:p>
    <w:p w14:paraId="470B1419"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5.6. Broader Implications</w:t>
      </w:r>
    </w:p>
    <w:p w14:paraId="0F0EE6F7" w14:textId="77777777" w:rsidR="00295D8D" w:rsidRPr="00295D8D" w:rsidRDefault="00295D8D" w:rsidP="005C7DC1">
      <w:pPr>
        <w:numPr>
          <w:ilvl w:val="0"/>
          <w:numId w:val="38"/>
        </w:numPr>
        <w:spacing w:before="100" w:beforeAutospacing="1" w:after="100" w:afterAutospacing="1" w:line="360" w:lineRule="auto"/>
        <w:rPr>
          <w:rFonts w:ascii="Times New Roman" w:hAnsi="Times New Roman"/>
          <w:b/>
          <w:bCs/>
          <w:lang w:val="en-HK"/>
        </w:rPr>
      </w:pPr>
      <w:r w:rsidRPr="00295D8D">
        <w:rPr>
          <w:rFonts w:ascii="Times New Roman" w:hAnsi="Times New Roman"/>
          <w:lang w:val="en-HK"/>
        </w:rPr>
        <w:t xml:space="preserve">The rule reflects a tension between </w:t>
      </w:r>
      <w:r w:rsidRPr="00295D8D">
        <w:rPr>
          <w:rFonts w:ascii="Times New Roman" w:hAnsi="Times New Roman"/>
          <w:b/>
          <w:bCs/>
          <w:lang w:val="en-HK"/>
        </w:rPr>
        <w:t>protecting good-faith purchasers and maintaining the rights of original buyers.</w:t>
      </w:r>
    </w:p>
    <w:p w14:paraId="49BF4A14" w14:textId="77777777" w:rsidR="00295D8D" w:rsidRPr="00295D8D" w:rsidRDefault="00295D8D" w:rsidP="005C7DC1">
      <w:pPr>
        <w:numPr>
          <w:ilvl w:val="0"/>
          <w:numId w:val="38"/>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By prioritizing the apparent authority conferred by possession, the law attempts to strike a balance, though this often results in </w:t>
      </w:r>
      <w:r w:rsidRPr="00295D8D">
        <w:rPr>
          <w:rFonts w:ascii="Times New Roman" w:hAnsi="Times New Roman"/>
          <w:b/>
          <w:bCs/>
          <w:lang w:val="en-HK"/>
        </w:rPr>
        <w:t>technical and arbitrary outcomes</w:t>
      </w:r>
      <w:r w:rsidRPr="00295D8D">
        <w:rPr>
          <w:rFonts w:ascii="Times New Roman" w:hAnsi="Times New Roman"/>
          <w:lang w:val="en-HK"/>
        </w:rPr>
        <w:t>.</w:t>
      </w:r>
    </w:p>
    <w:p w14:paraId="4A89AB85"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E44EA5C">
          <v:rect id="_x0000_i1073" alt="" style="width:451.3pt;height:.05pt;mso-width-percent:0;mso-height-percent:0;mso-width-percent:0;mso-height-percent:0" o:hralign="center" o:hrstd="t" o:hr="t" fillcolor="#a0a0a0" stroked="f"/>
        </w:pict>
      </w:r>
    </w:p>
    <w:p w14:paraId="1E85E762"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5.7. Judicial Observations</w:t>
      </w:r>
    </w:p>
    <w:p w14:paraId="120A5AD1"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Lord Pearson (Pacific Motor Auctions)</w:t>
      </w:r>
      <w:r w:rsidRPr="00295D8D">
        <w:rPr>
          <w:rFonts w:ascii="Times New Roman" w:hAnsi="Times New Roman"/>
          <w:lang w:val="en-HK"/>
        </w:rPr>
        <w:t>: Emphasized that the purpose of Section 24 is to provide a practical solution for innocent purchasers deceived by sellers in possession. However, he acknowledged that its application requires a careful examination of factual circumstances to prevent unfairness.</w:t>
      </w:r>
    </w:p>
    <w:p w14:paraId="324AD0F4"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34F3719">
          <v:rect id="_x0000_i1072" alt="" style="width:451.3pt;height:.05pt;mso-width-percent:0;mso-height-percent:0;mso-width-percent:0;mso-height-percent:0" o:hralign="center" o:hrstd="t" o:hr="t" fillcolor="#a0a0a0" stroked="f"/>
        </w:pict>
      </w:r>
    </w:p>
    <w:p w14:paraId="7B3EEFFD"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5.8. Conclusion</w:t>
      </w:r>
    </w:p>
    <w:p w14:paraId="3889A476" w14:textId="77777777" w:rsidR="00295D8D" w:rsidRPr="00295D8D" w:rsidRDefault="00295D8D" w:rsidP="005C7DC1">
      <w:pPr>
        <w:numPr>
          <w:ilvl w:val="0"/>
          <w:numId w:val="40"/>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Section 24 provides an important exception to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principle, protecting innocent purchasers who rely on a seller's continued possession as evidence of authority to sell.</w:t>
      </w:r>
    </w:p>
    <w:p w14:paraId="13771DC2" w14:textId="77777777" w:rsidR="00295D8D" w:rsidRPr="00295D8D" w:rsidRDefault="00295D8D" w:rsidP="005C7DC1">
      <w:pPr>
        <w:numPr>
          <w:ilvl w:val="0"/>
          <w:numId w:val="40"/>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However, the </w:t>
      </w:r>
      <w:r w:rsidRPr="00295D8D">
        <w:rPr>
          <w:rFonts w:ascii="Times New Roman" w:hAnsi="Times New Roman"/>
          <w:b/>
          <w:bCs/>
          <w:lang w:val="en-HK"/>
        </w:rPr>
        <w:t>technical and inconsistent application</w:t>
      </w:r>
      <w:r w:rsidRPr="00295D8D">
        <w:rPr>
          <w:rFonts w:ascii="Times New Roman" w:hAnsi="Times New Roman"/>
          <w:lang w:val="en-HK"/>
        </w:rPr>
        <w:t xml:space="preserve"> of the rule often leads to unpredictable outcomes. The document highlights the need for clearer statutory guidance to reduce these complexities and ensure fairness in commercial transactions.</w:t>
      </w:r>
    </w:p>
    <w:p w14:paraId="11421925" w14:textId="2FCB6D65" w:rsidR="00DB1EC5" w:rsidRPr="005C7DC1" w:rsidRDefault="00D4652D" w:rsidP="005C7DC1">
      <w:pPr>
        <w:spacing w:before="100" w:beforeAutospacing="1" w:after="100" w:afterAutospacing="1" w:line="360" w:lineRule="auto"/>
        <w:outlineLvl w:val="2"/>
        <w:rPr>
          <w:rFonts w:ascii="Times New Roman" w:hAnsi="Times New Roman"/>
          <w:b/>
          <w:bCs/>
          <w:lang w:val="en-HK"/>
        </w:rPr>
      </w:pPr>
      <w:r w:rsidRPr="00D4652D">
        <w:rPr>
          <w:rFonts w:ascii="Times New Roman" w:hAnsi="Times New Roman"/>
          <w:noProof/>
          <w:lang w:val="en-HK"/>
          <w14:ligatures w14:val="standardContextual"/>
        </w:rPr>
        <w:pict w14:anchorId="5FB2737F">
          <v:rect id="_x0000_i1071" alt="" style="width:451.3pt;height:.05pt;mso-width-percent:0;mso-height-percent:0;mso-width-percent:0;mso-height-percent:0" o:hralign="center" o:hrstd="t" o:hr="t" fillcolor="#a0a0a0" stroked="f"/>
        </w:pict>
      </w:r>
    </w:p>
    <w:p w14:paraId="76C5C05C" w14:textId="5ED7A0D6" w:rsidR="00295D8D" w:rsidRPr="00295D8D" w:rsidRDefault="00295D8D" w:rsidP="005C7DC1">
      <w:pPr>
        <w:spacing w:before="100" w:beforeAutospacing="1" w:after="100" w:afterAutospacing="1" w:line="360" w:lineRule="auto"/>
        <w:outlineLvl w:val="2"/>
        <w:rPr>
          <w:rFonts w:ascii="Times New Roman" w:hAnsi="Times New Roman"/>
          <w:b/>
          <w:bCs/>
          <w:lang w:val="en-HK"/>
        </w:rPr>
      </w:pPr>
      <w:r w:rsidRPr="00295D8D">
        <w:rPr>
          <w:rFonts w:ascii="Times New Roman" w:hAnsi="Times New Roman"/>
          <w:b/>
          <w:bCs/>
          <w:lang w:val="en-HK"/>
        </w:rPr>
        <w:t>6. Buyer in Possession After Sale</w:t>
      </w:r>
    </w:p>
    <w:p w14:paraId="1B718D00"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6.1. Statutory Basis</w:t>
      </w:r>
    </w:p>
    <w:p w14:paraId="6E3AEAF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exception for buyers in possession is codified in </w:t>
      </w:r>
      <w:r w:rsidRPr="00295D8D">
        <w:rPr>
          <w:rFonts w:ascii="Times New Roman" w:hAnsi="Times New Roman"/>
          <w:b/>
          <w:bCs/>
          <w:lang w:val="en-HK"/>
        </w:rPr>
        <w:t>Section 25(1) of the Sale of Goods Act 1979</w:t>
      </w:r>
      <w:r w:rsidRPr="00295D8D">
        <w:rPr>
          <w:rFonts w:ascii="Times New Roman" w:hAnsi="Times New Roman"/>
          <w:lang w:val="en-HK"/>
        </w:rPr>
        <w:t>, which states:</w:t>
      </w:r>
    </w:p>
    <w:p w14:paraId="65555894"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lastRenderedPageBreak/>
        <w:t xml:space="preserve">"Where a person </w:t>
      </w:r>
      <w:r w:rsidRPr="00295D8D">
        <w:rPr>
          <w:rFonts w:ascii="Times New Roman" w:hAnsi="Times New Roman"/>
          <w:b/>
          <w:bCs/>
          <w:lang w:val="en-HK"/>
        </w:rPr>
        <w:t>having bought or agreed to buy goods obtains</w:t>
      </w:r>
      <w:r w:rsidRPr="00295D8D">
        <w:rPr>
          <w:rFonts w:ascii="Times New Roman" w:hAnsi="Times New Roman"/>
          <w:lang w:val="en-HK"/>
        </w:rPr>
        <w:t>, with the consent of the seller, possession of the goods or the documents of title to the goods, the delivery or transfer by that person, or by a mercantile agent acting for him, of the goods or documents of title, under any sale, pledge, or other disposition thereof, to any person receiving the same in good faith and without notice of any lien or other right of the original seller in respect of the goods, has the same effect as if the person making the delivery or transfer were a mercantile agent in possession of the goods or documents of title with the consent of the owner."</w:t>
      </w:r>
    </w:p>
    <w:p w14:paraId="163404DA"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D1F79BE">
          <v:rect id="_x0000_i1070" alt="" style="width:451.3pt;height:.05pt;mso-width-percent:0;mso-height-percent:0;mso-width-percent:0;mso-height-percent:0" o:hralign="center" o:hrstd="t" o:hr="t" fillcolor="#a0a0a0" stroked="f"/>
        </w:pict>
      </w:r>
    </w:p>
    <w:p w14:paraId="64AAE5ED"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6.2. Purpose of the Rule</w:t>
      </w:r>
    </w:p>
    <w:p w14:paraId="0B43A0EC" w14:textId="77777777" w:rsidR="00295D8D" w:rsidRPr="00295D8D" w:rsidRDefault="00295D8D" w:rsidP="005C7DC1">
      <w:pPr>
        <w:numPr>
          <w:ilvl w:val="0"/>
          <w:numId w:val="4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provision addresses situations where a buyer, who has not yet obtained full ownership of goods, is in possession of them or their documents of title and purports to transfer ownership to a third party.</w:t>
      </w:r>
    </w:p>
    <w:p w14:paraId="3C813FD2" w14:textId="77777777" w:rsidR="00295D8D" w:rsidRPr="00295D8D" w:rsidRDefault="00295D8D" w:rsidP="005C7DC1">
      <w:pPr>
        <w:numPr>
          <w:ilvl w:val="0"/>
          <w:numId w:val="4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rule protects the </w:t>
      </w:r>
      <w:r w:rsidRPr="00295D8D">
        <w:rPr>
          <w:rFonts w:ascii="Times New Roman" w:hAnsi="Times New Roman"/>
          <w:b/>
          <w:bCs/>
          <w:lang w:val="en-HK"/>
        </w:rPr>
        <w:t>good-faith third party</w:t>
      </w:r>
      <w:r w:rsidRPr="00295D8D">
        <w:rPr>
          <w:rFonts w:ascii="Times New Roman" w:hAnsi="Times New Roman"/>
          <w:lang w:val="en-HK"/>
        </w:rPr>
        <w:t xml:space="preserve"> by allowing them to acquire valid title, even if the original seller has retained ownership.</w:t>
      </w:r>
    </w:p>
    <w:p w14:paraId="457A3D12"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DBABFB9">
          <v:rect id="_x0000_i1069" alt="" style="width:451.3pt;height:.05pt;mso-width-percent:0;mso-height-percent:0;mso-width-percent:0;mso-height-percent:0" o:hralign="center" o:hrstd="t" o:hr="t" fillcolor="#a0a0a0" stroked="f"/>
        </w:pict>
      </w:r>
    </w:p>
    <w:p w14:paraId="7D85B6F3"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6.3. Key Elements</w:t>
      </w:r>
    </w:p>
    <w:p w14:paraId="0DC87933" w14:textId="77777777" w:rsidR="00295D8D" w:rsidRPr="00295D8D" w:rsidRDefault="00295D8D" w:rsidP="005C7DC1">
      <w:pPr>
        <w:numPr>
          <w:ilvl w:val="0"/>
          <w:numId w:val="4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Possession by the Buyer</w:t>
      </w:r>
      <w:r w:rsidRPr="00295D8D">
        <w:rPr>
          <w:rFonts w:ascii="Times New Roman" w:hAnsi="Times New Roman"/>
          <w:lang w:val="en-HK"/>
        </w:rPr>
        <w:t>:</w:t>
      </w:r>
    </w:p>
    <w:p w14:paraId="5EDE42D0"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buyer must have obtained possession of the goods or documents with the </w:t>
      </w:r>
      <w:r w:rsidRPr="00295D8D">
        <w:rPr>
          <w:rFonts w:ascii="Times New Roman" w:hAnsi="Times New Roman"/>
          <w:b/>
          <w:bCs/>
          <w:lang w:val="en-HK"/>
        </w:rPr>
        <w:t>seller’s consent</w:t>
      </w:r>
      <w:r w:rsidRPr="00295D8D">
        <w:rPr>
          <w:rFonts w:ascii="Times New Roman" w:hAnsi="Times New Roman"/>
          <w:lang w:val="en-HK"/>
        </w:rPr>
        <w:t>, even if ownership has not passed.</w:t>
      </w:r>
    </w:p>
    <w:p w14:paraId="0FB602A0" w14:textId="77777777" w:rsidR="00295D8D" w:rsidRPr="00295D8D" w:rsidRDefault="00295D8D" w:rsidP="005C7DC1">
      <w:pPr>
        <w:numPr>
          <w:ilvl w:val="0"/>
          <w:numId w:val="4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Good Faith and Without Notice</w:t>
      </w:r>
      <w:r w:rsidRPr="00295D8D">
        <w:rPr>
          <w:rFonts w:ascii="Times New Roman" w:hAnsi="Times New Roman"/>
          <w:lang w:val="en-HK"/>
        </w:rPr>
        <w:t>:</w:t>
      </w:r>
    </w:p>
    <w:p w14:paraId="548F7E8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third party receiving the goods must act in </w:t>
      </w:r>
      <w:r w:rsidRPr="00295D8D">
        <w:rPr>
          <w:rFonts w:ascii="Times New Roman" w:hAnsi="Times New Roman"/>
          <w:b/>
          <w:bCs/>
          <w:lang w:val="en-HK"/>
        </w:rPr>
        <w:t>good faith</w:t>
      </w:r>
      <w:r w:rsidRPr="00295D8D">
        <w:rPr>
          <w:rFonts w:ascii="Times New Roman" w:hAnsi="Times New Roman"/>
          <w:lang w:val="en-HK"/>
        </w:rPr>
        <w:t xml:space="preserve"> and without notice of the seller’s retained ownership or any other lien.</w:t>
      </w:r>
    </w:p>
    <w:p w14:paraId="1FF5E90C" w14:textId="77777777" w:rsidR="00295D8D" w:rsidRPr="00295D8D" w:rsidRDefault="00295D8D" w:rsidP="005C7DC1">
      <w:pPr>
        <w:numPr>
          <w:ilvl w:val="0"/>
          <w:numId w:val="4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Delivery or Transfer by the Buyer</w:t>
      </w:r>
      <w:r w:rsidRPr="00295D8D">
        <w:rPr>
          <w:rFonts w:ascii="Times New Roman" w:hAnsi="Times New Roman"/>
          <w:lang w:val="en-HK"/>
        </w:rPr>
        <w:t>:</w:t>
      </w:r>
    </w:p>
    <w:p w14:paraId="37FA295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buyer in possession must deliver or transfer the goods or documents under a sale, pledge, or other disposition.</w:t>
      </w:r>
    </w:p>
    <w:p w14:paraId="13106FA8"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lastRenderedPageBreak/>
        <w:pict w14:anchorId="06559AEF">
          <v:rect id="_x0000_i1068" alt="" style="width:451.3pt;height:.05pt;mso-width-percent:0;mso-height-percent:0;mso-width-percent:0;mso-height-percent:0" o:hralign="center" o:hrstd="t" o:hr="t" fillcolor="#a0a0a0" stroked="f"/>
        </w:pict>
      </w:r>
    </w:p>
    <w:p w14:paraId="78984855"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6.4. Scope and Application</w:t>
      </w:r>
    </w:p>
    <w:p w14:paraId="051BEFF3" w14:textId="77777777" w:rsidR="00295D8D" w:rsidRPr="00295D8D" w:rsidRDefault="00295D8D" w:rsidP="005C7DC1">
      <w:pPr>
        <w:numPr>
          <w:ilvl w:val="0"/>
          <w:numId w:val="44"/>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Conditional Sales and Hire Purchase Agreements</w:t>
      </w:r>
      <w:r w:rsidRPr="00295D8D">
        <w:rPr>
          <w:rFonts w:ascii="Times New Roman" w:hAnsi="Times New Roman"/>
          <w:lang w:val="en-HK"/>
        </w:rPr>
        <w:t>:</w:t>
      </w:r>
    </w:p>
    <w:p w14:paraId="1BD0F58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section does not apply to buyers under hire purchase or conditional sale agreements. Such scenarios are governed by separate provisions (e.g., Part III of the Hire Purchase Act 1964).</w:t>
      </w:r>
    </w:p>
    <w:p w14:paraId="3A68E582" w14:textId="77777777" w:rsidR="00295D8D" w:rsidRPr="00295D8D" w:rsidRDefault="00295D8D" w:rsidP="005C7DC1">
      <w:pPr>
        <w:numPr>
          <w:ilvl w:val="0"/>
          <w:numId w:val="44"/>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Consent of the Seller</w:t>
      </w:r>
      <w:r w:rsidRPr="00295D8D">
        <w:rPr>
          <w:rFonts w:ascii="Times New Roman" w:hAnsi="Times New Roman"/>
          <w:lang w:val="en-HK"/>
        </w:rPr>
        <w:t>:</w:t>
      </w:r>
    </w:p>
    <w:p w14:paraId="65398A69"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Consent is presumed unless proven otherwise. The burden of proof lies with the original seller to demonstrate a lack of consent.</w:t>
      </w:r>
    </w:p>
    <w:p w14:paraId="6B7FC458"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A valid sale or agreement to sell is required to invoke this exception. The section does not apply where goods are obtained without any agreement to buy.</w:t>
      </w:r>
    </w:p>
    <w:p w14:paraId="1F9C5AE2"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F39C939">
          <v:rect id="_x0000_i1067" alt="" style="width:451.3pt;height:.05pt;mso-width-percent:0;mso-height-percent:0;mso-width-percent:0;mso-height-percent:0" o:hralign="center" o:hrstd="t" o:hr="t" fillcolor="#a0a0a0" stroked="f"/>
        </w:pict>
      </w:r>
    </w:p>
    <w:p w14:paraId="4C574DC4"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6.5. Case Law Examples</w:t>
      </w:r>
    </w:p>
    <w:p w14:paraId="4C4F44D9" w14:textId="77777777" w:rsidR="00295D8D" w:rsidRPr="00295D8D" w:rsidRDefault="00295D8D" w:rsidP="005C7DC1">
      <w:pPr>
        <w:numPr>
          <w:ilvl w:val="0"/>
          <w:numId w:val="4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Newtons of Wembley Ltd v Williams [1965] 1 QB 560</w:t>
      </w:r>
      <w:r w:rsidRPr="00295D8D">
        <w:rPr>
          <w:rFonts w:ascii="Times New Roman" w:hAnsi="Times New Roman"/>
          <w:lang w:val="en-HK"/>
        </w:rPr>
        <w:t>:</w:t>
      </w:r>
    </w:p>
    <w:p w14:paraId="1811213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Facts:</w:t>
      </w:r>
    </w:p>
    <w:p w14:paraId="6433C911"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A car dealer sold a vehicle to a buyer who obtained possession but not ownership. The buyer then sold the car to a third party in good faith before paying for the vehicle in full.</w:t>
      </w:r>
    </w:p>
    <w:p w14:paraId="31B570B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Outcome:</w:t>
      </w:r>
    </w:p>
    <w:p w14:paraId="18B1C04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court held that the third party acquired good title under Section 25, as the buyer had possession of the goods with the seller’s consent.</w:t>
      </w:r>
    </w:p>
    <w:p w14:paraId="762AF6B4"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Significance:</w:t>
      </w:r>
    </w:p>
    <w:p w14:paraId="6947421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case highlights the protective intent of Section 25, prioritizing the interests of good-faith third parties over the original seller.</w:t>
      </w:r>
    </w:p>
    <w:p w14:paraId="6DBF3901" w14:textId="77777777" w:rsidR="00295D8D" w:rsidRPr="00295D8D" w:rsidRDefault="00295D8D" w:rsidP="005C7DC1">
      <w:pPr>
        <w:numPr>
          <w:ilvl w:val="0"/>
          <w:numId w:val="4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lastRenderedPageBreak/>
        <w:t>Shaw v Commissioner of Police of the Metropolis [1987] 3 All ER 405</w:t>
      </w:r>
      <w:r w:rsidRPr="00295D8D">
        <w:rPr>
          <w:rFonts w:ascii="Times New Roman" w:hAnsi="Times New Roman"/>
          <w:lang w:val="en-HK"/>
        </w:rPr>
        <w:t>:</w:t>
      </w:r>
    </w:p>
    <w:p w14:paraId="5BFAD499"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Facts:</w:t>
      </w:r>
    </w:p>
    <w:p w14:paraId="40BAC760"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buyer of a car fraudulently obtained possession but did not pay. The car was subsequently sold to a third party.</w:t>
      </w:r>
    </w:p>
    <w:p w14:paraId="587F86E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Outcome:</w:t>
      </w:r>
    </w:p>
    <w:p w14:paraId="2F66AA94" w14:textId="77777777" w:rsidR="00295D8D" w:rsidRPr="00295D8D" w:rsidRDefault="00295D8D" w:rsidP="005C7DC1">
      <w:pPr>
        <w:spacing w:before="100" w:beforeAutospacing="1" w:after="100" w:afterAutospacing="1" w:line="360" w:lineRule="auto"/>
        <w:rPr>
          <w:rFonts w:ascii="Times New Roman" w:hAnsi="Times New Roman"/>
          <w:b/>
          <w:bCs/>
          <w:lang w:val="en-HK"/>
        </w:rPr>
      </w:pPr>
      <w:r w:rsidRPr="00295D8D">
        <w:rPr>
          <w:rFonts w:ascii="Times New Roman" w:hAnsi="Times New Roman"/>
          <w:lang w:val="en-HK"/>
        </w:rPr>
        <w:t xml:space="preserve">The court ruled that the exception did not apply because the </w:t>
      </w:r>
      <w:r w:rsidRPr="00295D8D">
        <w:rPr>
          <w:rFonts w:ascii="Times New Roman" w:hAnsi="Times New Roman"/>
          <w:b/>
          <w:bCs/>
          <w:lang w:val="en-HK"/>
        </w:rPr>
        <w:t>original seller had not given consent for the buyer’s possession.</w:t>
      </w:r>
    </w:p>
    <w:p w14:paraId="10AAA9C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Significance:</w:t>
      </w:r>
    </w:p>
    <w:p w14:paraId="7E3F67F1"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case illustrates the centrality of seller consent in determining the applicability of Section 25.</w:t>
      </w:r>
    </w:p>
    <w:p w14:paraId="61837B0A" w14:textId="77777777" w:rsidR="00295D8D" w:rsidRPr="00295D8D" w:rsidRDefault="00295D8D" w:rsidP="005C7DC1">
      <w:pPr>
        <w:numPr>
          <w:ilvl w:val="0"/>
          <w:numId w:val="4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National Employers' Mutual General Insurance Association Ltd v Jones [1987] 3 WLR 901</w:t>
      </w:r>
      <w:r w:rsidRPr="00295D8D">
        <w:rPr>
          <w:rFonts w:ascii="Times New Roman" w:hAnsi="Times New Roman"/>
          <w:lang w:val="en-HK"/>
        </w:rPr>
        <w:t>:</w:t>
      </w:r>
    </w:p>
    <w:p w14:paraId="0C141D7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Facts:</w:t>
      </w:r>
    </w:p>
    <w:p w14:paraId="7ABAB76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buyer obtained possession of goods under an agreement but later defaulted and sold the goods to a third party.</w:t>
      </w:r>
    </w:p>
    <w:p w14:paraId="681B5A4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Outcome:</w:t>
      </w:r>
    </w:p>
    <w:p w14:paraId="7C62A6CF"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court confirmed that Section 25 protects the third party, provided they acted in good faith and without notice.</w:t>
      </w:r>
    </w:p>
    <w:p w14:paraId="6FA657A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Significance:</w:t>
      </w:r>
    </w:p>
    <w:p w14:paraId="5B7E40B8"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decision reinforces the role of Section 25 in facilitating fair commercial transactions.</w:t>
      </w:r>
    </w:p>
    <w:p w14:paraId="1585A797"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B436C9F">
          <v:rect id="_x0000_i1066" alt="" style="width:451.3pt;height:.05pt;mso-width-percent:0;mso-height-percent:0;mso-width-percent:0;mso-height-percent:0" o:hralign="center" o:hrstd="t" o:hr="t" fillcolor="#a0a0a0" stroked="f"/>
        </w:pict>
      </w:r>
    </w:p>
    <w:p w14:paraId="437B100A"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6.6. Judicial Observations</w:t>
      </w:r>
    </w:p>
    <w:p w14:paraId="632334B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Courts have noted the </w:t>
      </w:r>
      <w:r w:rsidRPr="00295D8D">
        <w:rPr>
          <w:rFonts w:ascii="Times New Roman" w:hAnsi="Times New Roman"/>
          <w:b/>
          <w:bCs/>
          <w:lang w:val="en-HK"/>
        </w:rPr>
        <w:t>balance of fairness</w:t>
      </w:r>
      <w:r w:rsidRPr="00295D8D">
        <w:rPr>
          <w:rFonts w:ascii="Times New Roman" w:hAnsi="Times New Roman"/>
          <w:lang w:val="en-HK"/>
        </w:rPr>
        <w:t xml:space="preserve"> in this provision:</w:t>
      </w:r>
    </w:p>
    <w:p w14:paraId="58AA053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lastRenderedPageBreak/>
        <w:t>Lord Devlin (Newtons of Wembley)</w:t>
      </w:r>
      <w:r w:rsidRPr="00295D8D">
        <w:rPr>
          <w:rFonts w:ascii="Times New Roman" w:hAnsi="Times New Roman"/>
          <w:lang w:val="en-HK"/>
        </w:rPr>
        <w:t>: Highlighted that sellers who voluntarily relinquish possession of goods assume a risk that buyers may sell to innocent third parties.</w:t>
      </w:r>
    </w:p>
    <w:p w14:paraId="0D977D7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burden is placed on the seller to either withhold possession until ownership is transferred or bear the consequences of subsequent transfers by the buyer.</w:t>
      </w:r>
    </w:p>
    <w:p w14:paraId="07B59162"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4067545">
          <v:rect id="_x0000_i1065" alt="" style="width:451.3pt;height:.05pt;mso-width-percent:0;mso-height-percent:0;mso-width-percent:0;mso-height-percent:0" o:hralign="center" o:hrstd="t" o:hr="t" fillcolor="#a0a0a0" stroked="f"/>
        </w:pict>
      </w:r>
    </w:p>
    <w:p w14:paraId="5B970AD5"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6.7. Critique of the Rule</w:t>
      </w:r>
    </w:p>
    <w:p w14:paraId="4C8769FD" w14:textId="77777777" w:rsidR="00295D8D" w:rsidRPr="00295D8D" w:rsidRDefault="00295D8D" w:rsidP="005C7DC1">
      <w:pPr>
        <w:numPr>
          <w:ilvl w:val="0"/>
          <w:numId w:val="4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Potential for Unfairness</w:t>
      </w:r>
      <w:r w:rsidRPr="00295D8D">
        <w:rPr>
          <w:rFonts w:ascii="Times New Roman" w:hAnsi="Times New Roman"/>
          <w:lang w:val="en-HK"/>
        </w:rPr>
        <w:t>:</w:t>
      </w:r>
    </w:p>
    <w:p w14:paraId="01F9FC3C"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presumption of consent may disadvantage sellers, particularly when buyers act fraudulently. Proving a lack of consent can be challenging for original sellers, leading to unintended losses.</w:t>
      </w:r>
    </w:p>
    <w:p w14:paraId="6E4E3DCB" w14:textId="77777777" w:rsidR="00295D8D" w:rsidRPr="00295D8D" w:rsidRDefault="00295D8D" w:rsidP="005C7DC1">
      <w:pPr>
        <w:numPr>
          <w:ilvl w:val="0"/>
          <w:numId w:val="4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Scope of Application</w:t>
      </w:r>
      <w:r w:rsidRPr="00295D8D">
        <w:rPr>
          <w:rFonts w:ascii="Times New Roman" w:hAnsi="Times New Roman"/>
          <w:lang w:val="en-HK"/>
        </w:rPr>
        <w:t>:</w:t>
      </w:r>
    </w:p>
    <w:p w14:paraId="4AA5973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rule applies even in cases where the buyer acts fraudulently, as long as the buyer initially obtained possession with the seller's consent.</w:t>
      </w:r>
    </w:p>
    <w:p w14:paraId="4DA6531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Critics argue that the provision places an </w:t>
      </w:r>
      <w:r w:rsidRPr="00295D8D">
        <w:rPr>
          <w:rFonts w:ascii="Times New Roman" w:hAnsi="Times New Roman"/>
          <w:b/>
          <w:bCs/>
          <w:lang w:val="en-HK"/>
        </w:rPr>
        <w:t>undue burden on sellers</w:t>
      </w:r>
      <w:r w:rsidRPr="00295D8D">
        <w:rPr>
          <w:rFonts w:ascii="Times New Roman" w:hAnsi="Times New Roman"/>
          <w:lang w:val="en-HK"/>
        </w:rPr>
        <w:t xml:space="preserve"> to monitor buyers’ actions.</w:t>
      </w:r>
    </w:p>
    <w:p w14:paraId="00CDC7B0" w14:textId="77777777" w:rsidR="00295D8D" w:rsidRPr="00295D8D" w:rsidRDefault="00295D8D" w:rsidP="005C7DC1">
      <w:pPr>
        <w:numPr>
          <w:ilvl w:val="0"/>
          <w:numId w:val="4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Technical Complexity</w:t>
      </w:r>
      <w:r w:rsidRPr="00295D8D">
        <w:rPr>
          <w:rFonts w:ascii="Times New Roman" w:hAnsi="Times New Roman"/>
          <w:lang w:val="en-HK"/>
        </w:rPr>
        <w:t>:</w:t>
      </w:r>
    </w:p>
    <w:p w14:paraId="71725EDC"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technical requirements of good faith, absence of notice, and the role of mercantile agents often lead to inconsistent interpretations by courts.</w:t>
      </w:r>
    </w:p>
    <w:p w14:paraId="4BAE1968"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531DD5BD">
          <v:rect id="_x0000_i1064" alt="" style="width:451.3pt;height:.05pt;mso-width-percent:0;mso-height-percent:0;mso-width-percent:0;mso-height-percent:0" o:hralign="center" o:hrstd="t" o:hr="t" fillcolor="#a0a0a0" stroked="f"/>
        </w:pict>
      </w:r>
    </w:p>
    <w:p w14:paraId="711176FB"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6.8. Broader Implications</w:t>
      </w:r>
    </w:p>
    <w:p w14:paraId="460E70F9"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Fairness vs. Security of Transactions</w:t>
      </w:r>
      <w:r w:rsidRPr="00295D8D">
        <w:rPr>
          <w:rFonts w:ascii="Times New Roman" w:hAnsi="Times New Roman"/>
          <w:lang w:val="en-HK"/>
        </w:rPr>
        <w:t>:</w:t>
      </w:r>
    </w:p>
    <w:p w14:paraId="3310C89D" w14:textId="77777777" w:rsidR="00295D8D" w:rsidRPr="00295D8D" w:rsidRDefault="00295D8D" w:rsidP="005C7DC1">
      <w:pPr>
        <w:numPr>
          <w:ilvl w:val="1"/>
          <w:numId w:val="8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provision reflects an effort to strike a balance between the fairness owed to good-faith purchasers and the need to secure original sellers’ rights.</w:t>
      </w:r>
    </w:p>
    <w:p w14:paraId="25ED05CE" w14:textId="77777777" w:rsidR="00295D8D" w:rsidRPr="00295D8D" w:rsidRDefault="00295D8D" w:rsidP="005C7DC1">
      <w:pPr>
        <w:numPr>
          <w:ilvl w:val="1"/>
          <w:numId w:val="8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 xml:space="preserve">However, the document critiques the rule’s </w:t>
      </w:r>
      <w:r w:rsidRPr="00295D8D">
        <w:rPr>
          <w:rFonts w:ascii="Times New Roman" w:hAnsi="Times New Roman"/>
          <w:b/>
          <w:bCs/>
          <w:lang w:val="en-HK"/>
        </w:rPr>
        <w:t>complex and technical nature</w:t>
      </w:r>
      <w:r w:rsidRPr="00295D8D">
        <w:rPr>
          <w:rFonts w:ascii="Times New Roman" w:hAnsi="Times New Roman"/>
          <w:lang w:val="en-HK"/>
        </w:rPr>
        <w:t>, which often leads to unpredictable outcomes.</w:t>
      </w:r>
    </w:p>
    <w:p w14:paraId="1104705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Judicial Flexibility</w:t>
      </w:r>
      <w:r w:rsidRPr="00295D8D">
        <w:rPr>
          <w:rFonts w:ascii="Times New Roman" w:hAnsi="Times New Roman"/>
          <w:lang w:val="en-HK"/>
        </w:rPr>
        <w:t>:</w:t>
      </w:r>
    </w:p>
    <w:p w14:paraId="7256EF3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While the courts have generally applied Section 25 to protect innocent purchasers, the narrow interpretation of seller consent in cases like </w:t>
      </w:r>
      <w:r w:rsidRPr="00295D8D">
        <w:rPr>
          <w:rFonts w:ascii="Times New Roman" w:hAnsi="Times New Roman"/>
          <w:b/>
          <w:bCs/>
          <w:lang w:val="en-HK"/>
        </w:rPr>
        <w:t>Shaw</w:t>
      </w:r>
      <w:r w:rsidRPr="00295D8D">
        <w:rPr>
          <w:rFonts w:ascii="Times New Roman" w:hAnsi="Times New Roman"/>
          <w:lang w:val="en-HK"/>
        </w:rPr>
        <w:t xml:space="preserve"> highlights the limitations of the provision.</w:t>
      </w:r>
    </w:p>
    <w:p w14:paraId="0C248FAA"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10E4412">
          <v:rect id="_x0000_i1063" alt="" style="width:451.3pt;height:.05pt;mso-width-percent:0;mso-height-percent:0;mso-width-percent:0;mso-height-percent:0" o:hralign="center" o:hrstd="t" o:hr="t" fillcolor="#a0a0a0" stroked="f"/>
        </w:pict>
      </w:r>
    </w:p>
    <w:p w14:paraId="71A82F84"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6.9. Conclusion</w:t>
      </w:r>
    </w:p>
    <w:p w14:paraId="5C33D516" w14:textId="77777777" w:rsidR="00295D8D" w:rsidRPr="00295D8D" w:rsidRDefault="00295D8D" w:rsidP="005C7DC1">
      <w:pPr>
        <w:numPr>
          <w:ilvl w:val="0"/>
          <w:numId w:val="49"/>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Section 25 of the Sale of Goods Act 1979 provides an essential exception to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facilitating the transfer of good title to third parties who purchase goods from buyers in possession.</w:t>
      </w:r>
    </w:p>
    <w:p w14:paraId="4B8289AE" w14:textId="77777777" w:rsidR="00295D8D" w:rsidRPr="00295D8D" w:rsidRDefault="00295D8D" w:rsidP="005C7DC1">
      <w:pPr>
        <w:numPr>
          <w:ilvl w:val="0"/>
          <w:numId w:val="49"/>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However, the rule’s reliance on technicalities, such as the definition of consent and the buyer’s good faith, often results in </w:t>
      </w:r>
      <w:r w:rsidRPr="00295D8D">
        <w:rPr>
          <w:rFonts w:ascii="Times New Roman" w:hAnsi="Times New Roman"/>
          <w:b/>
          <w:bCs/>
          <w:lang w:val="en-HK"/>
        </w:rPr>
        <w:t>arbitrary and inconsistent outcomes</w:t>
      </w:r>
      <w:r w:rsidRPr="00295D8D">
        <w:rPr>
          <w:rFonts w:ascii="Times New Roman" w:hAnsi="Times New Roman"/>
          <w:lang w:val="en-HK"/>
        </w:rPr>
        <w:t>.</w:t>
      </w:r>
    </w:p>
    <w:p w14:paraId="69E8A622" w14:textId="77777777" w:rsidR="00295D8D" w:rsidRPr="00295D8D" w:rsidRDefault="00295D8D" w:rsidP="005C7DC1">
      <w:pPr>
        <w:numPr>
          <w:ilvl w:val="0"/>
          <w:numId w:val="49"/>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suggests that clearer legislative guidance and a </w:t>
      </w:r>
      <w:r w:rsidRPr="00295D8D">
        <w:rPr>
          <w:rFonts w:ascii="Times New Roman" w:hAnsi="Times New Roman"/>
          <w:b/>
          <w:bCs/>
          <w:lang w:val="en-HK"/>
        </w:rPr>
        <w:t>more equitable approach</w:t>
      </w:r>
      <w:r w:rsidRPr="00295D8D">
        <w:rPr>
          <w:rFonts w:ascii="Times New Roman" w:hAnsi="Times New Roman"/>
          <w:lang w:val="en-HK"/>
        </w:rPr>
        <w:t xml:space="preserve"> are necessary to reduce disputes and ensure fairness for all parties involved.</w:t>
      </w:r>
    </w:p>
    <w:p w14:paraId="1D3A62F6"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59067E8">
          <v:rect id="_x0000_i1062" alt="" style="width:451.3pt;height:.05pt;mso-width-percent:0;mso-height-percent:0;mso-width-percent:0;mso-height-percent:0" o:hralign="center" o:hrstd="t" o:hr="t" fillcolor="#a0a0a0" stroked="f"/>
        </w:pict>
      </w:r>
    </w:p>
    <w:p w14:paraId="5B1DADB1" w14:textId="77777777" w:rsidR="00295D8D" w:rsidRPr="00295D8D" w:rsidRDefault="00295D8D" w:rsidP="005C7DC1">
      <w:pPr>
        <w:spacing w:before="100" w:beforeAutospacing="1" w:after="100" w:afterAutospacing="1" w:line="360" w:lineRule="auto"/>
        <w:outlineLvl w:val="2"/>
        <w:rPr>
          <w:rFonts w:ascii="Times New Roman" w:hAnsi="Times New Roman"/>
          <w:b/>
          <w:bCs/>
          <w:lang w:val="en-HK"/>
        </w:rPr>
      </w:pPr>
      <w:r w:rsidRPr="00295D8D">
        <w:rPr>
          <w:rFonts w:ascii="Times New Roman" w:hAnsi="Times New Roman"/>
          <w:b/>
          <w:bCs/>
          <w:lang w:val="en-HK"/>
        </w:rPr>
        <w:t>7. Part III Hire Purchase Act 1964</w:t>
      </w:r>
    </w:p>
    <w:p w14:paraId="1C9D3865"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7.1. Statutory Framework</w:t>
      </w:r>
    </w:p>
    <w:p w14:paraId="56892D0B" w14:textId="77777777" w:rsidR="00295D8D" w:rsidRPr="00295D8D" w:rsidRDefault="00295D8D" w:rsidP="005C7DC1">
      <w:pPr>
        <w:numPr>
          <w:ilvl w:val="0"/>
          <w:numId w:val="5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Part III of the Hire Purchase Act 1964</w:t>
      </w:r>
      <w:r w:rsidRPr="00295D8D">
        <w:rPr>
          <w:rFonts w:ascii="Times New Roman" w:hAnsi="Times New Roman"/>
          <w:lang w:val="en-HK"/>
        </w:rPr>
        <w:t xml:space="preserve"> introduces </w:t>
      </w:r>
      <w:r w:rsidRPr="00295D8D">
        <w:rPr>
          <w:rFonts w:ascii="Times New Roman" w:hAnsi="Times New Roman"/>
          <w:b/>
          <w:bCs/>
          <w:lang w:val="en-HK"/>
        </w:rPr>
        <w:t xml:space="preserve">an exception to the nemo </w:t>
      </w:r>
      <w:proofErr w:type="spellStart"/>
      <w:r w:rsidRPr="00295D8D">
        <w:rPr>
          <w:rFonts w:ascii="Times New Roman" w:hAnsi="Times New Roman"/>
          <w:b/>
          <w:bCs/>
          <w:lang w:val="en-HK"/>
        </w:rPr>
        <w:t>dat</w:t>
      </w:r>
      <w:proofErr w:type="spellEnd"/>
      <w:r w:rsidRPr="00295D8D">
        <w:rPr>
          <w:rFonts w:ascii="Times New Roman" w:hAnsi="Times New Roman"/>
          <w:b/>
          <w:bCs/>
          <w:lang w:val="en-HK"/>
        </w:rPr>
        <w:t xml:space="preserve"> rule</w:t>
      </w:r>
      <w:r w:rsidRPr="00295D8D">
        <w:rPr>
          <w:rFonts w:ascii="Times New Roman" w:hAnsi="Times New Roman"/>
          <w:lang w:val="en-HK"/>
        </w:rPr>
        <w:t xml:space="preserve"> for motor vehicles </w:t>
      </w:r>
      <w:r w:rsidRPr="00295D8D">
        <w:rPr>
          <w:rFonts w:ascii="Times New Roman" w:hAnsi="Times New Roman"/>
          <w:b/>
          <w:bCs/>
          <w:color w:val="FF0000"/>
          <w:lang w:val="en-HK"/>
        </w:rPr>
        <w:t>acquired under hire purchase or conditional sale agreements</w:t>
      </w:r>
      <w:r w:rsidRPr="00295D8D">
        <w:rPr>
          <w:rFonts w:ascii="Times New Roman" w:hAnsi="Times New Roman"/>
          <w:lang w:val="en-HK"/>
        </w:rPr>
        <w:t>.</w:t>
      </w:r>
    </w:p>
    <w:p w14:paraId="6791DB3B" w14:textId="77777777" w:rsidR="00295D8D" w:rsidRPr="00295D8D" w:rsidRDefault="00295D8D" w:rsidP="005C7DC1">
      <w:pPr>
        <w:numPr>
          <w:ilvl w:val="0"/>
          <w:numId w:val="5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Section 27</w:t>
      </w:r>
      <w:r w:rsidRPr="00295D8D">
        <w:rPr>
          <w:rFonts w:ascii="Times New Roman" w:hAnsi="Times New Roman"/>
          <w:lang w:val="en-HK"/>
        </w:rPr>
        <w:t xml:space="preserve"> of the Act provides that an innocent private purchaser of a motor vehicle, acting in </w:t>
      </w:r>
      <w:r w:rsidRPr="00295D8D">
        <w:rPr>
          <w:rFonts w:ascii="Times New Roman" w:hAnsi="Times New Roman"/>
          <w:b/>
          <w:bCs/>
          <w:lang w:val="en-HK"/>
        </w:rPr>
        <w:t>good faith</w:t>
      </w:r>
      <w:r w:rsidRPr="00295D8D">
        <w:rPr>
          <w:rFonts w:ascii="Times New Roman" w:hAnsi="Times New Roman"/>
          <w:lang w:val="en-HK"/>
        </w:rPr>
        <w:t xml:space="preserve"> and without </w:t>
      </w:r>
      <w:r w:rsidRPr="00295D8D">
        <w:rPr>
          <w:rFonts w:ascii="Times New Roman" w:hAnsi="Times New Roman"/>
          <w:b/>
          <w:bCs/>
          <w:lang w:val="en-HK"/>
        </w:rPr>
        <w:t>notice</w:t>
      </w:r>
      <w:r w:rsidRPr="00295D8D">
        <w:rPr>
          <w:rFonts w:ascii="Times New Roman" w:hAnsi="Times New Roman"/>
          <w:lang w:val="en-HK"/>
        </w:rPr>
        <w:t xml:space="preserve"> of the hire purchase or conditional sale agreement, acquires </w:t>
      </w:r>
      <w:r w:rsidRPr="00295D8D">
        <w:rPr>
          <w:rFonts w:ascii="Times New Roman" w:hAnsi="Times New Roman"/>
          <w:b/>
          <w:bCs/>
          <w:lang w:val="en-HK"/>
        </w:rPr>
        <w:t>good title</w:t>
      </w:r>
      <w:r w:rsidRPr="00295D8D">
        <w:rPr>
          <w:rFonts w:ascii="Times New Roman" w:hAnsi="Times New Roman"/>
          <w:lang w:val="en-HK"/>
        </w:rPr>
        <w:t xml:space="preserve"> to the vehicle.</w:t>
      </w:r>
    </w:p>
    <w:p w14:paraId="61945746"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8F516C7">
          <v:rect id="_x0000_i1061" alt="" style="width:451.3pt;height:.05pt;mso-width-percent:0;mso-height-percent:0;mso-width-percent:0;mso-height-percent:0" o:hralign="center" o:hrstd="t" o:hr="t" fillcolor="#a0a0a0" stroked="f"/>
        </w:pict>
      </w:r>
    </w:p>
    <w:p w14:paraId="12E50767"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7.2. Scope of the Rule</w:t>
      </w:r>
    </w:p>
    <w:p w14:paraId="7759AE44" w14:textId="77777777" w:rsidR="00295D8D" w:rsidRPr="00295D8D" w:rsidRDefault="00295D8D" w:rsidP="005C7DC1">
      <w:pPr>
        <w:numPr>
          <w:ilvl w:val="0"/>
          <w:numId w:val="5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Protected Purchasers</w:t>
      </w:r>
      <w:r w:rsidRPr="00295D8D">
        <w:rPr>
          <w:rFonts w:ascii="Times New Roman" w:hAnsi="Times New Roman"/>
          <w:lang w:val="en-HK"/>
        </w:rPr>
        <w:t>:</w:t>
      </w:r>
    </w:p>
    <w:p w14:paraId="467F5B3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 xml:space="preserve">The Act applies exclusively to </w:t>
      </w:r>
      <w:r w:rsidRPr="00295D8D">
        <w:rPr>
          <w:rFonts w:ascii="Times New Roman" w:hAnsi="Times New Roman"/>
          <w:b/>
          <w:bCs/>
          <w:lang w:val="en-HK"/>
        </w:rPr>
        <w:t>private purchasers</w:t>
      </w:r>
      <w:r w:rsidRPr="00295D8D">
        <w:rPr>
          <w:rFonts w:ascii="Times New Roman" w:hAnsi="Times New Roman"/>
          <w:lang w:val="en-HK"/>
        </w:rPr>
        <w:t xml:space="preserve"> who buy motor vehicles for </w:t>
      </w:r>
      <w:r w:rsidRPr="00295D8D">
        <w:rPr>
          <w:rFonts w:ascii="Times New Roman" w:hAnsi="Times New Roman"/>
          <w:b/>
          <w:bCs/>
          <w:lang w:val="en-HK"/>
        </w:rPr>
        <w:t>personal use</w:t>
      </w:r>
      <w:r w:rsidRPr="00295D8D">
        <w:rPr>
          <w:rFonts w:ascii="Times New Roman" w:hAnsi="Times New Roman"/>
          <w:lang w:val="en-HK"/>
        </w:rPr>
        <w:t>. Trade and finance purchasers are excluded from protection.</w:t>
      </w:r>
    </w:p>
    <w:p w14:paraId="1EDB3835" w14:textId="77777777" w:rsidR="00295D8D" w:rsidRPr="00295D8D" w:rsidRDefault="00295D8D" w:rsidP="005C7DC1">
      <w:pPr>
        <w:numPr>
          <w:ilvl w:val="0"/>
          <w:numId w:val="5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Good Faith and Absence of Notice</w:t>
      </w:r>
      <w:r w:rsidRPr="00295D8D">
        <w:rPr>
          <w:rFonts w:ascii="Times New Roman" w:hAnsi="Times New Roman"/>
          <w:lang w:val="en-HK"/>
        </w:rPr>
        <w:t>:</w:t>
      </w:r>
    </w:p>
    <w:p w14:paraId="5B07F9F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private purchaser must demonstrate:</w:t>
      </w:r>
    </w:p>
    <w:p w14:paraId="5C0D0864" w14:textId="77777777" w:rsidR="00295D8D" w:rsidRPr="00295D8D" w:rsidRDefault="00295D8D" w:rsidP="005C7DC1">
      <w:pPr>
        <w:numPr>
          <w:ilvl w:val="2"/>
          <w:numId w:val="51"/>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They acted in </w:t>
      </w:r>
      <w:r w:rsidRPr="00295D8D">
        <w:rPr>
          <w:rFonts w:ascii="Times New Roman" w:hAnsi="Times New Roman"/>
          <w:b/>
          <w:bCs/>
          <w:lang w:val="en-HK"/>
        </w:rPr>
        <w:t>good faith</w:t>
      </w:r>
      <w:r w:rsidRPr="00295D8D">
        <w:rPr>
          <w:rFonts w:ascii="Times New Roman" w:hAnsi="Times New Roman"/>
          <w:lang w:val="en-HK"/>
        </w:rPr>
        <w:t>, believing that the seller had the authority to transfer title.</w:t>
      </w:r>
    </w:p>
    <w:p w14:paraId="7B07BCBD" w14:textId="77777777" w:rsidR="00295D8D" w:rsidRPr="00295D8D" w:rsidRDefault="00295D8D" w:rsidP="005C7DC1">
      <w:pPr>
        <w:numPr>
          <w:ilvl w:val="2"/>
          <w:numId w:val="51"/>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They had no </w:t>
      </w:r>
      <w:r w:rsidRPr="00295D8D">
        <w:rPr>
          <w:rFonts w:ascii="Times New Roman" w:hAnsi="Times New Roman"/>
          <w:b/>
          <w:bCs/>
          <w:lang w:val="en-HK"/>
        </w:rPr>
        <w:t>notice</w:t>
      </w:r>
      <w:r w:rsidRPr="00295D8D">
        <w:rPr>
          <w:rFonts w:ascii="Times New Roman" w:hAnsi="Times New Roman"/>
          <w:lang w:val="en-HK"/>
        </w:rPr>
        <w:t xml:space="preserve"> of the hire purchase or conditional sale agreement at the time of purchase.</w:t>
      </w:r>
    </w:p>
    <w:p w14:paraId="72E0ABBF" w14:textId="77777777" w:rsidR="00295D8D" w:rsidRPr="00295D8D" w:rsidRDefault="00295D8D" w:rsidP="005C7DC1">
      <w:pPr>
        <w:numPr>
          <w:ilvl w:val="0"/>
          <w:numId w:val="5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Vehicles under Hire Purchase Agreements</w:t>
      </w:r>
      <w:r w:rsidRPr="00295D8D">
        <w:rPr>
          <w:rFonts w:ascii="Times New Roman" w:hAnsi="Times New Roman"/>
          <w:lang w:val="en-HK"/>
        </w:rPr>
        <w:t>:</w:t>
      </w:r>
    </w:p>
    <w:p w14:paraId="3029BFC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Act covers scenarios where:</w:t>
      </w:r>
    </w:p>
    <w:p w14:paraId="4CAF7688" w14:textId="77777777" w:rsidR="00295D8D" w:rsidRPr="00295D8D" w:rsidRDefault="00295D8D" w:rsidP="005C7DC1">
      <w:pPr>
        <w:numPr>
          <w:ilvl w:val="2"/>
          <w:numId w:val="51"/>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A motor vehicle subject to a hire purchase agreement is sold by the hirer to an innocent private purchaser.</w:t>
      </w:r>
    </w:p>
    <w:p w14:paraId="02632A8F" w14:textId="77777777" w:rsidR="00295D8D" w:rsidRPr="00295D8D" w:rsidRDefault="00295D8D" w:rsidP="005C7DC1">
      <w:pPr>
        <w:numPr>
          <w:ilvl w:val="2"/>
          <w:numId w:val="51"/>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private purchaser acquires good title even if the hirer lacked the authority to sell.</w:t>
      </w:r>
    </w:p>
    <w:p w14:paraId="316459AF"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1A8C0EF2">
          <v:rect id="_x0000_i1060" alt="" style="width:451.3pt;height:.05pt;mso-width-percent:0;mso-height-percent:0;mso-width-percent:0;mso-height-percent:0" o:hralign="center" o:hrstd="t" o:hr="t" fillcolor="#a0a0a0" stroked="f"/>
        </w:pict>
      </w:r>
    </w:p>
    <w:p w14:paraId="71D16F15"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7.3. Practical Scenarios under Section 27</w:t>
      </w:r>
    </w:p>
    <w:p w14:paraId="0A9F67A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outlines three main scenarios where Section 27 applies:</w:t>
      </w:r>
    </w:p>
    <w:p w14:paraId="205912AB" w14:textId="77777777" w:rsidR="00295D8D" w:rsidRPr="00295D8D" w:rsidRDefault="00295D8D" w:rsidP="005C7DC1">
      <w:pPr>
        <w:numPr>
          <w:ilvl w:val="0"/>
          <w:numId w:val="52"/>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Direct Sale by Hirer</w:t>
      </w:r>
      <w:r w:rsidRPr="00295D8D">
        <w:rPr>
          <w:rFonts w:ascii="Times New Roman" w:hAnsi="Times New Roman"/>
          <w:lang w:val="en-HK"/>
        </w:rPr>
        <w:t>:</w:t>
      </w:r>
    </w:p>
    <w:p w14:paraId="142DF42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If the hirer of a motor vehicle (Party A) under a hire purchase agreement sells the vehicle directly to a private purchaser (Party B), Party B acquires good title, provided they acted in good faith and without notice of the agreement.</w:t>
      </w:r>
    </w:p>
    <w:p w14:paraId="41FC4154" w14:textId="77777777" w:rsidR="00295D8D" w:rsidRPr="00295D8D" w:rsidRDefault="00295D8D" w:rsidP="005C7DC1">
      <w:pPr>
        <w:numPr>
          <w:ilvl w:val="0"/>
          <w:numId w:val="52"/>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Indirect Sale through an Intermediary</w:t>
      </w:r>
      <w:r w:rsidRPr="00295D8D">
        <w:rPr>
          <w:rFonts w:ascii="Times New Roman" w:hAnsi="Times New Roman"/>
          <w:lang w:val="en-HK"/>
        </w:rPr>
        <w:t>:</w:t>
      </w:r>
    </w:p>
    <w:p w14:paraId="05630019"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If Party A sells the vehicle to a trade or finance purchaser (Party C), who then sells it to a private purchaser (Party D), Party D acquires good title, provided they meet the conditions of good faith and absence of notice.</w:t>
      </w:r>
    </w:p>
    <w:p w14:paraId="4207649F" w14:textId="77777777" w:rsidR="00295D8D" w:rsidRPr="00295D8D" w:rsidRDefault="00295D8D" w:rsidP="005C7DC1">
      <w:pPr>
        <w:numPr>
          <w:ilvl w:val="0"/>
          <w:numId w:val="52"/>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Subsequent Transfer under a Second Agreement</w:t>
      </w:r>
      <w:r w:rsidRPr="00295D8D">
        <w:rPr>
          <w:rFonts w:ascii="Times New Roman" w:hAnsi="Times New Roman"/>
          <w:lang w:val="en-HK"/>
        </w:rPr>
        <w:t>:</w:t>
      </w:r>
    </w:p>
    <w:p w14:paraId="30AC01A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If Party A sells the vehicle to a trade or finance purchaser (Party C), who leases it to a private purchaser (Party D) under a new hire purchase agreement, Party D acquires good title once ownership is transferred under the second agreement.</w:t>
      </w:r>
    </w:p>
    <w:p w14:paraId="51C9227D"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2E3C2C9">
          <v:rect id="_x0000_i1059" alt="" style="width:451.3pt;height:.05pt;mso-width-percent:0;mso-height-percent:0;mso-width-percent:0;mso-height-percent:0" o:hralign="center" o:hrstd="t" o:hr="t" fillcolor="#a0a0a0" stroked="f"/>
        </w:pict>
      </w:r>
    </w:p>
    <w:p w14:paraId="2C3CEAAE"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7.4. Case Law Examples</w:t>
      </w:r>
    </w:p>
    <w:p w14:paraId="3803E3D0"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references practical applications of Section 27 but does not elaborate on specific cases. It highlights that the rule was intended to address the </w:t>
      </w:r>
      <w:r w:rsidRPr="00295D8D">
        <w:rPr>
          <w:rFonts w:ascii="Times New Roman" w:hAnsi="Times New Roman"/>
          <w:b/>
          <w:bCs/>
          <w:lang w:val="en-HK"/>
        </w:rPr>
        <w:t>frequent fraud and disputes</w:t>
      </w:r>
      <w:r w:rsidRPr="00295D8D">
        <w:rPr>
          <w:rFonts w:ascii="Times New Roman" w:hAnsi="Times New Roman"/>
          <w:lang w:val="en-HK"/>
        </w:rPr>
        <w:t xml:space="preserve"> involving hire purchase vehicles and the protection of private purchasers in these scenarios.</w:t>
      </w:r>
    </w:p>
    <w:p w14:paraId="08476ACC"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AB3B356">
          <v:rect id="_x0000_i1058" alt="" style="width:451.3pt;height:.05pt;mso-width-percent:0;mso-height-percent:0;mso-width-percent:0;mso-height-percent:0" o:hralign="center" o:hrstd="t" o:hr="t" fillcolor="#a0a0a0" stroked="f"/>
        </w:pict>
      </w:r>
    </w:p>
    <w:p w14:paraId="36D8CB7B"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7.5. Limitations and Anomalies</w:t>
      </w:r>
    </w:p>
    <w:p w14:paraId="36031071" w14:textId="77777777" w:rsidR="00295D8D" w:rsidRPr="00295D8D" w:rsidRDefault="00295D8D" w:rsidP="005C7DC1">
      <w:pPr>
        <w:numPr>
          <w:ilvl w:val="0"/>
          <w:numId w:val="5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Limited Protection</w:t>
      </w:r>
      <w:r w:rsidRPr="00295D8D">
        <w:rPr>
          <w:rFonts w:ascii="Times New Roman" w:hAnsi="Times New Roman"/>
          <w:lang w:val="en-HK"/>
        </w:rPr>
        <w:t>:</w:t>
      </w:r>
    </w:p>
    <w:p w14:paraId="2E9A81F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Section 27 does not apply to:</w:t>
      </w:r>
    </w:p>
    <w:p w14:paraId="78789C12" w14:textId="77777777" w:rsidR="00295D8D" w:rsidRPr="00295D8D" w:rsidRDefault="00295D8D" w:rsidP="005C7DC1">
      <w:pPr>
        <w:numPr>
          <w:ilvl w:val="2"/>
          <w:numId w:val="53"/>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Trade or finance purchasers.</w:t>
      </w:r>
    </w:p>
    <w:p w14:paraId="46085959" w14:textId="77777777" w:rsidR="00295D8D" w:rsidRPr="00295D8D" w:rsidRDefault="00295D8D" w:rsidP="005C7DC1">
      <w:pPr>
        <w:numPr>
          <w:ilvl w:val="2"/>
          <w:numId w:val="53"/>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Vehicles sold </w:t>
      </w:r>
      <w:r w:rsidRPr="00295D8D">
        <w:rPr>
          <w:rFonts w:ascii="Times New Roman" w:hAnsi="Times New Roman"/>
          <w:b/>
          <w:bCs/>
          <w:lang w:val="en-HK"/>
        </w:rPr>
        <w:t>under void hire purchase agreements</w:t>
      </w:r>
      <w:r w:rsidRPr="00295D8D">
        <w:rPr>
          <w:rFonts w:ascii="Times New Roman" w:hAnsi="Times New Roman"/>
          <w:lang w:val="en-HK"/>
        </w:rPr>
        <w:t>.</w:t>
      </w:r>
    </w:p>
    <w:p w14:paraId="49587A1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This limitation excludes a significant number of transactions from protection, leaving some purchasers vulnerable to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principle.</w:t>
      </w:r>
    </w:p>
    <w:p w14:paraId="62504DCB" w14:textId="77777777" w:rsidR="00295D8D" w:rsidRPr="00295D8D" w:rsidRDefault="00295D8D" w:rsidP="005C7DC1">
      <w:pPr>
        <w:numPr>
          <w:ilvl w:val="0"/>
          <w:numId w:val="5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First Private Purchaser Rule</w:t>
      </w:r>
      <w:r w:rsidRPr="00295D8D">
        <w:rPr>
          <w:rFonts w:ascii="Times New Roman" w:hAnsi="Times New Roman"/>
          <w:lang w:val="en-HK"/>
        </w:rPr>
        <w:t>:</w:t>
      </w:r>
    </w:p>
    <w:p w14:paraId="3DC5609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Only the </w:t>
      </w:r>
      <w:r w:rsidRPr="00295D8D">
        <w:rPr>
          <w:rFonts w:ascii="Times New Roman" w:hAnsi="Times New Roman"/>
          <w:b/>
          <w:bCs/>
          <w:color w:val="FF0000"/>
          <w:lang w:val="en-HK"/>
        </w:rPr>
        <w:t>first private purchaser</w:t>
      </w:r>
      <w:r w:rsidRPr="00295D8D">
        <w:rPr>
          <w:rFonts w:ascii="Times New Roman" w:hAnsi="Times New Roman"/>
          <w:color w:val="FF0000"/>
          <w:lang w:val="en-HK"/>
        </w:rPr>
        <w:t xml:space="preserve"> </w:t>
      </w:r>
      <w:r w:rsidRPr="00295D8D">
        <w:rPr>
          <w:rFonts w:ascii="Times New Roman" w:hAnsi="Times New Roman"/>
          <w:lang w:val="en-HK"/>
        </w:rPr>
        <w:t>who acts in good faith and without notice is protected under Section 27. Subsequent private purchasers are excluded if the first purchaser fails to meet the criteria.</w:t>
      </w:r>
    </w:p>
    <w:p w14:paraId="5817D77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Example: If a private purchaser buys a vehicle from someone who lacked good faith or had notice of the agreement, subsequent private purchasers are also deprived of protection.</w:t>
      </w:r>
    </w:p>
    <w:p w14:paraId="25B13903" w14:textId="77777777" w:rsidR="00295D8D" w:rsidRPr="00295D8D" w:rsidRDefault="00295D8D" w:rsidP="005C7DC1">
      <w:pPr>
        <w:numPr>
          <w:ilvl w:val="0"/>
          <w:numId w:val="5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Technical and Arbitrary Rules</w:t>
      </w:r>
      <w:r w:rsidRPr="00295D8D">
        <w:rPr>
          <w:rFonts w:ascii="Times New Roman" w:hAnsi="Times New Roman"/>
          <w:lang w:val="en-HK"/>
        </w:rPr>
        <w:t>:</w:t>
      </w:r>
    </w:p>
    <w:p w14:paraId="1AE4E09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 xml:space="preserve">The distinction between direct and indirect transfers creates </w:t>
      </w:r>
      <w:r w:rsidRPr="00295D8D">
        <w:rPr>
          <w:rFonts w:ascii="Times New Roman" w:hAnsi="Times New Roman"/>
          <w:b/>
          <w:bCs/>
          <w:lang w:val="en-HK"/>
        </w:rPr>
        <w:t>technical anomalies</w:t>
      </w:r>
      <w:r w:rsidRPr="00295D8D">
        <w:rPr>
          <w:rFonts w:ascii="Times New Roman" w:hAnsi="Times New Roman"/>
          <w:lang w:val="en-HK"/>
        </w:rPr>
        <w:t>. For instance:</w:t>
      </w:r>
    </w:p>
    <w:p w14:paraId="5988B2AE" w14:textId="77777777" w:rsidR="00295D8D" w:rsidRPr="00295D8D" w:rsidRDefault="00295D8D" w:rsidP="005C7DC1">
      <w:pPr>
        <w:numPr>
          <w:ilvl w:val="2"/>
          <w:numId w:val="53"/>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If a trade or finance purchaser leases the vehicle back to the hirer, any subsequent private purchaser (e.g., under a sublease) may be unprotected.</w:t>
      </w:r>
    </w:p>
    <w:p w14:paraId="6C3BB565" w14:textId="77777777" w:rsidR="00295D8D" w:rsidRPr="00295D8D" w:rsidRDefault="00295D8D" w:rsidP="005C7DC1">
      <w:pPr>
        <w:numPr>
          <w:ilvl w:val="0"/>
          <w:numId w:val="5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Complexities in Constructive Notice</w:t>
      </w:r>
      <w:r w:rsidRPr="00295D8D">
        <w:rPr>
          <w:rFonts w:ascii="Times New Roman" w:hAnsi="Times New Roman"/>
          <w:lang w:val="en-HK"/>
        </w:rPr>
        <w:t>:</w:t>
      </w:r>
    </w:p>
    <w:p w14:paraId="49AACB04"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Act does not clearly define "notice," leading to potential disputes about whether a purchaser should have been aware of the hire purchase agreement.</w:t>
      </w:r>
    </w:p>
    <w:p w14:paraId="383B44E0"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E9E59AA">
          <v:rect id="_x0000_i1057" alt="" style="width:451.3pt;height:.05pt;mso-width-percent:0;mso-height-percent:0;mso-width-percent:0;mso-height-percent:0" o:hralign="center" o:hrstd="t" o:hr="t" fillcolor="#a0a0a0" stroked="f"/>
        </w:pict>
      </w:r>
    </w:p>
    <w:p w14:paraId="54CE18D8"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7.6. Critique</w:t>
      </w:r>
    </w:p>
    <w:p w14:paraId="019BFDA6" w14:textId="77777777" w:rsidR="00295D8D" w:rsidRPr="00295D8D" w:rsidRDefault="00295D8D" w:rsidP="005C7DC1">
      <w:pPr>
        <w:numPr>
          <w:ilvl w:val="0"/>
          <w:numId w:val="5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critiques the </w:t>
      </w:r>
      <w:r w:rsidRPr="00295D8D">
        <w:rPr>
          <w:rFonts w:ascii="Times New Roman" w:hAnsi="Times New Roman"/>
          <w:b/>
          <w:bCs/>
          <w:lang w:val="en-HK"/>
        </w:rPr>
        <w:t>narrow and technical application</w:t>
      </w:r>
      <w:r w:rsidRPr="00295D8D">
        <w:rPr>
          <w:rFonts w:ascii="Times New Roman" w:hAnsi="Times New Roman"/>
          <w:lang w:val="en-HK"/>
        </w:rPr>
        <w:t xml:space="preserve"> of Section 27, arguing that it often fails to adequately protect innocent private purchasers in complex scenarios.</w:t>
      </w:r>
    </w:p>
    <w:p w14:paraId="585E815A" w14:textId="77777777" w:rsidR="00295D8D" w:rsidRPr="00295D8D" w:rsidRDefault="00295D8D" w:rsidP="005C7DC1">
      <w:pPr>
        <w:numPr>
          <w:ilvl w:val="0"/>
          <w:numId w:val="5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Scholars have noted that the rule’s </w:t>
      </w:r>
      <w:r w:rsidRPr="00295D8D">
        <w:rPr>
          <w:rFonts w:ascii="Times New Roman" w:hAnsi="Times New Roman"/>
          <w:b/>
          <w:bCs/>
          <w:lang w:val="en-HK"/>
        </w:rPr>
        <w:t>focus on the first private purchaser</w:t>
      </w:r>
      <w:r w:rsidRPr="00295D8D">
        <w:rPr>
          <w:rFonts w:ascii="Times New Roman" w:hAnsi="Times New Roman"/>
          <w:lang w:val="en-HK"/>
        </w:rPr>
        <w:t xml:space="preserve"> leaves gaps in protection and may lead to unfair outcomes in subsequent transactions.</w:t>
      </w:r>
    </w:p>
    <w:p w14:paraId="3C952E71"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54FD664A">
          <v:rect id="_x0000_i1056" alt="" style="width:451.3pt;height:.05pt;mso-width-percent:0;mso-height-percent:0;mso-width-percent:0;mso-height-percent:0" o:hralign="center" o:hrstd="t" o:hr="t" fillcolor="#a0a0a0" stroked="f"/>
        </w:pict>
      </w:r>
    </w:p>
    <w:p w14:paraId="422374B3"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7.7. Broader Implications</w:t>
      </w:r>
    </w:p>
    <w:p w14:paraId="6540D416" w14:textId="77777777" w:rsidR="00295D8D" w:rsidRPr="00295D8D" w:rsidRDefault="00295D8D" w:rsidP="005C7DC1">
      <w:pPr>
        <w:numPr>
          <w:ilvl w:val="0"/>
          <w:numId w:val="5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Consumer Protection</w:t>
      </w:r>
      <w:r w:rsidRPr="00295D8D">
        <w:rPr>
          <w:rFonts w:ascii="Times New Roman" w:hAnsi="Times New Roman"/>
          <w:lang w:val="en-HK"/>
        </w:rPr>
        <w:t>:</w:t>
      </w:r>
    </w:p>
    <w:p w14:paraId="031540C3" w14:textId="77777777" w:rsidR="00295D8D" w:rsidRPr="00295D8D" w:rsidRDefault="00295D8D" w:rsidP="005C7DC1">
      <w:pPr>
        <w:numPr>
          <w:ilvl w:val="1"/>
          <w:numId w:val="5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Act reflects a policy priority of protecting private purchasers in motor vehicle transactions, recognizing their </w:t>
      </w:r>
      <w:r w:rsidRPr="00295D8D">
        <w:rPr>
          <w:rFonts w:ascii="Times New Roman" w:hAnsi="Times New Roman"/>
          <w:b/>
          <w:bCs/>
          <w:lang w:val="en-HK"/>
        </w:rPr>
        <w:t>vulnerability</w:t>
      </w:r>
      <w:r w:rsidRPr="00295D8D">
        <w:rPr>
          <w:rFonts w:ascii="Times New Roman" w:hAnsi="Times New Roman"/>
          <w:lang w:val="en-HK"/>
        </w:rPr>
        <w:t xml:space="preserve"> in hire purchase disputes.</w:t>
      </w:r>
    </w:p>
    <w:p w14:paraId="61623A7A" w14:textId="77777777" w:rsidR="00295D8D" w:rsidRPr="00295D8D" w:rsidRDefault="00295D8D" w:rsidP="005C7DC1">
      <w:pPr>
        <w:numPr>
          <w:ilvl w:val="1"/>
          <w:numId w:val="5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However, its </w:t>
      </w:r>
      <w:r w:rsidRPr="00295D8D">
        <w:rPr>
          <w:rFonts w:ascii="Times New Roman" w:hAnsi="Times New Roman"/>
          <w:b/>
          <w:bCs/>
          <w:lang w:val="en-HK"/>
        </w:rPr>
        <w:t>restricted application</w:t>
      </w:r>
      <w:r w:rsidRPr="00295D8D">
        <w:rPr>
          <w:rFonts w:ascii="Times New Roman" w:hAnsi="Times New Roman"/>
          <w:lang w:val="en-HK"/>
        </w:rPr>
        <w:t xml:space="preserve"> to motor vehicles limits its broader utility in consumer protection.</w:t>
      </w:r>
    </w:p>
    <w:p w14:paraId="106A38A9" w14:textId="77777777" w:rsidR="00295D8D" w:rsidRPr="00295D8D" w:rsidRDefault="00295D8D" w:rsidP="005C7DC1">
      <w:pPr>
        <w:numPr>
          <w:ilvl w:val="0"/>
          <w:numId w:val="5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Equity vs. Commercial Certainty</w:t>
      </w:r>
      <w:r w:rsidRPr="00295D8D">
        <w:rPr>
          <w:rFonts w:ascii="Times New Roman" w:hAnsi="Times New Roman"/>
          <w:lang w:val="en-HK"/>
        </w:rPr>
        <w:t>:</w:t>
      </w:r>
    </w:p>
    <w:p w14:paraId="560C69CF" w14:textId="77777777" w:rsidR="00295D8D" w:rsidRPr="00295D8D" w:rsidRDefault="00295D8D" w:rsidP="005C7DC1">
      <w:pPr>
        <w:numPr>
          <w:ilvl w:val="1"/>
          <w:numId w:val="5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Section 27 attempts to balance fairness for private purchasers with the need to maintain the rights of finance companies and trade purchasers.</w:t>
      </w:r>
    </w:p>
    <w:p w14:paraId="35440FCE" w14:textId="77777777" w:rsidR="00295D8D" w:rsidRPr="00295D8D" w:rsidRDefault="00295D8D" w:rsidP="005C7DC1">
      <w:pPr>
        <w:numPr>
          <w:ilvl w:val="1"/>
          <w:numId w:val="5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suggests that this balance is imperfect, as finance companies and trade purchasers are often better positioned to </w:t>
      </w:r>
      <w:r w:rsidRPr="00295D8D">
        <w:rPr>
          <w:rFonts w:ascii="Times New Roman" w:hAnsi="Times New Roman"/>
          <w:b/>
          <w:bCs/>
          <w:lang w:val="en-HK"/>
        </w:rPr>
        <w:t>mitigate risks</w:t>
      </w:r>
      <w:r w:rsidRPr="00295D8D">
        <w:rPr>
          <w:rFonts w:ascii="Times New Roman" w:hAnsi="Times New Roman"/>
          <w:lang w:val="en-HK"/>
        </w:rPr>
        <w:t xml:space="preserve"> through due diligence.</w:t>
      </w:r>
    </w:p>
    <w:p w14:paraId="0F1F1101" w14:textId="77777777" w:rsidR="00295D8D" w:rsidRPr="00295D8D" w:rsidRDefault="00295D8D" w:rsidP="005C7DC1">
      <w:pPr>
        <w:numPr>
          <w:ilvl w:val="0"/>
          <w:numId w:val="55"/>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Need for Reform</w:t>
      </w:r>
      <w:r w:rsidRPr="00295D8D">
        <w:rPr>
          <w:rFonts w:ascii="Times New Roman" w:hAnsi="Times New Roman"/>
          <w:lang w:val="en-HK"/>
        </w:rPr>
        <w:t>:</w:t>
      </w:r>
    </w:p>
    <w:p w14:paraId="35DC0B8F"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The document advocates for legislative reform to simplify the rules and extend protection to all bona fide private purchasers, regardless of technical distinctions.</w:t>
      </w:r>
    </w:p>
    <w:p w14:paraId="55B44FA1"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6BB4E58">
          <v:rect id="_x0000_i1055" alt="" style="width:451.3pt;height:.05pt;mso-width-percent:0;mso-height-percent:0;mso-width-percent:0;mso-height-percent:0" o:hralign="center" o:hrstd="t" o:hr="t" fillcolor="#a0a0a0" stroked="f"/>
        </w:pict>
      </w:r>
    </w:p>
    <w:p w14:paraId="015FB5CC"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7.8. Conclusion</w:t>
      </w:r>
    </w:p>
    <w:p w14:paraId="4FCE1293" w14:textId="77777777" w:rsidR="00295D8D" w:rsidRPr="00295D8D" w:rsidRDefault="00295D8D" w:rsidP="005C7DC1">
      <w:pPr>
        <w:numPr>
          <w:ilvl w:val="0"/>
          <w:numId w:val="5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Part III of the Hire Purchase Act 1964 provides a significant exception to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offering protection to good-faith private purchasers of motor vehicles.</w:t>
      </w:r>
    </w:p>
    <w:p w14:paraId="2FAB6579" w14:textId="77777777" w:rsidR="00295D8D" w:rsidRPr="00295D8D" w:rsidRDefault="00295D8D" w:rsidP="005C7DC1">
      <w:pPr>
        <w:numPr>
          <w:ilvl w:val="0"/>
          <w:numId w:val="5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However, its </w:t>
      </w:r>
      <w:r w:rsidRPr="00295D8D">
        <w:rPr>
          <w:rFonts w:ascii="Times New Roman" w:hAnsi="Times New Roman"/>
          <w:b/>
          <w:bCs/>
          <w:lang w:val="en-HK"/>
        </w:rPr>
        <w:t>technical limitations and anomalies</w:t>
      </w:r>
      <w:r w:rsidRPr="00295D8D">
        <w:rPr>
          <w:rFonts w:ascii="Times New Roman" w:hAnsi="Times New Roman"/>
          <w:lang w:val="en-HK"/>
        </w:rPr>
        <w:t xml:space="preserve"> reduce its effectiveness, leaving some purchasers unprotected.</w:t>
      </w:r>
    </w:p>
    <w:p w14:paraId="5D60B09E" w14:textId="77777777" w:rsidR="00295D8D" w:rsidRPr="00295D8D" w:rsidRDefault="00295D8D" w:rsidP="005C7DC1">
      <w:pPr>
        <w:numPr>
          <w:ilvl w:val="0"/>
          <w:numId w:val="5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calls for reform to broaden the scope of protection and reduce reliance on </w:t>
      </w:r>
      <w:r w:rsidRPr="00295D8D">
        <w:rPr>
          <w:rFonts w:ascii="Times New Roman" w:hAnsi="Times New Roman"/>
          <w:b/>
          <w:bCs/>
          <w:lang w:val="en-HK"/>
        </w:rPr>
        <w:t>technical distinctions</w:t>
      </w:r>
      <w:r w:rsidRPr="00295D8D">
        <w:rPr>
          <w:rFonts w:ascii="Times New Roman" w:hAnsi="Times New Roman"/>
          <w:lang w:val="en-HK"/>
        </w:rPr>
        <w:t xml:space="preserve"> that lead to </w:t>
      </w:r>
      <w:r w:rsidRPr="00295D8D">
        <w:rPr>
          <w:rFonts w:ascii="Times New Roman" w:hAnsi="Times New Roman"/>
          <w:b/>
          <w:bCs/>
          <w:lang w:val="en-HK"/>
        </w:rPr>
        <w:t>arbitrary and inequitable outcomes</w:t>
      </w:r>
      <w:r w:rsidRPr="00295D8D">
        <w:rPr>
          <w:rFonts w:ascii="Times New Roman" w:hAnsi="Times New Roman"/>
          <w:lang w:val="en-HK"/>
        </w:rPr>
        <w:t>.</w:t>
      </w:r>
    </w:p>
    <w:p w14:paraId="3E6D01DC" w14:textId="76ED222B" w:rsidR="009F64D3" w:rsidRPr="005C7DC1" w:rsidRDefault="00D4652D" w:rsidP="005C7DC1">
      <w:pPr>
        <w:spacing w:before="100" w:beforeAutospacing="1" w:after="100" w:afterAutospacing="1" w:line="360" w:lineRule="auto"/>
        <w:outlineLvl w:val="2"/>
        <w:rPr>
          <w:rFonts w:ascii="Times New Roman" w:hAnsi="Times New Roman"/>
          <w:b/>
          <w:bCs/>
          <w:lang w:val="en-HK"/>
        </w:rPr>
      </w:pPr>
      <w:r w:rsidRPr="00D4652D">
        <w:rPr>
          <w:rFonts w:ascii="Times New Roman" w:hAnsi="Times New Roman"/>
          <w:noProof/>
          <w:lang w:val="en-HK"/>
          <w14:ligatures w14:val="standardContextual"/>
        </w:rPr>
        <w:pict w14:anchorId="1464CE57">
          <v:rect id="_x0000_i1054" alt="" style="width:451.3pt;height:.05pt;mso-width-percent:0;mso-height-percent:0;mso-width-percent:0;mso-height-percent:0" o:hralign="center" o:hrstd="t" o:hr="t" fillcolor="#a0a0a0" stroked="f"/>
        </w:pict>
      </w:r>
    </w:p>
    <w:p w14:paraId="457B6E06" w14:textId="1F313E3A" w:rsidR="00295D8D" w:rsidRPr="00295D8D" w:rsidRDefault="00295D8D" w:rsidP="005C7DC1">
      <w:pPr>
        <w:spacing w:line="360" w:lineRule="auto"/>
        <w:rPr>
          <w:rFonts w:ascii="Times New Roman" w:hAnsi="Times New Roman"/>
          <w:lang w:val="en-HK"/>
        </w:rPr>
      </w:pPr>
      <w:r w:rsidRPr="00295D8D">
        <w:rPr>
          <w:rFonts w:ascii="Times New Roman" w:hAnsi="Times New Roman"/>
          <w:b/>
          <w:bCs/>
          <w:lang w:val="en-HK"/>
        </w:rPr>
        <w:t>8. Sale by Agents and Mercantile Agents</w:t>
      </w:r>
      <w:r w:rsidR="009F64D3" w:rsidRPr="005C7DC1">
        <w:rPr>
          <w:rFonts w:ascii="Times New Roman" w:hAnsi="Times New Roman"/>
          <w:b/>
          <w:bCs/>
          <w:lang w:val="en-HK"/>
        </w:rPr>
        <w:t xml:space="preserve"> </w:t>
      </w:r>
      <w:r w:rsidR="009F64D3" w:rsidRPr="005C7DC1">
        <w:rPr>
          <w:rFonts w:ascii="Microsoft JhengHei" w:eastAsia="Microsoft JhengHei" w:hAnsi="Microsoft JhengHei" w:cs="Microsoft JhengHei"/>
          <w:lang w:val="en-HK"/>
        </w:rPr>
        <w:t>商品代</w:t>
      </w:r>
      <w:r w:rsidR="009F64D3" w:rsidRPr="005C7DC1">
        <w:rPr>
          <w:rFonts w:ascii="PingFang TC" w:eastAsia="PingFang TC" w:hAnsi="PingFang TC" w:cs="PingFang TC"/>
          <w:lang w:val="en-HK"/>
        </w:rPr>
        <w:t>理</w:t>
      </w:r>
    </w:p>
    <w:p w14:paraId="2B38A8AF"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8.1. Statutory Basis</w:t>
      </w:r>
    </w:p>
    <w:p w14:paraId="37AC068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This exception to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principle is governed by </w:t>
      </w:r>
      <w:r w:rsidRPr="00295D8D">
        <w:rPr>
          <w:rFonts w:ascii="Times New Roman" w:hAnsi="Times New Roman"/>
          <w:b/>
          <w:bCs/>
          <w:lang w:val="en-HK"/>
        </w:rPr>
        <w:t>Section 2(1) of the Factors Act 1889</w:t>
      </w:r>
      <w:r w:rsidRPr="00295D8D">
        <w:rPr>
          <w:rFonts w:ascii="Times New Roman" w:hAnsi="Times New Roman"/>
          <w:lang w:val="en-HK"/>
        </w:rPr>
        <w:t>, which provides:</w:t>
      </w:r>
    </w:p>
    <w:p w14:paraId="5D828743"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 xml:space="preserve">"Where a </w:t>
      </w:r>
      <w:r w:rsidRPr="00295D8D">
        <w:rPr>
          <w:rFonts w:ascii="Times New Roman" w:hAnsi="Times New Roman"/>
          <w:b/>
          <w:bCs/>
          <w:lang w:val="en-HK"/>
        </w:rPr>
        <w:t>mercantile agent</w:t>
      </w:r>
      <w:r w:rsidRPr="00295D8D">
        <w:rPr>
          <w:rFonts w:ascii="Times New Roman" w:hAnsi="Times New Roman"/>
          <w:lang w:val="en-HK"/>
        </w:rPr>
        <w:t xml:space="preserve"> is, with the consent of the owner, in possession of goods or the documents of title to goods, any sale, pledge or other disposition of the goods, made by him when acting in the ordinary course of business of a mercantile agent shall … be as valid as if he were expressly authorized by the owner of the goods to make the same, provided that the person taking under the disposition acts in good faith, and has not at the time of the disposition notice that the person making the disposition has not authority to make the same."</w:t>
      </w:r>
    </w:p>
    <w:p w14:paraId="738BED9A"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512045B">
          <v:rect id="_x0000_i1053" alt="" style="width:451.3pt;height:.05pt;mso-width-percent:0;mso-height-percent:0;mso-width-percent:0;mso-height-percent:0" o:hralign="center" o:hrstd="t" o:hr="t" fillcolor="#a0a0a0" stroked="f"/>
        </w:pict>
      </w:r>
    </w:p>
    <w:p w14:paraId="5A272C19"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8.2. Purpose of the Rule</w:t>
      </w:r>
    </w:p>
    <w:p w14:paraId="2BD39E5D" w14:textId="77777777" w:rsidR="00295D8D" w:rsidRPr="00295D8D" w:rsidRDefault="00295D8D" w:rsidP="005C7DC1">
      <w:pPr>
        <w:numPr>
          <w:ilvl w:val="0"/>
          <w:numId w:val="58"/>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This rule addresses situations where goods are entrusted to a </w:t>
      </w:r>
      <w:r w:rsidRPr="00295D8D">
        <w:rPr>
          <w:rFonts w:ascii="Times New Roman" w:hAnsi="Times New Roman"/>
          <w:b/>
          <w:bCs/>
          <w:lang w:val="en-HK"/>
        </w:rPr>
        <w:t>mercantile agent</w:t>
      </w:r>
      <w:r w:rsidRPr="00295D8D">
        <w:rPr>
          <w:rFonts w:ascii="Times New Roman" w:hAnsi="Times New Roman"/>
          <w:lang w:val="en-HK"/>
        </w:rPr>
        <w:t xml:space="preserve"> for sale or other transactions. It aims to protect third parties who rely on the apparent authority of the agent.</w:t>
      </w:r>
    </w:p>
    <w:p w14:paraId="706F231C" w14:textId="77777777" w:rsidR="00295D8D" w:rsidRPr="00295D8D" w:rsidRDefault="00295D8D" w:rsidP="005C7DC1">
      <w:pPr>
        <w:numPr>
          <w:ilvl w:val="0"/>
          <w:numId w:val="58"/>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 xml:space="preserve">The provision reflects </w:t>
      </w:r>
      <w:r w:rsidRPr="00295D8D">
        <w:rPr>
          <w:rFonts w:ascii="Times New Roman" w:hAnsi="Times New Roman"/>
          <w:b/>
          <w:bCs/>
          <w:lang w:val="en-HK"/>
        </w:rPr>
        <w:t>commercial necessity</w:t>
      </w:r>
      <w:r w:rsidRPr="00295D8D">
        <w:rPr>
          <w:rFonts w:ascii="Times New Roman" w:hAnsi="Times New Roman"/>
          <w:lang w:val="en-HK"/>
        </w:rPr>
        <w:t>, ensuring the free flow of goods and credit in trade by allowing buyers and financiers to rely on an agent’s apparent authority.</w:t>
      </w:r>
    </w:p>
    <w:p w14:paraId="72A2D464"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0EB6B49">
          <v:rect id="_x0000_i1052" alt="" style="width:451.3pt;height:.05pt;mso-width-percent:0;mso-height-percent:0;mso-width-percent:0;mso-height-percent:0" o:hralign="center" o:hrstd="t" o:hr="t" fillcolor="#a0a0a0" stroked="f"/>
        </w:pict>
      </w:r>
    </w:p>
    <w:p w14:paraId="6BBAFDD5"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8.3. Key Elements</w:t>
      </w:r>
    </w:p>
    <w:p w14:paraId="7FA8B7CE" w14:textId="77777777" w:rsidR="00295D8D" w:rsidRPr="00295D8D" w:rsidRDefault="00295D8D" w:rsidP="005C7DC1">
      <w:pPr>
        <w:numPr>
          <w:ilvl w:val="0"/>
          <w:numId w:val="59"/>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Mercantile Agent</w:t>
      </w:r>
      <w:r w:rsidRPr="00295D8D">
        <w:rPr>
          <w:rFonts w:ascii="Times New Roman" w:hAnsi="Times New Roman"/>
          <w:lang w:val="en-HK"/>
        </w:rPr>
        <w:t>:</w:t>
      </w:r>
    </w:p>
    <w:p w14:paraId="06A05B8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Defined in </w:t>
      </w:r>
      <w:r w:rsidRPr="00295D8D">
        <w:rPr>
          <w:rFonts w:ascii="Times New Roman" w:hAnsi="Times New Roman"/>
          <w:b/>
          <w:bCs/>
          <w:lang w:val="en-HK"/>
        </w:rPr>
        <w:t>Section 1(1) of the Factors Act 1889</w:t>
      </w:r>
      <w:r w:rsidRPr="00295D8D">
        <w:rPr>
          <w:rFonts w:ascii="Times New Roman" w:hAnsi="Times New Roman"/>
          <w:lang w:val="en-HK"/>
        </w:rPr>
        <w:t xml:space="preserve"> as:</w:t>
      </w:r>
    </w:p>
    <w:p w14:paraId="50E480CB"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"A mercantile agent having in the customary course of his business as such agent authority either to sell goods, or to consign goods for the purpose of sale, or to buy goods, or to raise money on the security of goods."</w:t>
      </w:r>
    </w:p>
    <w:p w14:paraId="692DC668"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agent must be acting within the ordinary course of business and with the </w:t>
      </w:r>
      <w:r w:rsidRPr="00295D8D">
        <w:rPr>
          <w:rFonts w:ascii="Times New Roman" w:hAnsi="Times New Roman"/>
          <w:b/>
          <w:bCs/>
          <w:lang w:val="en-HK"/>
        </w:rPr>
        <w:t>consent of the owner</w:t>
      </w:r>
      <w:r w:rsidRPr="00295D8D">
        <w:rPr>
          <w:rFonts w:ascii="Times New Roman" w:hAnsi="Times New Roman"/>
          <w:lang w:val="en-HK"/>
        </w:rPr>
        <w:t xml:space="preserve"> to possess the goods or documents of title.</w:t>
      </w:r>
    </w:p>
    <w:p w14:paraId="1C217BBE" w14:textId="77777777" w:rsidR="00295D8D" w:rsidRPr="00295D8D" w:rsidRDefault="00295D8D" w:rsidP="005C7DC1">
      <w:pPr>
        <w:numPr>
          <w:ilvl w:val="0"/>
          <w:numId w:val="59"/>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Good Faith and Without Notice</w:t>
      </w:r>
      <w:r w:rsidRPr="00295D8D">
        <w:rPr>
          <w:rFonts w:ascii="Times New Roman" w:hAnsi="Times New Roman"/>
          <w:lang w:val="en-HK"/>
        </w:rPr>
        <w:t>:</w:t>
      </w:r>
    </w:p>
    <w:p w14:paraId="4B94FA7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buyer or financier must act in </w:t>
      </w:r>
      <w:r w:rsidRPr="00295D8D">
        <w:rPr>
          <w:rFonts w:ascii="Times New Roman" w:hAnsi="Times New Roman"/>
          <w:b/>
          <w:bCs/>
          <w:lang w:val="en-HK"/>
        </w:rPr>
        <w:t>good faith</w:t>
      </w:r>
      <w:r w:rsidRPr="00295D8D">
        <w:rPr>
          <w:rFonts w:ascii="Times New Roman" w:hAnsi="Times New Roman"/>
          <w:lang w:val="en-HK"/>
        </w:rPr>
        <w:t xml:space="preserve"> and must not have notice that the agent lacks authority to dispose of the goods.</w:t>
      </w:r>
    </w:p>
    <w:p w14:paraId="2D58B9C3" w14:textId="77777777" w:rsidR="00295D8D" w:rsidRPr="00295D8D" w:rsidRDefault="00295D8D" w:rsidP="005C7DC1">
      <w:pPr>
        <w:numPr>
          <w:ilvl w:val="0"/>
          <w:numId w:val="59"/>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Ordinary Course of Business</w:t>
      </w:r>
      <w:r w:rsidRPr="00295D8D">
        <w:rPr>
          <w:rFonts w:ascii="Times New Roman" w:hAnsi="Times New Roman"/>
          <w:lang w:val="en-HK"/>
        </w:rPr>
        <w:t>:</w:t>
      </w:r>
    </w:p>
    <w:p w14:paraId="3FDB3938"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sale or pledge must occur in the normal activities of the agent’s trade. For instance, an agent selling or pledging goods in a way inconsistent with their typical business practices would fall outside this provision.</w:t>
      </w:r>
    </w:p>
    <w:p w14:paraId="582EE8D7"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5F8CC12">
          <v:rect id="_x0000_i1051" alt="" style="width:451.3pt;height:.05pt;mso-width-percent:0;mso-height-percent:0;mso-width-percent:0;mso-height-percent:0" o:hralign="center" o:hrstd="t" o:hr="t" fillcolor="#a0a0a0" stroked="f"/>
        </w:pict>
      </w:r>
    </w:p>
    <w:p w14:paraId="1AA77598"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8.4. Scope and Application</w:t>
      </w:r>
    </w:p>
    <w:p w14:paraId="25571ADE" w14:textId="77777777" w:rsidR="00295D8D" w:rsidRPr="00295D8D" w:rsidRDefault="00295D8D" w:rsidP="005C7DC1">
      <w:pPr>
        <w:numPr>
          <w:ilvl w:val="0"/>
          <w:numId w:val="6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Consent of the Owner</w:t>
      </w:r>
      <w:r w:rsidRPr="00295D8D">
        <w:rPr>
          <w:rFonts w:ascii="Times New Roman" w:hAnsi="Times New Roman"/>
          <w:lang w:val="en-HK"/>
        </w:rPr>
        <w:t>:</w:t>
      </w:r>
    </w:p>
    <w:p w14:paraId="19AE778A" w14:textId="77777777" w:rsidR="00295D8D" w:rsidRPr="00295D8D" w:rsidRDefault="00295D8D" w:rsidP="005C7DC1">
      <w:pPr>
        <w:spacing w:before="100" w:beforeAutospacing="1" w:after="100" w:afterAutospacing="1" w:line="360" w:lineRule="auto"/>
        <w:rPr>
          <w:rFonts w:ascii="Times New Roman" w:hAnsi="Times New Roman"/>
          <w:b/>
          <w:bCs/>
          <w:lang w:val="en-HK"/>
        </w:rPr>
      </w:pPr>
      <w:r w:rsidRPr="00295D8D">
        <w:rPr>
          <w:rFonts w:ascii="Times New Roman" w:hAnsi="Times New Roman"/>
          <w:b/>
          <w:bCs/>
          <w:lang w:val="en-HK"/>
        </w:rPr>
        <w:t>The owner’s consent to the agent’s possession is presumed unless proven otherwise. However, fraudulent or mistaken consent can invalidate the transaction.</w:t>
      </w:r>
    </w:p>
    <w:p w14:paraId="552CA82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lastRenderedPageBreak/>
        <w:t>Pearson v Rose and Young [1951] 1 KB 275</w:t>
      </w:r>
      <w:r w:rsidRPr="00295D8D">
        <w:rPr>
          <w:rFonts w:ascii="Times New Roman" w:hAnsi="Times New Roman"/>
          <w:lang w:val="en-HK"/>
        </w:rPr>
        <w:t>:</w:t>
      </w:r>
    </w:p>
    <w:p w14:paraId="2D3B8A6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Facts: A car owner gave a mercantile agent possession of a car but not the accompanying registration logbook. The agent sold the car without the owner’s authority.</w:t>
      </w:r>
    </w:p>
    <w:p w14:paraId="603A628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Outcome: The Court of Appeal held that the </w:t>
      </w:r>
      <w:r w:rsidRPr="00295D8D">
        <w:rPr>
          <w:rFonts w:ascii="Times New Roman" w:hAnsi="Times New Roman"/>
          <w:b/>
          <w:bCs/>
          <w:lang w:val="en-HK"/>
        </w:rPr>
        <w:t xml:space="preserve">lack of possession of the logbook invalidated the transaction under the Factors Act. </w:t>
      </w:r>
      <w:r w:rsidRPr="00295D8D">
        <w:rPr>
          <w:rFonts w:ascii="Times New Roman" w:hAnsi="Times New Roman"/>
          <w:lang w:val="en-HK"/>
        </w:rPr>
        <w:t>The buyer was not protected because the agent’s possession was incomplete.</w:t>
      </w:r>
    </w:p>
    <w:p w14:paraId="3AE269E0"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Significance: The case demonstrates the technical requirements for consent and possession under the Factors Act.</w:t>
      </w:r>
    </w:p>
    <w:p w14:paraId="1B047CE3" w14:textId="77777777" w:rsidR="00295D8D" w:rsidRPr="00295D8D" w:rsidRDefault="00295D8D" w:rsidP="005C7DC1">
      <w:pPr>
        <w:numPr>
          <w:ilvl w:val="0"/>
          <w:numId w:val="6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Good Faith</w:t>
      </w:r>
      <w:r w:rsidRPr="00295D8D">
        <w:rPr>
          <w:rFonts w:ascii="Times New Roman" w:hAnsi="Times New Roman"/>
          <w:lang w:val="en-HK"/>
        </w:rPr>
        <w:t>:</w:t>
      </w:r>
    </w:p>
    <w:p w14:paraId="1637C10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Good faith involves the absence of dishonesty or knowledge of the agent’s lack of authority. The buyer must not ignore </w:t>
      </w:r>
      <w:r w:rsidRPr="00295D8D">
        <w:rPr>
          <w:rFonts w:ascii="Times New Roman" w:hAnsi="Times New Roman"/>
          <w:b/>
          <w:bCs/>
          <w:lang w:val="en-HK"/>
        </w:rPr>
        <w:t>red flags</w:t>
      </w:r>
      <w:r w:rsidRPr="00295D8D">
        <w:rPr>
          <w:rFonts w:ascii="Times New Roman" w:hAnsi="Times New Roman"/>
          <w:lang w:val="en-HK"/>
        </w:rPr>
        <w:t xml:space="preserve"> indicating possible fraud or lack of authority.</w:t>
      </w:r>
    </w:p>
    <w:p w14:paraId="73F4AB43" w14:textId="77777777" w:rsidR="00295D8D" w:rsidRPr="00295D8D" w:rsidRDefault="00295D8D" w:rsidP="005C7DC1">
      <w:pPr>
        <w:numPr>
          <w:ilvl w:val="0"/>
          <w:numId w:val="6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Pledging Goods</w:t>
      </w:r>
      <w:r w:rsidRPr="00295D8D">
        <w:rPr>
          <w:rFonts w:ascii="Times New Roman" w:hAnsi="Times New Roman"/>
          <w:lang w:val="en-HK"/>
        </w:rPr>
        <w:t>:</w:t>
      </w:r>
    </w:p>
    <w:p w14:paraId="0C5B305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Act extends to pledging goods or documents of title as security for loans. This provision facilitates credit transactions but may disadvantage owners if agents act outside their authority.</w:t>
      </w:r>
    </w:p>
    <w:p w14:paraId="215B1F67"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6DBBD55">
          <v:rect id="_x0000_i1050" alt="" style="width:451.3pt;height:.05pt;mso-width-percent:0;mso-height-percent:0;mso-width-percent:0;mso-height-percent:0" o:hralign="center" o:hrstd="t" o:hr="t" fillcolor="#a0a0a0" stroked="f"/>
        </w:pict>
      </w:r>
    </w:p>
    <w:p w14:paraId="3FD06E10"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8.5. Case Law Examples</w:t>
      </w:r>
    </w:p>
    <w:p w14:paraId="3A1B25C4" w14:textId="77777777" w:rsidR="00295D8D" w:rsidRPr="00295D8D" w:rsidRDefault="00295D8D" w:rsidP="005C7DC1">
      <w:pPr>
        <w:numPr>
          <w:ilvl w:val="0"/>
          <w:numId w:val="6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Lloyds and Scottish Finance Ltd v Williamson [1965] 1 All ER 641</w:t>
      </w:r>
      <w:r w:rsidRPr="00295D8D">
        <w:rPr>
          <w:rFonts w:ascii="Times New Roman" w:hAnsi="Times New Roman"/>
          <w:lang w:val="en-HK"/>
        </w:rPr>
        <w:t>:</w:t>
      </w:r>
    </w:p>
    <w:p w14:paraId="3E84B4C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Facts: A car owner entrusted a dealer to sell their car. The dealer sold the car below the agreed price and retained the proceeds.</w:t>
      </w:r>
    </w:p>
    <w:p w14:paraId="0417472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Outcome: The court upheld the sale, emphasizing that the agent’s possession and apparent authority in the ordinary course of business protected the third-party buyer.</w:t>
      </w:r>
    </w:p>
    <w:p w14:paraId="0C1254E1"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Significance: The case underscores the emphasis on the </w:t>
      </w:r>
      <w:r w:rsidRPr="00295D8D">
        <w:rPr>
          <w:rFonts w:ascii="Times New Roman" w:hAnsi="Times New Roman"/>
          <w:b/>
          <w:bCs/>
          <w:lang w:val="en-HK"/>
        </w:rPr>
        <w:t>apparent authority</w:t>
      </w:r>
      <w:r w:rsidRPr="00295D8D">
        <w:rPr>
          <w:rFonts w:ascii="Times New Roman" w:hAnsi="Times New Roman"/>
          <w:lang w:val="en-HK"/>
        </w:rPr>
        <w:t xml:space="preserve"> of agents to protect good-faith purchasers.</w:t>
      </w:r>
    </w:p>
    <w:p w14:paraId="364EF2D0" w14:textId="77777777" w:rsidR="00295D8D" w:rsidRPr="00295D8D" w:rsidRDefault="00295D8D" w:rsidP="005C7DC1">
      <w:pPr>
        <w:numPr>
          <w:ilvl w:val="0"/>
          <w:numId w:val="6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lastRenderedPageBreak/>
        <w:t>Evans v Trueman (1830) 1 Moody &amp; R 10</w:t>
      </w:r>
      <w:r w:rsidRPr="00295D8D">
        <w:rPr>
          <w:rFonts w:ascii="Times New Roman" w:hAnsi="Times New Roman"/>
          <w:lang w:val="en-HK"/>
        </w:rPr>
        <w:t>:</w:t>
      </w:r>
    </w:p>
    <w:p w14:paraId="0DC5DC7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Outcome: Lord </w:t>
      </w:r>
      <w:proofErr w:type="spellStart"/>
      <w:r w:rsidRPr="00295D8D">
        <w:rPr>
          <w:rFonts w:ascii="Times New Roman" w:hAnsi="Times New Roman"/>
          <w:lang w:val="en-HK"/>
        </w:rPr>
        <w:t>Tenterden</w:t>
      </w:r>
      <w:proofErr w:type="spellEnd"/>
      <w:r w:rsidRPr="00295D8D">
        <w:rPr>
          <w:rFonts w:ascii="Times New Roman" w:hAnsi="Times New Roman"/>
          <w:lang w:val="en-HK"/>
        </w:rPr>
        <w:t xml:space="preserve"> highlighted that knowledge of circumstances that would lead a reasonable person to suspect the agent’s lack of authority suffices to negate the buyer’s good faith.</w:t>
      </w:r>
    </w:p>
    <w:p w14:paraId="7AA6D4CE" w14:textId="77777777" w:rsidR="00295D8D" w:rsidRPr="00295D8D" w:rsidRDefault="00295D8D" w:rsidP="005C7DC1">
      <w:pPr>
        <w:numPr>
          <w:ilvl w:val="0"/>
          <w:numId w:val="61"/>
        </w:numPr>
        <w:spacing w:before="100" w:beforeAutospacing="1" w:after="100" w:afterAutospacing="1" w:line="360" w:lineRule="auto"/>
        <w:rPr>
          <w:rFonts w:ascii="Times New Roman" w:hAnsi="Times New Roman"/>
          <w:lang w:val="en-HK"/>
        </w:rPr>
      </w:pPr>
      <w:proofErr w:type="spellStart"/>
      <w:r w:rsidRPr="00295D8D">
        <w:rPr>
          <w:rFonts w:ascii="Times New Roman" w:hAnsi="Times New Roman"/>
          <w:b/>
          <w:bCs/>
          <w:lang w:val="en-HK"/>
        </w:rPr>
        <w:t>Forristal</w:t>
      </w:r>
      <w:proofErr w:type="spellEnd"/>
      <w:r w:rsidRPr="00295D8D">
        <w:rPr>
          <w:rFonts w:ascii="Times New Roman" w:hAnsi="Times New Roman"/>
          <w:b/>
          <w:bCs/>
          <w:lang w:val="en-HK"/>
        </w:rPr>
        <w:t xml:space="preserve"> v McDonald (1883) 9 SCR 12</w:t>
      </w:r>
      <w:r w:rsidRPr="00295D8D">
        <w:rPr>
          <w:rFonts w:ascii="Times New Roman" w:hAnsi="Times New Roman"/>
          <w:lang w:val="en-HK"/>
        </w:rPr>
        <w:t>:</w:t>
      </w:r>
    </w:p>
    <w:p w14:paraId="6D3EE968"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Facts: A mercantile agent acted beyond their scope of authority in selling goods.</w:t>
      </w:r>
    </w:p>
    <w:p w14:paraId="218D1D50"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Outcome: The court ruled that actions </w:t>
      </w:r>
      <w:r w:rsidRPr="00295D8D">
        <w:rPr>
          <w:rFonts w:ascii="Times New Roman" w:hAnsi="Times New Roman"/>
          <w:b/>
          <w:bCs/>
          <w:lang w:val="en-HK"/>
        </w:rPr>
        <w:t>outside the ordinary course of business</w:t>
      </w:r>
      <w:r w:rsidRPr="00295D8D">
        <w:rPr>
          <w:rFonts w:ascii="Times New Roman" w:hAnsi="Times New Roman"/>
          <w:lang w:val="en-HK"/>
        </w:rPr>
        <w:t xml:space="preserve"> fall outside the protection of the Factors Act.</w:t>
      </w:r>
    </w:p>
    <w:p w14:paraId="3DAA5A82"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D465BDD">
          <v:rect id="_x0000_i1049" alt="" style="width:451.3pt;height:.05pt;mso-width-percent:0;mso-height-percent:0;mso-width-percent:0;mso-height-percent:0" o:hralign="center" o:hrstd="t" o:hr="t" fillcolor="#a0a0a0" stroked="f"/>
        </w:pict>
      </w:r>
    </w:p>
    <w:p w14:paraId="4B5EFBE7"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8.6. Judicial Observations</w:t>
      </w:r>
    </w:p>
    <w:p w14:paraId="15F29C1F"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Courts have acknowledged the tension between protecting innocent third parties and safeguarding owners’ property rights.</w:t>
      </w:r>
    </w:p>
    <w:p w14:paraId="175C0484"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Lord Denning (Pearson v Rose and Young)</w:t>
      </w:r>
      <w:r w:rsidRPr="00295D8D">
        <w:rPr>
          <w:rFonts w:ascii="Times New Roman" w:hAnsi="Times New Roman"/>
          <w:lang w:val="en-HK"/>
        </w:rPr>
        <w:t>: Noted that the Factors Act strikes a delicate balance between commercial expediency and fairness but emphasized that technical compliance with the Act is essential for its application.</w:t>
      </w:r>
    </w:p>
    <w:p w14:paraId="4025F8B8"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A8B8BBE">
          <v:rect id="_x0000_i1048" alt="" style="width:451.3pt;height:.05pt;mso-width-percent:0;mso-height-percent:0;mso-width-percent:0;mso-height-percent:0" o:hralign="center" o:hrstd="t" o:hr="t" fillcolor="#a0a0a0" stroked="f"/>
        </w:pict>
      </w:r>
    </w:p>
    <w:p w14:paraId="0BC3909A"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8.7. Critique of the Rule</w:t>
      </w:r>
    </w:p>
    <w:p w14:paraId="688F0AAE" w14:textId="77777777" w:rsidR="00295D8D" w:rsidRPr="00295D8D" w:rsidRDefault="00295D8D" w:rsidP="005C7DC1">
      <w:pPr>
        <w:numPr>
          <w:ilvl w:val="0"/>
          <w:numId w:val="6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Unfair to Owners</w:t>
      </w:r>
      <w:r w:rsidRPr="00295D8D">
        <w:rPr>
          <w:rFonts w:ascii="Times New Roman" w:hAnsi="Times New Roman"/>
          <w:lang w:val="en-HK"/>
        </w:rPr>
        <w:t>:</w:t>
      </w:r>
    </w:p>
    <w:p w14:paraId="5299B1E4"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provision places a heavy burden on owners to carefully select and monitor their agents. If an agent acts fraudulently or outside their authority, the owner may lose their rights to the goods.</w:t>
      </w:r>
    </w:p>
    <w:p w14:paraId="6D4A5B41" w14:textId="77777777" w:rsidR="00295D8D" w:rsidRPr="00295D8D" w:rsidRDefault="00295D8D" w:rsidP="005C7DC1">
      <w:pPr>
        <w:numPr>
          <w:ilvl w:val="0"/>
          <w:numId w:val="6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Complexity for Buyers</w:t>
      </w:r>
      <w:r w:rsidRPr="00295D8D">
        <w:rPr>
          <w:rFonts w:ascii="Times New Roman" w:hAnsi="Times New Roman"/>
          <w:lang w:val="en-HK"/>
        </w:rPr>
        <w:t>:</w:t>
      </w:r>
    </w:p>
    <w:p w14:paraId="589BCE3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Buyers must navigate the complexities of the agent’s apparent authority and good faith requirements. Determining whether an agent is acting in the ordinary course of business can be challenging.</w:t>
      </w:r>
    </w:p>
    <w:p w14:paraId="6C43DD23" w14:textId="77777777" w:rsidR="00295D8D" w:rsidRPr="00295D8D" w:rsidRDefault="00295D8D" w:rsidP="005C7DC1">
      <w:pPr>
        <w:numPr>
          <w:ilvl w:val="0"/>
          <w:numId w:val="6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Presumption of Consent</w:t>
      </w:r>
      <w:r w:rsidRPr="00295D8D">
        <w:rPr>
          <w:rFonts w:ascii="Times New Roman" w:hAnsi="Times New Roman"/>
          <w:lang w:val="en-HK"/>
        </w:rPr>
        <w:t>:</w:t>
      </w:r>
    </w:p>
    <w:p w14:paraId="028785E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Critics argue that the presumption of consent to possession by the agent can unfairly disadvantage owners who are unaware of the agent’s actions or fraud.</w:t>
      </w:r>
    </w:p>
    <w:p w14:paraId="24287789" w14:textId="77777777" w:rsidR="00295D8D" w:rsidRPr="00295D8D" w:rsidRDefault="00295D8D" w:rsidP="005C7DC1">
      <w:pPr>
        <w:numPr>
          <w:ilvl w:val="0"/>
          <w:numId w:val="6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Inconsistent Outcomes</w:t>
      </w:r>
      <w:r w:rsidRPr="00295D8D">
        <w:rPr>
          <w:rFonts w:ascii="Times New Roman" w:hAnsi="Times New Roman"/>
          <w:lang w:val="en-HK"/>
        </w:rPr>
        <w:t>:</w:t>
      </w:r>
    </w:p>
    <w:p w14:paraId="3F7E985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Cases like </w:t>
      </w:r>
      <w:r w:rsidRPr="00295D8D">
        <w:rPr>
          <w:rFonts w:ascii="Times New Roman" w:hAnsi="Times New Roman"/>
          <w:b/>
          <w:bCs/>
          <w:lang w:val="en-HK"/>
        </w:rPr>
        <w:t>Pearson</w:t>
      </w:r>
      <w:r w:rsidRPr="00295D8D">
        <w:rPr>
          <w:rFonts w:ascii="Times New Roman" w:hAnsi="Times New Roman"/>
          <w:lang w:val="en-HK"/>
        </w:rPr>
        <w:t xml:space="preserve"> highlight how small technicalities, such as possession of a logbook, can determine the outcome, creating </w:t>
      </w:r>
      <w:r w:rsidRPr="00295D8D">
        <w:rPr>
          <w:rFonts w:ascii="Times New Roman" w:hAnsi="Times New Roman"/>
          <w:b/>
          <w:bCs/>
          <w:lang w:val="en-HK"/>
        </w:rPr>
        <w:t>arbitrary and inequitable results</w:t>
      </w:r>
      <w:r w:rsidRPr="00295D8D">
        <w:rPr>
          <w:rFonts w:ascii="Times New Roman" w:hAnsi="Times New Roman"/>
          <w:lang w:val="en-HK"/>
        </w:rPr>
        <w:t>.</w:t>
      </w:r>
    </w:p>
    <w:p w14:paraId="76A71CB7"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73B614B">
          <v:rect id="_x0000_i1047" alt="" style="width:451.3pt;height:.05pt;mso-width-percent:0;mso-height-percent:0;mso-width-percent:0;mso-height-percent:0" o:hralign="center" o:hrstd="t" o:hr="t" fillcolor="#a0a0a0" stroked="f"/>
        </w:pict>
      </w:r>
    </w:p>
    <w:p w14:paraId="040593E4"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8.8. Broader Implications</w:t>
      </w:r>
    </w:p>
    <w:p w14:paraId="65074B99" w14:textId="77777777" w:rsidR="00295D8D" w:rsidRPr="00295D8D" w:rsidRDefault="00295D8D" w:rsidP="005C7DC1">
      <w:pPr>
        <w:numPr>
          <w:ilvl w:val="0"/>
          <w:numId w:val="6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Factors Act provisions reflect a </w:t>
      </w:r>
      <w:r w:rsidRPr="00295D8D">
        <w:rPr>
          <w:rFonts w:ascii="Times New Roman" w:hAnsi="Times New Roman"/>
          <w:b/>
          <w:bCs/>
          <w:lang w:val="en-HK"/>
        </w:rPr>
        <w:t>pragmatic approach</w:t>
      </w:r>
      <w:r w:rsidRPr="00295D8D">
        <w:rPr>
          <w:rFonts w:ascii="Times New Roman" w:hAnsi="Times New Roman"/>
          <w:lang w:val="en-HK"/>
        </w:rPr>
        <w:t xml:space="preserve"> to facilitate trade and credit. However, their reliance on technical requirements and presumptions often leads to </w:t>
      </w:r>
      <w:r w:rsidRPr="00295D8D">
        <w:rPr>
          <w:rFonts w:ascii="Times New Roman" w:hAnsi="Times New Roman"/>
          <w:b/>
          <w:bCs/>
          <w:lang w:val="en-HK"/>
        </w:rPr>
        <w:t>uncertainty and disputes</w:t>
      </w:r>
      <w:r w:rsidRPr="00295D8D">
        <w:rPr>
          <w:rFonts w:ascii="Times New Roman" w:hAnsi="Times New Roman"/>
          <w:lang w:val="en-HK"/>
        </w:rPr>
        <w:t>.</w:t>
      </w:r>
    </w:p>
    <w:p w14:paraId="63EC0824" w14:textId="77777777" w:rsidR="00295D8D" w:rsidRPr="00295D8D" w:rsidRDefault="00295D8D" w:rsidP="005C7DC1">
      <w:pPr>
        <w:numPr>
          <w:ilvl w:val="0"/>
          <w:numId w:val="6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suggests that a more </w:t>
      </w:r>
      <w:r w:rsidRPr="00295D8D">
        <w:rPr>
          <w:rFonts w:ascii="Times New Roman" w:hAnsi="Times New Roman"/>
          <w:b/>
          <w:bCs/>
          <w:lang w:val="en-HK"/>
        </w:rPr>
        <w:t>flexible and fairness-based approach</w:t>
      </w:r>
      <w:r w:rsidRPr="00295D8D">
        <w:rPr>
          <w:rFonts w:ascii="Times New Roman" w:hAnsi="Times New Roman"/>
          <w:lang w:val="en-HK"/>
        </w:rPr>
        <w:t xml:space="preserve"> could reduce the inequities faced by both owners and buyers.</w:t>
      </w:r>
    </w:p>
    <w:p w14:paraId="71014BEE"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049279E">
          <v:rect id="_x0000_i1046" alt="" style="width:451.3pt;height:.05pt;mso-width-percent:0;mso-height-percent:0;mso-width-percent:0;mso-height-percent:0" o:hralign="center" o:hrstd="t" o:hr="t" fillcolor="#a0a0a0" stroked="f"/>
        </w:pict>
      </w:r>
    </w:p>
    <w:p w14:paraId="59CAD728"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8.9. Conclusion</w:t>
      </w:r>
    </w:p>
    <w:p w14:paraId="55ACF05F" w14:textId="77777777" w:rsidR="00295D8D" w:rsidRPr="00295D8D" w:rsidRDefault="00295D8D" w:rsidP="005C7DC1">
      <w:pPr>
        <w:numPr>
          <w:ilvl w:val="0"/>
          <w:numId w:val="6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Factors Act provides an important exception to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protecting third-party buyers and financiers who rely on the apparent authority of mercantile agents.</w:t>
      </w:r>
    </w:p>
    <w:p w14:paraId="668E5A5B" w14:textId="77777777" w:rsidR="00295D8D" w:rsidRPr="00295D8D" w:rsidRDefault="00295D8D" w:rsidP="005C7DC1">
      <w:pPr>
        <w:numPr>
          <w:ilvl w:val="0"/>
          <w:numId w:val="6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However, the </w:t>
      </w:r>
      <w:r w:rsidRPr="00295D8D">
        <w:rPr>
          <w:rFonts w:ascii="Times New Roman" w:hAnsi="Times New Roman"/>
          <w:b/>
          <w:bCs/>
          <w:lang w:val="en-HK"/>
        </w:rPr>
        <w:t>technical nature</w:t>
      </w:r>
      <w:r w:rsidRPr="00295D8D">
        <w:rPr>
          <w:rFonts w:ascii="Times New Roman" w:hAnsi="Times New Roman"/>
          <w:lang w:val="en-HK"/>
        </w:rPr>
        <w:t xml:space="preserve"> of its provisions and the burden placed on owners and buyers often lead to </w:t>
      </w:r>
      <w:r w:rsidRPr="00295D8D">
        <w:rPr>
          <w:rFonts w:ascii="Times New Roman" w:hAnsi="Times New Roman"/>
          <w:b/>
          <w:bCs/>
          <w:lang w:val="en-HK"/>
        </w:rPr>
        <w:t>arbitrary outcomes</w:t>
      </w:r>
      <w:r w:rsidRPr="00295D8D">
        <w:rPr>
          <w:rFonts w:ascii="Times New Roman" w:hAnsi="Times New Roman"/>
          <w:lang w:val="en-HK"/>
        </w:rPr>
        <w:t>.</w:t>
      </w:r>
    </w:p>
    <w:p w14:paraId="7E2D39D5" w14:textId="77777777" w:rsidR="00295D8D" w:rsidRPr="00295D8D" w:rsidRDefault="00295D8D" w:rsidP="005C7DC1">
      <w:pPr>
        <w:numPr>
          <w:ilvl w:val="0"/>
          <w:numId w:val="6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highlights the need for reform to simplify the rules and ensure a more equitable balance between the rights of owners and good-faith purchasers.</w:t>
      </w:r>
    </w:p>
    <w:p w14:paraId="2810AC59"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576A94B5">
          <v:rect id="_x0000_i1045" alt="" style="width:451.3pt;height:.05pt;mso-width-percent:0;mso-height-percent:0;mso-width-percent:0;mso-height-percent:0" o:hralign="center" o:hrstd="t" o:hr="t" fillcolor="#a0a0a0" stroked="f"/>
        </w:pict>
      </w:r>
    </w:p>
    <w:p w14:paraId="04B469B6" w14:textId="77777777" w:rsidR="00295D8D" w:rsidRPr="00295D8D" w:rsidRDefault="00295D8D" w:rsidP="005C7DC1">
      <w:pPr>
        <w:spacing w:before="100" w:beforeAutospacing="1" w:after="100" w:afterAutospacing="1" w:line="360" w:lineRule="auto"/>
        <w:outlineLvl w:val="2"/>
        <w:rPr>
          <w:rFonts w:ascii="Times New Roman" w:hAnsi="Times New Roman"/>
          <w:b/>
          <w:bCs/>
          <w:lang w:val="en-HK"/>
        </w:rPr>
      </w:pPr>
      <w:r w:rsidRPr="00295D8D">
        <w:rPr>
          <w:rFonts w:ascii="Times New Roman" w:hAnsi="Times New Roman"/>
          <w:b/>
          <w:bCs/>
          <w:lang w:val="en-HK"/>
        </w:rPr>
        <w:lastRenderedPageBreak/>
        <w:t>9. Proposed Reform</w:t>
      </w:r>
    </w:p>
    <w:p w14:paraId="1848154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critically evaluates the shortcomings of the current legal framework governing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and its exceptions, proposing reforms to achieve greater fairness and consistency. It highlights the complexities, inconsistencies, and inequities that arise under the present rules and suggests practical and theoretical changes.</w:t>
      </w:r>
    </w:p>
    <w:p w14:paraId="20660EEE"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5FD4333C">
          <v:rect id="_x0000_i1044" alt="" style="width:451.3pt;height:.05pt;mso-width-percent:0;mso-height-percent:0;mso-width-percent:0;mso-height-percent:0" o:hralign="center" o:hrstd="t" o:hr="t" fillcolor="#a0a0a0" stroked="f"/>
        </w:pict>
      </w:r>
    </w:p>
    <w:p w14:paraId="06577FC7"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9.1. The Need for Reform</w:t>
      </w:r>
    </w:p>
    <w:p w14:paraId="65CDBB6D" w14:textId="77777777" w:rsidR="00295D8D" w:rsidRPr="00295D8D" w:rsidRDefault="00295D8D" w:rsidP="005C7DC1">
      <w:pPr>
        <w:numPr>
          <w:ilvl w:val="0"/>
          <w:numId w:val="66"/>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Complexity of Current Rules</w:t>
      </w:r>
      <w:r w:rsidRPr="00295D8D">
        <w:rPr>
          <w:rFonts w:ascii="Times New Roman" w:hAnsi="Times New Roman"/>
          <w:lang w:val="en-HK"/>
        </w:rPr>
        <w:t>:</w:t>
      </w:r>
    </w:p>
    <w:p w14:paraId="209C1F0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existing legal framework consists of technical, overlapping provisions, leading to confusion and inconsistent application.</w:t>
      </w:r>
    </w:p>
    <w:p w14:paraId="205F7F54"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states:</w:t>
      </w:r>
    </w:p>
    <w:p w14:paraId="0AA471F1"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"The rules are technical, and the rights of innocent parties have been determined by complex and often inconsistent application of commercial legal rules."</w:t>
      </w:r>
    </w:p>
    <w:p w14:paraId="61B3D568" w14:textId="77777777" w:rsidR="00295D8D" w:rsidRPr="00295D8D" w:rsidRDefault="00295D8D" w:rsidP="005C7DC1">
      <w:pPr>
        <w:numPr>
          <w:ilvl w:val="0"/>
          <w:numId w:val="66"/>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Fairness vs. Technicality</w:t>
      </w:r>
      <w:r w:rsidRPr="00295D8D">
        <w:rPr>
          <w:rFonts w:ascii="Times New Roman" w:hAnsi="Times New Roman"/>
          <w:lang w:val="en-HK"/>
        </w:rPr>
        <w:t>:</w:t>
      </w:r>
    </w:p>
    <w:p w14:paraId="4B0EF31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current system often prioritizes legal technicalities over fairness. Innocent purchasers are left vulnerable due to the piecemeal and rigid nature of the rules.</w:t>
      </w:r>
    </w:p>
    <w:p w14:paraId="179079F2" w14:textId="77777777" w:rsidR="00295D8D" w:rsidRPr="00295D8D" w:rsidRDefault="00295D8D" w:rsidP="005C7DC1">
      <w:pPr>
        <w:numPr>
          <w:ilvl w:val="0"/>
          <w:numId w:val="66"/>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Calls for Reform</w:t>
      </w:r>
      <w:r w:rsidRPr="00295D8D">
        <w:rPr>
          <w:rFonts w:ascii="Times New Roman" w:hAnsi="Times New Roman"/>
          <w:lang w:val="en-HK"/>
        </w:rPr>
        <w:t>:</w:t>
      </w:r>
    </w:p>
    <w:p w14:paraId="1CA3026C" w14:textId="77777777" w:rsidR="00295D8D" w:rsidRPr="00295D8D" w:rsidRDefault="00295D8D" w:rsidP="005C7DC1">
      <w:pPr>
        <w:numPr>
          <w:ilvl w:val="1"/>
          <w:numId w:val="6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Historical attempts at reform, such as the </w:t>
      </w:r>
      <w:r w:rsidRPr="00295D8D">
        <w:rPr>
          <w:rFonts w:ascii="Times New Roman" w:hAnsi="Times New Roman"/>
          <w:b/>
          <w:bCs/>
          <w:lang w:val="en-HK"/>
        </w:rPr>
        <w:t>1966 Law Reform Committee Report</w:t>
      </w:r>
      <w:r w:rsidRPr="00295D8D">
        <w:rPr>
          <w:rFonts w:ascii="Times New Roman" w:hAnsi="Times New Roman"/>
          <w:lang w:val="en-HK"/>
        </w:rPr>
        <w:t xml:space="preserve"> and the </w:t>
      </w:r>
      <w:r w:rsidRPr="00295D8D">
        <w:rPr>
          <w:rFonts w:ascii="Times New Roman" w:hAnsi="Times New Roman"/>
          <w:b/>
          <w:bCs/>
          <w:lang w:val="en-HK"/>
        </w:rPr>
        <w:t>1994 Department of Trade and Industry Consultation Paper</w:t>
      </w:r>
      <w:r w:rsidRPr="00295D8D">
        <w:rPr>
          <w:rFonts w:ascii="Times New Roman" w:hAnsi="Times New Roman"/>
          <w:lang w:val="en-HK"/>
        </w:rPr>
        <w:t>, have largely failed to simplify or modernize the law.</w:t>
      </w:r>
    </w:p>
    <w:p w14:paraId="34A0A3FB" w14:textId="77777777" w:rsidR="00295D8D" w:rsidRPr="00295D8D" w:rsidRDefault="00295D8D" w:rsidP="005C7DC1">
      <w:pPr>
        <w:numPr>
          <w:ilvl w:val="1"/>
          <w:numId w:val="6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critiques the lack of substantial progress in addressing the evident shortcomings.</w:t>
      </w:r>
    </w:p>
    <w:p w14:paraId="11BF973F"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4F77949">
          <v:rect id="_x0000_i1043" alt="" style="width:451.3pt;height:.05pt;mso-width-percent:0;mso-height-percent:0;mso-width-percent:0;mso-height-percent:0" o:hralign="center" o:hrstd="t" o:hr="t" fillcolor="#a0a0a0" stroked="f"/>
        </w:pict>
      </w:r>
    </w:p>
    <w:p w14:paraId="7E1A152A"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9.2. Specific Proposals for Reform</w:t>
      </w:r>
    </w:p>
    <w:p w14:paraId="49AADED3"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9.2.1. Protecting All (Consumer) Purchasers</w:t>
      </w:r>
    </w:p>
    <w:p w14:paraId="3B331427" w14:textId="77777777" w:rsidR="00295D8D" w:rsidRPr="00295D8D" w:rsidRDefault="00295D8D" w:rsidP="005C7DC1">
      <w:pPr>
        <w:numPr>
          <w:ilvl w:val="0"/>
          <w:numId w:val="6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lastRenderedPageBreak/>
        <w:t>Proposal</w:t>
      </w:r>
      <w:r w:rsidRPr="00295D8D">
        <w:rPr>
          <w:rFonts w:ascii="Times New Roman" w:hAnsi="Times New Roman"/>
          <w:lang w:val="en-HK"/>
        </w:rPr>
        <w:t>:</w:t>
      </w:r>
    </w:p>
    <w:p w14:paraId="3198EB4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Extend the right of good title to all </w:t>
      </w:r>
      <w:r w:rsidRPr="00295D8D">
        <w:rPr>
          <w:rFonts w:ascii="Times New Roman" w:hAnsi="Times New Roman"/>
          <w:b/>
          <w:bCs/>
          <w:lang w:val="en-HK"/>
        </w:rPr>
        <w:t>consumer purchasers</w:t>
      </w:r>
      <w:r w:rsidRPr="00295D8D">
        <w:rPr>
          <w:rFonts w:ascii="Times New Roman" w:hAnsi="Times New Roman"/>
          <w:lang w:val="en-HK"/>
        </w:rPr>
        <w:t xml:space="preserve"> acting in </w:t>
      </w:r>
      <w:r w:rsidRPr="00295D8D">
        <w:rPr>
          <w:rFonts w:ascii="Times New Roman" w:hAnsi="Times New Roman"/>
          <w:b/>
          <w:bCs/>
          <w:lang w:val="en-HK"/>
        </w:rPr>
        <w:t>good faith</w:t>
      </w:r>
      <w:r w:rsidRPr="00295D8D">
        <w:rPr>
          <w:rFonts w:ascii="Times New Roman" w:hAnsi="Times New Roman"/>
          <w:lang w:val="en-HK"/>
        </w:rPr>
        <w:t xml:space="preserve"> and without </w:t>
      </w:r>
      <w:r w:rsidRPr="00295D8D">
        <w:rPr>
          <w:rFonts w:ascii="Times New Roman" w:hAnsi="Times New Roman"/>
          <w:b/>
          <w:bCs/>
          <w:lang w:val="en-HK"/>
        </w:rPr>
        <w:t>notice</w:t>
      </w:r>
      <w:r w:rsidRPr="00295D8D">
        <w:rPr>
          <w:rFonts w:ascii="Times New Roman" w:hAnsi="Times New Roman"/>
          <w:lang w:val="en-HK"/>
        </w:rPr>
        <w:t xml:space="preserve"> of a defect in the seller’s title.</w:t>
      </w:r>
    </w:p>
    <w:p w14:paraId="52876EE4" w14:textId="77777777" w:rsidR="00295D8D" w:rsidRPr="00295D8D" w:rsidRDefault="00295D8D" w:rsidP="005C7DC1">
      <w:pPr>
        <w:numPr>
          <w:ilvl w:val="0"/>
          <w:numId w:val="6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Rationale</w:t>
      </w:r>
      <w:r w:rsidRPr="00295D8D">
        <w:rPr>
          <w:rFonts w:ascii="Times New Roman" w:hAnsi="Times New Roman"/>
          <w:lang w:val="en-HK"/>
        </w:rPr>
        <w:t>:</w:t>
      </w:r>
    </w:p>
    <w:p w14:paraId="30B6081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proposal prioritizes consumer protection, recognizing that consumers are often at a disadvantage in verifying title.</w:t>
      </w:r>
    </w:p>
    <w:p w14:paraId="5260CCA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It acknowledges that owners who entrust their goods to others should bear the risk of subsequent unauthorized transactions.</w:t>
      </w:r>
    </w:p>
    <w:p w14:paraId="6697A690" w14:textId="77777777" w:rsidR="00295D8D" w:rsidRPr="00295D8D" w:rsidRDefault="00295D8D" w:rsidP="005C7DC1">
      <w:pPr>
        <w:numPr>
          <w:ilvl w:val="0"/>
          <w:numId w:val="67"/>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Potential Issues</w:t>
      </w:r>
      <w:r w:rsidRPr="00295D8D">
        <w:rPr>
          <w:rFonts w:ascii="Times New Roman" w:hAnsi="Times New Roman"/>
          <w:lang w:val="en-HK"/>
        </w:rPr>
        <w:t>:</w:t>
      </w:r>
    </w:p>
    <w:p w14:paraId="62DDCD3C"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This proposal would shift the burden entirely onto true owners, even in cases where they are blameless.</w:t>
      </w:r>
    </w:p>
    <w:p w14:paraId="7217585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suggests linking this reform to a reintroduction of the </w:t>
      </w:r>
      <w:r w:rsidRPr="00295D8D">
        <w:rPr>
          <w:rFonts w:ascii="Times New Roman" w:hAnsi="Times New Roman"/>
          <w:b/>
          <w:bCs/>
          <w:lang w:val="en-HK"/>
        </w:rPr>
        <w:t>market overt rule</w:t>
      </w:r>
      <w:r w:rsidRPr="00295D8D">
        <w:rPr>
          <w:rFonts w:ascii="Times New Roman" w:hAnsi="Times New Roman"/>
          <w:lang w:val="en-HK"/>
        </w:rPr>
        <w:t>.</w:t>
      </w:r>
    </w:p>
    <w:p w14:paraId="04A56192"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3FEB548">
          <v:rect id="_x0000_i1042" alt="" style="width:451.3pt;height:.05pt;mso-width-percent:0;mso-height-percent:0;mso-width-percent:0;mso-height-percent:0" o:hralign="center" o:hrstd="t" o:hr="t" fillcolor="#a0a0a0" stroked="f"/>
        </w:pict>
      </w:r>
    </w:p>
    <w:p w14:paraId="579CCEAB"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9.2.2. Re-introduction of the "</w:t>
      </w:r>
      <w:r w:rsidRPr="007B0AE0">
        <w:rPr>
          <w:rFonts w:ascii="Times New Roman" w:hAnsi="Times New Roman"/>
          <w:b/>
          <w:bCs/>
          <w:u w:val="single"/>
          <w:lang w:val="en-HK"/>
        </w:rPr>
        <w:t>Market Overt Rule</w:t>
      </w:r>
      <w:r w:rsidRPr="00295D8D">
        <w:rPr>
          <w:rFonts w:ascii="Times New Roman" w:hAnsi="Times New Roman"/>
          <w:b/>
          <w:bCs/>
          <w:lang w:val="en-HK"/>
        </w:rPr>
        <w:t>"</w:t>
      </w:r>
    </w:p>
    <w:p w14:paraId="35B14B8A" w14:textId="77777777" w:rsidR="00295D8D" w:rsidRPr="00295D8D" w:rsidRDefault="00295D8D" w:rsidP="005C7DC1">
      <w:pPr>
        <w:numPr>
          <w:ilvl w:val="0"/>
          <w:numId w:val="68"/>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Historical Context</w:t>
      </w:r>
      <w:r w:rsidRPr="00295D8D">
        <w:rPr>
          <w:rFonts w:ascii="Times New Roman" w:hAnsi="Times New Roman"/>
          <w:lang w:val="en-HK"/>
        </w:rPr>
        <w:t>:</w:t>
      </w:r>
    </w:p>
    <w:p w14:paraId="6DABC9AB"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w:t>
      </w:r>
      <w:r w:rsidRPr="00295D8D">
        <w:rPr>
          <w:rFonts w:ascii="Times New Roman" w:hAnsi="Times New Roman"/>
          <w:b/>
          <w:bCs/>
          <w:lang w:val="en-HK"/>
        </w:rPr>
        <w:t>market overt rule</w:t>
      </w:r>
      <w:r w:rsidRPr="00295D8D">
        <w:rPr>
          <w:rFonts w:ascii="Times New Roman" w:hAnsi="Times New Roman"/>
          <w:lang w:val="en-HK"/>
        </w:rPr>
        <w:t xml:space="preserve"> was abolished by the </w:t>
      </w:r>
      <w:r w:rsidRPr="00295D8D">
        <w:rPr>
          <w:rFonts w:ascii="Times New Roman" w:hAnsi="Times New Roman"/>
          <w:b/>
          <w:bCs/>
          <w:lang w:val="en-HK"/>
        </w:rPr>
        <w:t>Sale of Goods (Amendment) Act 1994</w:t>
      </w:r>
      <w:r w:rsidRPr="00295D8D">
        <w:rPr>
          <w:rFonts w:ascii="Times New Roman" w:hAnsi="Times New Roman"/>
          <w:lang w:val="en-HK"/>
        </w:rPr>
        <w:t xml:space="preserve">. Under this rule, a good-faith purchaser who bought goods in </w:t>
      </w:r>
      <w:r w:rsidRPr="007B0AE0">
        <w:rPr>
          <w:rFonts w:ascii="Times New Roman" w:hAnsi="Times New Roman"/>
          <w:b/>
          <w:bCs/>
          <w:lang w:val="en-HK"/>
        </w:rPr>
        <w:t>a public market</w:t>
      </w:r>
      <w:r w:rsidRPr="00295D8D">
        <w:rPr>
          <w:rFonts w:ascii="Times New Roman" w:hAnsi="Times New Roman"/>
          <w:lang w:val="en-HK"/>
        </w:rPr>
        <w:t xml:space="preserve"> or shop in certain jurisdictions acquired good title, even if the seller lacked authority to sell.</w:t>
      </w:r>
    </w:p>
    <w:p w14:paraId="72648B78" w14:textId="77777777" w:rsidR="00295D8D" w:rsidRPr="00295D8D" w:rsidRDefault="00295D8D" w:rsidP="005C7DC1">
      <w:pPr>
        <w:numPr>
          <w:ilvl w:val="0"/>
          <w:numId w:val="68"/>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Proposed Re-introduction</w:t>
      </w:r>
      <w:r w:rsidRPr="00295D8D">
        <w:rPr>
          <w:rFonts w:ascii="Times New Roman" w:hAnsi="Times New Roman"/>
          <w:lang w:val="en-HK"/>
        </w:rPr>
        <w:t>:</w:t>
      </w:r>
    </w:p>
    <w:p w14:paraId="16477F72" w14:textId="77777777" w:rsidR="00295D8D" w:rsidRPr="007B0AE0" w:rsidRDefault="00295D8D" w:rsidP="005C7DC1">
      <w:pPr>
        <w:spacing w:before="100" w:beforeAutospacing="1" w:after="100" w:afterAutospacing="1" w:line="360" w:lineRule="auto"/>
        <w:rPr>
          <w:rFonts w:ascii="Times New Roman" w:hAnsi="Times New Roman"/>
          <w:b/>
          <w:bCs/>
          <w:color w:val="FF0000"/>
          <w:lang w:val="en-HK"/>
        </w:rPr>
      </w:pPr>
      <w:r w:rsidRPr="007B0AE0">
        <w:rPr>
          <w:rFonts w:ascii="Times New Roman" w:hAnsi="Times New Roman"/>
          <w:b/>
          <w:bCs/>
          <w:color w:val="FF0000"/>
          <w:lang w:val="en-HK"/>
        </w:rPr>
        <w:t>The document advocates for a modernized version of this rule, extended to all trade premises and public auctions.</w:t>
      </w:r>
    </w:p>
    <w:p w14:paraId="4FF0EDD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Consumers purchasing goods in good faith and without notice would acquire good title, leaving disputes to be resolved between the true owner and the trade seller.</w:t>
      </w:r>
    </w:p>
    <w:p w14:paraId="68E11823" w14:textId="77777777" w:rsidR="00295D8D" w:rsidRPr="00295D8D" w:rsidRDefault="00295D8D" w:rsidP="005C7DC1">
      <w:pPr>
        <w:numPr>
          <w:ilvl w:val="0"/>
          <w:numId w:val="68"/>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lastRenderedPageBreak/>
        <w:t>Advantages</w:t>
      </w:r>
      <w:r w:rsidRPr="00295D8D">
        <w:rPr>
          <w:rFonts w:ascii="Times New Roman" w:hAnsi="Times New Roman"/>
          <w:lang w:val="en-HK"/>
        </w:rPr>
        <w:t>:</w:t>
      </w:r>
    </w:p>
    <w:p w14:paraId="1E67D80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Simplifies the law by providing a clear rule for consumer transactions.</w:t>
      </w:r>
    </w:p>
    <w:p w14:paraId="10D81C54"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Promotes consumer confidence and transactional certainty.</w:t>
      </w:r>
    </w:p>
    <w:p w14:paraId="4DC37F6F" w14:textId="77777777" w:rsidR="00295D8D" w:rsidRPr="00295D8D" w:rsidRDefault="00295D8D" w:rsidP="005C7DC1">
      <w:pPr>
        <w:numPr>
          <w:ilvl w:val="0"/>
          <w:numId w:val="68"/>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Critique</w:t>
      </w:r>
      <w:r w:rsidRPr="00295D8D">
        <w:rPr>
          <w:rFonts w:ascii="Times New Roman" w:hAnsi="Times New Roman"/>
          <w:lang w:val="en-HK"/>
        </w:rPr>
        <w:t>:</w:t>
      </w:r>
    </w:p>
    <w:p w14:paraId="5FFC92A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acknowledges that the historical rule was geographically limited and outdated in scope. A broader application would be necessary to make the rule equitable in modern commerce.</w:t>
      </w:r>
    </w:p>
    <w:p w14:paraId="7792D586"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478BAFB">
          <v:rect id="_x0000_i1041" alt="" style="width:451.3pt;height:.05pt;mso-width-percent:0;mso-height-percent:0;mso-width-percent:0;mso-height-percent:0" o:hralign="center" o:hrstd="t" o:hr="t" fillcolor="#a0a0a0" stroked="f"/>
        </w:pict>
      </w:r>
    </w:p>
    <w:p w14:paraId="5716731C"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9.2.3. Placing the Risk on Owners</w:t>
      </w:r>
    </w:p>
    <w:p w14:paraId="134AD590" w14:textId="77777777" w:rsidR="00295D8D" w:rsidRPr="00295D8D" w:rsidRDefault="00295D8D" w:rsidP="005C7DC1">
      <w:pPr>
        <w:numPr>
          <w:ilvl w:val="0"/>
          <w:numId w:val="69"/>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Proposal</w:t>
      </w:r>
      <w:r w:rsidRPr="00295D8D">
        <w:rPr>
          <w:rFonts w:ascii="Times New Roman" w:hAnsi="Times New Roman"/>
          <w:lang w:val="en-HK"/>
        </w:rPr>
        <w:t>:</w:t>
      </w:r>
    </w:p>
    <w:p w14:paraId="38EFA75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Shift the legal risk to owners who entrust goods to others, requiring them to bear responsibility for subsequent transactions unless theft, fraud, or bad faith by the purchaser can be demonstrated.</w:t>
      </w:r>
    </w:p>
    <w:p w14:paraId="5CF48183" w14:textId="77777777" w:rsidR="00295D8D" w:rsidRPr="00295D8D" w:rsidRDefault="00295D8D" w:rsidP="005C7DC1">
      <w:pPr>
        <w:numPr>
          <w:ilvl w:val="0"/>
          <w:numId w:val="69"/>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Justification</w:t>
      </w:r>
      <w:r w:rsidRPr="00295D8D">
        <w:rPr>
          <w:rFonts w:ascii="Times New Roman" w:hAnsi="Times New Roman"/>
          <w:lang w:val="en-HK"/>
        </w:rPr>
        <w:t>:</w:t>
      </w:r>
    </w:p>
    <w:p w14:paraId="2B19598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Owners, particularly businesses, are often better equipped to manage risks through insurance or oversight of agents.</w:t>
      </w:r>
    </w:p>
    <w:p w14:paraId="068D63B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This reform aligns with the principle that “the party in the best position to avoid the loss should bear it.”</w:t>
      </w:r>
    </w:p>
    <w:p w14:paraId="79366599" w14:textId="77777777" w:rsidR="00295D8D" w:rsidRPr="00295D8D" w:rsidRDefault="00295D8D" w:rsidP="005C7DC1">
      <w:pPr>
        <w:numPr>
          <w:ilvl w:val="0"/>
          <w:numId w:val="69"/>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Criticism</w:t>
      </w:r>
      <w:r w:rsidRPr="00295D8D">
        <w:rPr>
          <w:rFonts w:ascii="Times New Roman" w:hAnsi="Times New Roman"/>
          <w:lang w:val="en-HK"/>
        </w:rPr>
        <w:t>:</w:t>
      </w:r>
    </w:p>
    <w:p w14:paraId="36E498C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warns that this approach may unfairly penalize individual owners who lack the resources to safeguard against unauthorized transactions.</w:t>
      </w:r>
    </w:p>
    <w:p w14:paraId="7AC6611C"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5F1C624F">
          <v:rect id="_x0000_i1040" alt="" style="width:451.3pt;height:.05pt;mso-width-percent:0;mso-height-percent:0;mso-width-percent:0;mso-height-percent:0" o:hralign="center" o:hrstd="t" o:hr="t" fillcolor="#a0a0a0" stroked="f"/>
        </w:pict>
      </w:r>
    </w:p>
    <w:p w14:paraId="2788664F"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9.2.4. Apportionment</w:t>
      </w:r>
    </w:p>
    <w:p w14:paraId="36C9B732" w14:textId="77777777" w:rsidR="00295D8D" w:rsidRPr="00295D8D" w:rsidRDefault="00295D8D" w:rsidP="005C7DC1">
      <w:pPr>
        <w:numPr>
          <w:ilvl w:val="0"/>
          <w:numId w:val="7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lastRenderedPageBreak/>
        <w:t>Proposal</w:t>
      </w:r>
      <w:r w:rsidRPr="00295D8D">
        <w:rPr>
          <w:rFonts w:ascii="Times New Roman" w:hAnsi="Times New Roman"/>
          <w:lang w:val="en-HK"/>
        </w:rPr>
        <w:t>:</w:t>
      </w:r>
    </w:p>
    <w:p w14:paraId="7385D27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Introduce an </w:t>
      </w:r>
      <w:r w:rsidRPr="00295D8D">
        <w:rPr>
          <w:rFonts w:ascii="Times New Roman" w:hAnsi="Times New Roman"/>
          <w:b/>
          <w:bCs/>
          <w:lang w:val="en-HK"/>
        </w:rPr>
        <w:t>apportionment system</w:t>
      </w:r>
      <w:r w:rsidRPr="00295D8D">
        <w:rPr>
          <w:rFonts w:ascii="Times New Roman" w:hAnsi="Times New Roman"/>
          <w:lang w:val="en-HK"/>
        </w:rPr>
        <w:t>, allowing courts to allocate responsibility and losses between the true owner and the good-faith purchaser based on their respective levels of fault.</w:t>
      </w:r>
    </w:p>
    <w:p w14:paraId="6FE87FF0" w14:textId="77777777" w:rsidR="00295D8D" w:rsidRPr="00295D8D" w:rsidRDefault="00295D8D" w:rsidP="005C7DC1">
      <w:pPr>
        <w:numPr>
          <w:ilvl w:val="0"/>
          <w:numId w:val="7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Judicial Support</w:t>
      </w:r>
      <w:r w:rsidRPr="00295D8D">
        <w:rPr>
          <w:rFonts w:ascii="Times New Roman" w:hAnsi="Times New Roman"/>
          <w:lang w:val="en-HK"/>
        </w:rPr>
        <w:t>:</w:t>
      </w:r>
    </w:p>
    <w:p w14:paraId="45811080"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Devlin LJ (Ingram v Little [1961] 1 QB 31)</w:t>
      </w:r>
      <w:r w:rsidRPr="00295D8D">
        <w:rPr>
          <w:rFonts w:ascii="Times New Roman" w:hAnsi="Times New Roman"/>
          <w:lang w:val="en-HK"/>
        </w:rPr>
        <w:t xml:space="preserve"> advocated for apportionment, criticizing the "all or nothing" nature of the current system.</w:t>
      </w:r>
    </w:p>
    <w:p w14:paraId="0362D126" w14:textId="77777777" w:rsidR="00295D8D" w:rsidRPr="00295D8D" w:rsidRDefault="00295D8D" w:rsidP="005C7DC1">
      <w:pPr>
        <w:numPr>
          <w:ilvl w:val="0"/>
          <w:numId w:val="7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Advantages</w:t>
      </w:r>
      <w:r w:rsidRPr="00295D8D">
        <w:rPr>
          <w:rFonts w:ascii="Times New Roman" w:hAnsi="Times New Roman"/>
          <w:lang w:val="en-HK"/>
        </w:rPr>
        <w:t>:</w:t>
      </w:r>
    </w:p>
    <w:p w14:paraId="00FE5FB2"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Provides a fairer resolution by considering the actions of both parties, such as whether they took reasonable steps to verify credentials or ownership.</w:t>
      </w:r>
    </w:p>
    <w:p w14:paraId="39A9EEAE" w14:textId="77777777" w:rsidR="00295D8D" w:rsidRPr="00295D8D" w:rsidRDefault="00295D8D" w:rsidP="005C7DC1">
      <w:pPr>
        <w:numPr>
          <w:ilvl w:val="0"/>
          <w:numId w:val="70"/>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Opposition</w:t>
      </w:r>
      <w:r w:rsidRPr="00295D8D">
        <w:rPr>
          <w:rFonts w:ascii="Times New Roman" w:hAnsi="Times New Roman"/>
          <w:lang w:val="en-HK"/>
        </w:rPr>
        <w:t>:</w:t>
      </w:r>
    </w:p>
    <w:p w14:paraId="473659D6"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w:t>
      </w:r>
      <w:r w:rsidRPr="00295D8D">
        <w:rPr>
          <w:rFonts w:ascii="Times New Roman" w:hAnsi="Times New Roman"/>
          <w:b/>
          <w:bCs/>
          <w:lang w:val="en-HK"/>
        </w:rPr>
        <w:t>1966 Law Reform Committee</w:t>
      </w:r>
      <w:r w:rsidRPr="00295D8D">
        <w:rPr>
          <w:rFonts w:ascii="Times New Roman" w:hAnsi="Times New Roman"/>
          <w:lang w:val="en-HK"/>
        </w:rPr>
        <w:t xml:space="preserve"> rejected apportionment, citing concerns about increased litigation and uncertainty. The document notes this critique but maintains that apportionment could address the inequities of the current framework.</w:t>
      </w:r>
    </w:p>
    <w:p w14:paraId="0B2136C5"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66C59536">
          <v:rect id="_x0000_i1039" alt="" style="width:451.3pt;height:.05pt;mso-width-percent:0;mso-height-percent:0;mso-width-percent:0;mso-height-percent:0" o:hralign="center" o:hrstd="t" o:hr="t" fillcolor="#a0a0a0" stroked="f"/>
        </w:pict>
      </w:r>
    </w:p>
    <w:p w14:paraId="143ED6BF"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9.2.5. Duty to Inspect Credentials</w:t>
      </w:r>
    </w:p>
    <w:p w14:paraId="49C1132F" w14:textId="77777777" w:rsidR="00295D8D" w:rsidRPr="00295D8D" w:rsidRDefault="00295D8D" w:rsidP="005C7DC1">
      <w:pPr>
        <w:numPr>
          <w:ilvl w:val="0"/>
          <w:numId w:val="7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Proposal</w:t>
      </w:r>
      <w:r w:rsidRPr="00295D8D">
        <w:rPr>
          <w:rFonts w:ascii="Times New Roman" w:hAnsi="Times New Roman"/>
          <w:lang w:val="en-HK"/>
        </w:rPr>
        <w:t>:</w:t>
      </w:r>
    </w:p>
    <w:p w14:paraId="0F09DBF4" w14:textId="77777777" w:rsidR="00295D8D" w:rsidRPr="00295D8D" w:rsidRDefault="00295D8D" w:rsidP="005C7DC1">
      <w:pPr>
        <w:numPr>
          <w:ilvl w:val="1"/>
          <w:numId w:val="87"/>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Impose a duty on all parties to inspect the credentials of sellers and verify the ownership of goods.</w:t>
      </w:r>
    </w:p>
    <w:p w14:paraId="0847C602" w14:textId="77777777" w:rsidR="00295D8D" w:rsidRPr="00295D8D" w:rsidRDefault="00295D8D" w:rsidP="005C7DC1">
      <w:pPr>
        <w:numPr>
          <w:ilvl w:val="1"/>
          <w:numId w:val="87"/>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Business purchasers would bear a heavier duty due to their greater access to resources and data.</w:t>
      </w:r>
    </w:p>
    <w:p w14:paraId="4483EE34" w14:textId="77777777" w:rsidR="00295D8D" w:rsidRPr="00295D8D" w:rsidRDefault="00295D8D" w:rsidP="005C7DC1">
      <w:pPr>
        <w:numPr>
          <w:ilvl w:val="0"/>
          <w:numId w:val="7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Potential Benefits</w:t>
      </w:r>
      <w:r w:rsidRPr="00295D8D">
        <w:rPr>
          <w:rFonts w:ascii="Times New Roman" w:hAnsi="Times New Roman"/>
          <w:lang w:val="en-HK"/>
        </w:rPr>
        <w:t>:</w:t>
      </w:r>
    </w:p>
    <w:p w14:paraId="14561291"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Encourages </w:t>
      </w:r>
      <w:r w:rsidRPr="00295D8D">
        <w:rPr>
          <w:rFonts w:ascii="Times New Roman" w:hAnsi="Times New Roman"/>
          <w:b/>
          <w:bCs/>
          <w:lang w:val="en-HK"/>
        </w:rPr>
        <w:t>due diligence</w:t>
      </w:r>
      <w:r w:rsidRPr="00295D8D">
        <w:rPr>
          <w:rFonts w:ascii="Times New Roman" w:hAnsi="Times New Roman"/>
          <w:lang w:val="en-HK"/>
        </w:rPr>
        <w:t xml:space="preserve"> and reduces disputes arising from fraud or misrepresentation.</w:t>
      </w:r>
    </w:p>
    <w:p w14:paraId="4512F7B4" w14:textId="77777777" w:rsidR="00295D8D" w:rsidRPr="00295D8D" w:rsidRDefault="00295D8D" w:rsidP="005C7DC1">
      <w:pPr>
        <w:numPr>
          <w:ilvl w:val="0"/>
          <w:numId w:val="71"/>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Concerns</w:t>
      </w:r>
      <w:r w:rsidRPr="00295D8D">
        <w:rPr>
          <w:rFonts w:ascii="Times New Roman" w:hAnsi="Times New Roman"/>
          <w:lang w:val="en-HK"/>
        </w:rPr>
        <w:t>:</w:t>
      </w:r>
    </w:p>
    <w:p w14:paraId="03B5829F"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 xml:space="preserve">The document acknowledges that this duty may </w:t>
      </w:r>
      <w:r w:rsidRPr="00295D8D">
        <w:rPr>
          <w:rFonts w:ascii="Times New Roman" w:hAnsi="Times New Roman"/>
          <w:b/>
          <w:bCs/>
          <w:lang w:val="en-HK"/>
        </w:rPr>
        <w:t>unfairly burden purchasers</w:t>
      </w:r>
      <w:r w:rsidRPr="00295D8D">
        <w:rPr>
          <w:rFonts w:ascii="Times New Roman" w:hAnsi="Times New Roman"/>
          <w:lang w:val="en-HK"/>
        </w:rPr>
        <w:t>, particularly individual consumers.</w:t>
      </w:r>
    </w:p>
    <w:p w14:paraId="6560B326"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81E8964">
          <v:rect id="_x0000_i1038" alt="" style="width:451.3pt;height:.05pt;mso-width-percent:0;mso-height-percent:0;mso-width-percent:0;mso-height-percent:0" o:hralign="center" o:hrstd="t" o:hr="t" fillcolor="#a0a0a0" stroked="f"/>
        </w:pict>
      </w:r>
    </w:p>
    <w:p w14:paraId="49C5AB25"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9.2.6. One Principle of Fairness with Statutory Guidelines</w:t>
      </w:r>
    </w:p>
    <w:p w14:paraId="3F438B53" w14:textId="77777777" w:rsidR="00295D8D" w:rsidRPr="00295D8D" w:rsidRDefault="00295D8D" w:rsidP="005C7DC1">
      <w:pPr>
        <w:numPr>
          <w:ilvl w:val="0"/>
          <w:numId w:val="72"/>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Proposal</w:t>
      </w:r>
      <w:r w:rsidRPr="00295D8D">
        <w:rPr>
          <w:rFonts w:ascii="Times New Roman" w:hAnsi="Times New Roman"/>
          <w:lang w:val="en-HK"/>
        </w:rPr>
        <w:t>:</w:t>
      </w:r>
    </w:p>
    <w:p w14:paraId="1D44C3AD" w14:textId="77777777" w:rsidR="00295D8D" w:rsidRPr="00295D8D" w:rsidRDefault="00295D8D" w:rsidP="005C7DC1">
      <w:pPr>
        <w:numPr>
          <w:ilvl w:val="1"/>
          <w:numId w:val="7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Replace the existing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and its exceptions with a </w:t>
      </w:r>
      <w:r w:rsidRPr="00295D8D">
        <w:rPr>
          <w:rFonts w:ascii="Times New Roman" w:hAnsi="Times New Roman"/>
          <w:b/>
          <w:bCs/>
          <w:lang w:val="en-HK"/>
        </w:rPr>
        <w:t>single principle of fairness</w:t>
      </w:r>
      <w:r w:rsidRPr="00295D8D">
        <w:rPr>
          <w:rFonts w:ascii="Times New Roman" w:hAnsi="Times New Roman"/>
          <w:lang w:val="en-HK"/>
        </w:rPr>
        <w:t>, allowing courts to determine title disputes based on equity and commercial fairness.</w:t>
      </w:r>
    </w:p>
    <w:p w14:paraId="72137320" w14:textId="77777777" w:rsidR="00295D8D" w:rsidRPr="00295D8D" w:rsidRDefault="00295D8D" w:rsidP="005C7DC1">
      <w:pPr>
        <w:numPr>
          <w:ilvl w:val="1"/>
          <w:numId w:val="7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Statutory guidelines would assist courts in assessing factors such as fault, risk allocation, and the ability of parties to insure against losses.</w:t>
      </w:r>
    </w:p>
    <w:p w14:paraId="6F348410" w14:textId="77777777" w:rsidR="00295D8D" w:rsidRPr="00295D8D" w:rsidRDefault="00295D8D" w:rsidP="005C7DC1">
      <w:pPr>
        <w:numPr>
          <w:ilvl w:val="0"/>
          <w:numId w:val="72"/>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Advantages</w:t>
      </w:r>
      <w:r w:rsidRPr="00295D8D">
        <w:rPr>
          <w:rFonts w:ascii="Times New Roman" w:hAnsi="Times New Roman"/>
          <w:lang w:val="en-HK"/>
        </w:rPr>
        <w:t>:</w:t>
      </w:r>
    </w:p>
    <w:p w14:paraId="4CBB5A2A" w14:textId="77777777" w:rsidR="00295D8D" w:rsidRPr="00295D8D" w:rsidRDefault="00295D8D" w:rsidP="005C7DC1">
      <w:pPr>
        <w:numPr>
          <w:ilvl w:val="1"/>
          <w:numId w:val="7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Simplifies the law by eliminating the need for technical distinctions between exceptions.</w:t>
      </w:r>
    </w:p>
    <w:p w14:paraId="4A7EDCF1" w14:textId="77777777" w:rsidR="00295D8D" w:rsidRPr="00295D8D" w:rsidRDefault="00295D8D" w:rsidP="005C7DC1">
      <w:pPr>
        <w:numPr>
          <w:ilvl w:val="1"/>
          <w:numId w:val="7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Promotes equitable outcomes tailored to the specific facts of each case.</w:t>
      </w:r>
    </w:p>
    <w:p w14:paraId="7FEEE1AA" w14:textId="77777777" w:rsidR="00295D8D" w:rsidRPr="00295D8D" w:rsidRDefault="00295D8D" w:rsidP="005C7DC1">
      <w:pPr>
        <w:numPr>
          <w:ilvl w:val="0"/>
          <w:numId w:val="72"/>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Critique</w:t>
      </w:r>
      <w:r w:rsidRPr="00295D8D">
        <w:rPr>
          <w:rFonts w:ascii="Times New Roman" w:hAnsi="Times New Roman"/>
          <w:lang w:val="en-HK"/>
        </w:rPr>
        <w:t>:</w:t>
      </w:r>
    </w:p>
    <w:p w14:paraId="0A5427FA"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highlights the potential for inconsistency and subjectivity in judicial decision-making, even with statutory guidelines.</w:t>
      </w:r>
    </w:p>
    <w:p w14:paraId="598E66FA"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131CFA5C">
          <v:rect id="_x0000_i1037" alt="" style="width:451.3pt;height:.05pt;mso-width-percent:0;mso-height-percent:0;mso-width-percent:0;mso-height-percent:0" o:hralign="center" o:hrstd="t" o:hr="t" fillcolor="#a0a0a0" stroked="f"/>
        </w:pict>
      </w:r>
    </w:p>
    <w:p w14:paraId="471177C3"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9.3. Broader Critiques of Proposed Reforms</w:t>
      </w:r>
    </w:p>
    <w:p w14:paraId="042C3FBF" w14:textId="77777777" w:rsidR="00295D8D" w:rsidRPr="00295D8D" w:rsidRDefault="00295D8D" w:rsidP="005C7DC1">
      <w:pPr>
        <w:numPr>
          <w:ilvl w:val="0"/>
          <w:numId w:val="7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Evidence-Based Reform</w:t>
      </w:r>
      <w:r w:rsidRPr="00295D8D">
        <w:rPr>
          <w:rFonts w:ascii="Times New Roman" w:hAnsi="Times New Roman"/>
          <w:lang w:val="en-HK"/>
        </w:rPr>
        <w:t>:</w:t>
      </w:r>
    </w:p>
    <w:p w14:paraId="309635F0" w14:textId="77777777" w:rsidR="00295D8D" w:rsidRPr="00295D8D" w:rsidRDefault="00295D8D" w:rsidP="005C7DC1">
      <w:pPr>
        <w:numPr>
          <w:ilvl w:val="1"/>
          <w:numId w:val="73"/>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echoes Professor </w:t>
      </w:r>
      <w:proofErr w:type="spellStart"/>
      <w:r w:rsidRPr="00295D8D">
        <w:rPr>
          <w:rFonts w:ascii="Times New Roman" w:hAnsi="Times New Roman"/>
          <w:lang w:val="en-HK"/>
        </w:rPr>
        <w:t>Atiyah’s</w:t>
      </w:r>
      <w:proofErr w:type="spellEnd"/>
      <w:r w:rsidRPr="00295D8D">
        <w:rPr>
          <w:rFonts w:ascii="Times New Roman" w:hAnsi="Times New Roman"/>
          <w:lang w:val="en-HK"/>
        </w:rPr>
        <w:t xml:space="preserve"> critique of the 1966 proposals, emphasizing the need for reforms to be supported by empirical evidence demonstrating the frequency and nature of disputes under the current law.</w:t>
      </w:r>
    </w:p>
    <w:p w14:paraId="0DA010D5" w14:textId="77777777" w:rsidR="00295D8D" w:rsidRPr="00295D8D" w:rsidRDefault="00295D8D" w:rsidP="005C7DC1">
      <w:pPr>
        <w:numPr>
          <w:ilvl w:val="1"/>
          <w:numId w:val="73"/>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Without such data, reforms risk addressing theoretical concerns rather than practical issues.</w:t>
      </w:r>
    </w:p>
    <w:p w14:paraId="50B26A49" w14:textId="77777777" w:rsidR="00295D8D" w:rsidRPr="00295D8D" w:rsidRDefault="00295D8D" w:rsidP="005C7DC1">
      <w:pPr>
        <w:numPr>
          <w:ilvl w:val="0"/>
          <w:numId w:val="73"/>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Legislative Fragmentation</w:t>
      </w:r>
      <w:r w:rsidRPr="00295D8D">
        <w:rPr>
          <w:rFonts w:ascii="Times New Roman" w:hAnsi="Times New Roman"/>
          <w:lang w:val="en-HK"/>
        </w:rPr>
        <w:t>:</w:t>
      </w:r>
    </w:p>
    <w:p w14:paraId="67A4411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questions whether these rules should remain within the </w:t>
      </w:r>
      <w:r w:rsidRPr="00295D8D">
        <w:rPr>
          <w:rFonts w:ascii="Times New Roman" w:hAnsi="Times New Roman"/>
          <w:b/>
          <w:bCs/>
          <w:lang w:val="en-HK"/>
        </w:rPr>
        <w:t>Sale of Goods Act</w:t>
      </w:r>
      <w:r w:rsidRPr="00295D8D">
        <w:rPr>
          <w:rFonts w:ascii="Times New Roman" w:hAnsi="Times New Roman"/>
          <w:lang w:val="en-HK"/>
        </w:rPr>
        <w:t xml:space="preserve"> or be codified in a separate statute specifically addressing title disputes.</w:t>
      </w:r>
    </w:p>
    <w:p w14:paraId="23630A7F"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lastRenderedPageBreak/>
        <w:pict w14:anchorId="028AA068">
          <v:rect id="_x0000_i1036" alt="" style="width:451.3pt;height:.05pt;mso-width-percent:0;mso-height-percent:0;mso-width-percent:0;mso-height-percent:0" o:hralign="center" o:hrstd="t" o:hr="t" fillcolor="#a0a0a0" stroked="f"/>
        </w:pict>
      </w:r>
    </w:p>
    <w:p w14:paraId="29966183"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9.4. Conclusion</w:t>
      </w:r>
    </w:p>
    <w:p w14:paraId="09279AFC" w14:textId="77777777" w:rsidR="00295D8D" w:rsidRPr="00295D8D" w:rsidRDefault="00295D8D" w:rsidP="005C7DC1">
      <w:pPr>
        <w:numPr>
          <w:ilvl w:val="0"/>
          <w:numId w:val="7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concludes that the current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and its exceptions fail to balance fairness and commercial certainty effectively.</w:t>
      </w:r>
    </w:p>
    <w:p w14:paraId="4F717875" w14:textId="77777777" w:rsidR="00295D8D" w:rsidRPr="00295D8D" w:rsidRDefault="00295D8D" w:rsidP="005C7DC1">
      <w:pPr>
        <w:numPr>
          <w:ilvl w:val="0"/>
          <w:numId w:val="7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While several proposals for reform exist, each has limitations and potential consequences. The document stresses the importance of a thorough and evidence-based approach to legislative reform.</w:t>
      </w:r>
    </w:p>
    <w:p w14:paraId="4F270236" w14:textId="77777777" w:rsidR="00295D8D" w:rsidRPr="00295D8D" w:rsidRDefault="00295D8D" w:rsidP="005C7DC1">
      <w:pPr>
        <w:numPr>
          <w:ilvl w:val="0"/>
          <w:numId w:val="74"/>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Regardless of the approach taken, the ultimate goal should be to ensure fairness for all parties while reducing the </w:t>
      </w:r>
      <w:r w:rsidRPr="00295D8D">
        <w:rPr>
          <w:rFonts w:ascii="Times New Roman" w:hAnsi="Times New Roman"/>
          <w:b/>
          <w:bCs/>
          <w:lang w:val="en-HK"/>
        </w:rPr>
        <w:t>technical and arbitrary nature</w:t>
      </w:r>
      <w:r w:rsidRPr="00295D8D">
        <w:rPr>
          <w:rFonts w:ascii="Times New Roman" w:hAnsi="Times New Roman"/>
          <w:lang w:val="en-HK"/>
        </w:rPr>
        <w:t xml:space="preserve"> of the current legal framework.</w:t>
      </w:r>
    </w:p>
    <w:p w14:paraId="268CA610"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03C2567">
          <v:rect id="_x0000_i1035" alt="" style="width:451.3pt;height:.05pt;mso-width-percent:0;mso-height-percent:0;mso-width-percent:0;mso-height-percent:0" o:hralign="center" o:hrstd="t" o:hr="t" fillcolor="#a0a0a0" stroked="f"/>
        </w:pict>
      </w:r>
    </w:p>
    <w:p w14:paraId="39535A3A" w14:textId="77777777" w:rsidR="00295D8D" w:rsidRPr="00295D8D" w:rsidRDefault="00295D8D" w:rsidP="005C7DC1">
      <w:pPr>
        <w:spacing w:before="100" w:beforeAutospacing="1" w:after="100" w:afterAutospacing="1" w:line="360" w:lineRule="auto"/>
        <w:outlineLvl w:val="2"/>
        <w:rPr>
          <w:rFonts w:ascii="Times New Roman" w:hAnsi="Times New Roman"/>
          <w:b/>
          <w:bCs/>
          <w:lang w:val="en-HK"/>
        </w:rPr>
      </w:pPr>
      <w:r w:rsidRPr="00295D8D">
        <w:rPr>
          <w:rFonts w:ascii="Times New Roman" w:hAnsi="Times New Roman"/>
          <w:b/>
          <w:bCs/>
          <w:lang w:val="en-HK"/>
        </w:rPr>
        <w:t>10. Conclusions</w:t>
      </w:r>
    </w:p>
    <w:p w14:paraId="4DB935D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concludes with a critique of the current legal framework governing the </w:t>
      </w:r>
      <w:r w:rsidRPr="00295D8D">
        <w:rPr>
          <w:rFonts w:ascii="Times New Roman" w:hAnsi="Times New Roman"/>
          <w:b/>
          <w:bCs/>
          <w:lang w:val="en-HK"/>
        </w:rPr>
        <w:t xml:space="preserve">nemo </w:t>
      </w:r>
      <w:proofErr w:type="spellStart"/>
      <w:r w:rsidRPr="00295D8D">
        <w:rPr>
          <w:rFonts w:ascii="Times New Roman" w:hAnsi="Times New Roman"/>
          <w:b/>
          <w:bCs/>
          <w:lang w:val="en-HK"/>
        </w:rPr>
        <w:t>dat</w:t>
      </w:r>
      <w:proofErr w:type="spellEnd"/>
      <w:r w:rsidRPr="00295D8D">
        <w:rPr>
          <w:rFonts w:ascii="Times New Roman" w:hAnsi="Times New Roman"/>
          <w:b/>
          <w:bCs/>
          <w:lang w:val="en-HK"/>
        </w:rPr>
        <w:t xml:space="preserve"> rule</w:t>
      </w:r>
      <w:r w:rsidRPr="00295D8D">
        <w:rPr>
          <w:rFonts w:ascii="Times New Roman" w:hAnsi="Times New Roman"/>
          <w:lang w:val="en-HK"/>
        </w:rPr>
        <w:t xml:space="preserve"> and its exceptions, emphasizing the tension between protecting property rights and ensuring fairness for good-faith purchasers. It highlights the shortcomings of the existing system and advocates for reform aimed at achieving greater clarity, fairness, and commercial practicality.</w:t>
      </w:r>
    </w:p>
    <w:p w14:paraId="55545479"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D79BFFF">
          <v:rect id="_x0000_i1034" alt="" style="width:451.3pt;height:.05pt;mso-width-percent:0;mso-height-percent:0;mso-width-percent:0;mso-height-percent:0" o:hralign="center" o:hrstd="t" o:hr="t" fillcolor="#a0a0a0" stroked="f"/>
        </w:pict>
      </w:r>
    </w:p>
    <w:p w14:paraId="1F398318"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10.1. The Role of the Nemo Dat Rule</w:t>
      </w:r>
    </w:p>
    <w:p w14:paraId="7C670116" w14:textId="77777777" w:rsidR="00295D8D" w:rsidRPr="00295D8D" w:rsidRDefault="00295D8D" w:rsidP="005C7DC1">
      <w:pPr>
        <w:numPr>
          <w:ilvl w:val="0"/>
          <w:numId w:val="7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serves a foundational purpose in property law, protecting the true owner’s rights to goods.</w:t>
      </w:r>
    </w:p>
    <w:p w14:paraId="16A1B33D" w14:textId="77777777" w:rsidR="00295D8D" w:rsidRPr="00295D8D" w:rsidRDefault="00295D8D" w:rsidP="005C7DC1">
      <w:pPr>
        <w:numPr>
          <w:ilvl w:val="0"/>
          <w:numId w:val="7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It ensures that only those with legitimate title or authorization can transfer ownership, creating security in property transactions.</w:t>
      </w:r>
    </w:p>
    <w:p w14:paraId="5465E395" w14:textId="77777777" w:rsidR="00295D8D" w:rsidRPr="00295D8D" w:rsidRDefault="00295D8D" w:rsidP="005C7DC1">
      <w:pPr>
        <w:numPr>
          <w:ilvl w:val="0"/>
          <w:numId w:val="75"/>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However, the informal nature of personal property sales introduces challenges:</w:t>
      </w:r>
    </w:p>
    <w:p w14:paraId="63D89C59"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“It would be onerous for sellers to have to prove title to goods every time they sell, in a similar way to vendors of land; it would disrupt the convenience of everyday commercial transactions.”</w:t>
      </w:r>
    </w:p>
    <w:p w14:paraId="07F2FEA4"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lastRenderedPageBreak/>
        <w:pict w14:anchorId="159A77CA">
          <v:rect id="_x0000_i1033" alt="" style="width:451.3pt;height:.05pt;mso-width-percent:0;mso-height-percent:0;mso-width-percent:0;mso-height-percent:0" o:hralign="center" o:hrstd="t" o:hr="t" fillcolor="#a0a0a0" stroked="f"/>
        </w:pict>
      </w:r>
    </w:p>
    <w:p w14:paraId="101F9A2B"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10.2. Issues with the Current Framework</w:t>
      </w:r>
    </w:p>
    <w:p w14:paraId="276A2D21"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10.2.1. Complexity and Inconsistency</w:t>
      </w:r>
    </w:p>
    <w:p w14:paraId="2F5205BC" w14:textId="77777777" w:rsidR="00295D8D" w:rsidRPr="00295D8D" w:rsidRDefault="00295D8D" w:rsidP="005C7DC1">
      <w:pPr>
        <w:numPr>
          <w:ilvl w:val="0"/>
          <w:numId w:val="7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identifies </w:t>
      </w:r>
      <w:r w:rsidRPr="00295D8D">
        <w:rPr>
          <w:rFonts w:ascii="Times New Roman" w:hAnsi="Times New Roman"/>
          <w:b/>
          <w:bCs/>
          <w:lang w:val="en-HK"/>
        </w:rPr>
        <w:t>complicated legal rules</w:t>
      </w:r>
      <w:r w:rsidRPr="00295D8D">
        <w:rPr>
          <w:rFonts w:ascii="Times New Roman" w:hAnsi="Times New Roman"/>
          <w:lang w:val="en-HK"/>
        </w:rPr>
        <w:t xml:space="preserve"> and </w:t>
      </w:r>
      <w:r w:rsidRPr="00295D8D">
        <w:rPr>
          <w:rFonts w:ascii="Times New Roman" w:hAnsi="Times New Roman"/>
          <w:b/>
          <w:bCs/>
          <w:lang w:val="en-HK"/>
        </w:rPr>
        <w:t>overlapping exceptions</w:t>
      </w:r>
      <w:r w:rsidRPr="00295D8D">
        <w:rPr>
          <w:rFonts w:ascii="Times New Roman" w:hAnsi="Times New Roman"/>
          <w:lang w:val="en-HK"/>
        </w:rPr>
        <w:t xml:space="preserve"> as a significant issue:</w:t>
      </w:r>
    </w:p>
    <w:p w14:paraId="78B2C05B" w14:textId="77777777" w:rsidR="00295D8D" w:rsidRPr="00295D8D" w:rsidRDefault="00295D8D" w:rsidP="005C7DC1">
      <w:pPr>
        <w:numPr>
          <w:ilvl w:val="1"/>
          <w:numId w:val="7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rules governing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principle and its exceptions are technical and often applied inconsistently by courts.</w:t>
      </w:r>
    </w:p>
    <w:p w14:paraId="7C8A52B3" w14:textId="77777777" w:rsidR="00295D8D" w:rsidRPr="00295D8D" w:rsidRDefault="00295D8D" w:rsidP="005C7DC1">
      <w:pPr>
        <w:numPr>
          <w:ilvl w:val="1"/>
          <w:numId w:val="76"/>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This complexity leads to </w:t>
      </w:r>
      <w:r w:rsidRPr="00295D8D">
        <w:rPr>
          <w:rFonts w:ascii="Times New Roman" w:hAnsi="Times New Roman"/>
          <w:b/>
          <w:bCs/>
          <w:lang w:val="en-HK"/>
        </w:rPr>
        <w:t>unpredictable outcomes</w:t>
      </w:r>
      <w:r w:rsidRPr="00295D8D">
        <w:rPr>
          <w:rFonts w:ascii="Times New Roman" w:hAnsi="Times New Roman"/>
          <w:lang w:val="en-HK"/>
        </w:rPr>
        <w:t xml:space="preserve"> for parties involved in disputes, particularly for innocent purchasers.</w:t>
      </w:r>
    </w:p>
    <w:p w14:paraId="61938F97"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10.2.2. Distinction Between Void and Voidable Contracts</w:t>
      </w:r>
    </w:p>
    <w:p w14:paraId="74F889B7" w14:textId="77777777" w:rsidR="00295D8D" w:rsidRPr="00295D8D" w:rsidRDefault="00295D8D" w:rsidP="005C7DC1">
      <w:pPr>
        <w:numPr>
          <w:ilvl w:val="0"/>
          <w:numId w:val="77"/>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A key area of inconsistency arises from the distinction between void and voidable contracts:</w:t>
      </w:r>
    </w:p>
    <w:p w14:paraId="7DC826F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Void Contracts</w:t>
      </w:r>
      <w:r w:rsidRPr="00295D8D">
        <w:rPr>
          <w:rFonts w:ascii="Times New Roman" w:hAnsi="Times New Roman"/>
          <w:lang w:val="en-HK"/>
        </w:rPr>
        <w:t xml:space="preserve">: Provide </w:t>
      </w:r>
      <w:r w:rsidRPr="00295D8D">
        <w:rPr>
          <w:rFonts w:ascii="Times New Roman" w:hAnsi="Times New Roman"/>
          <w:b/>
          <w:bCs/>
          <w:lang w:val="en-HK"/>
        </w:rPr>
        <w:t>no title</w:t>
      </w:r>
      <w:r w:rsidRPr="00295D8D">
        <w:rPr>
          <w:rFonts w:ascii="Times New Roman" w:hAnsi="Times New Roman"/>
          <w:lang w:val="en-HK"/>
        </w:rPr>
        <w:t xml:space="preserve"> to the rogue and thus no protection to innocent purchasers.</w:t>
      </w:r>
    </w:p>
    <w:p w14:paraId="028BCAB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Voidable Contracts</w:t>
      </w:r>
      <w:r w:rsidRPr="00295D8D">
        <w:rPr>
          <w:rFonts w:ascii="Times New Roman" w:hAnsi="Times New Roman"/>
          <w:lang w:val="en-HK"/>
        </w:rPr>
        <w:t xml:space="preserve">: Allow </w:t>
      </w:r>
      <w:r w:rsidRPr="00295D8D">
        <w:rPr>
          <w:rFonts w:ascii="Times New Roman" w:hAnsi="Times New Roman"/>
          <w:b/>
          <w:bCs/>
          <w:lang w:val="en-HK"/>
        </w:rPr>
        <w:t>a rogue to pass title</w:t>
      </w:r>
      <w:r w:rsidRPr="00295D8D">
        <w:rPr>
          <w:rFonts w:ascii="Times New Roman" w:hAnsi="Times New Roman"/>
          <w:lang w:val="en-HK"/>
        </w:rPr>
        <w:t xml:space="preserve"> to an innocent purchaser unless the true owner rescinds the contract before the sale.</w:t>
      </w:r>
    </w:p>
    <w:p w14:paraId="47ED9BFC" w14:textId="77777777" w:rsidR="00295D8D" w:rsidRPr="00295D8D" w:rsidRDefault="00295D8D" w:rsidP="005C7DC1">
      <w:pPr>
        <w:numPr>
          <w:ilvl w:val="0"/>
          <w:numId w:val="77"/>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critiques the arbitrariness of this distinction:</w:t>
      </w:r>
    </w:p>
    <w:p w14:paraId="0185FEE6"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 xml:space="preserve">“The success or failure of a bona fide purchaser’s claim </w:t>
      </w:r>
      <w:r w:rsidRPr="00295D8D">
        <w:rPr>
          <w:rFonts w:ascii="Times New Roman" w:hAnsi="Times New Roman"/>
          <w:b/>
          <w:bCs/>
          <w:lang w:val="en-HK"/>
        </w:rPr>
        <w:t>depends on how the original transaction is classified</w:t>
      </w:r>
      <w:r w:rsidRPr="00295D8D">
        <w:rPr>
          <w:rFonts w:ascii="Times New Roman" w:hAnsi="Times New Roman"/>
          <w:lang w:val="en-HK"/>
        </w:rPr>
        <w:t>, irrespective of either fault or the equity of the claim.”</w:t>
      </w:r>
    </w:p>
    <w:p w14:paraId="0C907AB3" w14:textId="77777777" w:rsidR="00295D8D" w:rsidRPr="00295D8D" w:rsidRDefault="00295D8D" w:rsidP="005C7DC1">
      <w:pPr>
        <w:spacing w:before="100" w:beforeAutospacing="1" w:after="100" w:afterAutospacing="1" w:line="360" w:lineRule="auto"/>
        <w:outlineLvl w:val="4"/>
        <w:rPr>
          <w:rFonts w:ascii="Times New Roman" w:hAnsi="Times New Roman"/>
          <w:b/>
          <w:bCs/>
          <w:lang w:val="en-HK"/>
        </w:rPr>
      </w:pPr>
      <w:r w:rsidRPr="00295D8D">
        <w:rPr>
          <w:rFonts w:ascii="Times New Roman" w:hAnsi="Times New Roman"/>
          <w:b/>
          <w:bCs/>
          <w:lang w:val="en-HK"/>
        </w:rPr>
        <w:t>10.2.3. Limited Protection for Innocent Purchasers</w:t>
      </w:r>
    </w:p>
    <w:p w14:paraId="1DBFE0E6" w14:textId="77777777" w:rsidR="00295D8D" w:rsidRPr="00295D8D" w:rsidRDefault="00295D8D" w:rsidP="005C7DC1">
      <w:pPr>
        <w:numPr>
          <w:ilvl w:val="0"/>
          <w:numId w:val="78"/>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While the exceptions to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aim to protect innocent purchasers, they are applied narrowly and often fail to achieve equitable outcomes.</w:t>
      </w:r>
    </w:p>
    <w:p w14:paraId="65239B8D" w14:textId="77777777" w:rsidR="00295D8D" w:rsidRPr="00295D8D" w:rsidRDefault="00295D8D" w:rsidP="005C7DC1">
      <w:pPr>
        <w:numPr>
          <w:ilvl w:val="0"/>
          <w:numId w:val="78"/>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Cases like </w:t>
      </w:r>
      <w:r w:rsidRPr="00295D8D">
        <w:rPr>
          <w:rFonts w:ascii="Times New Roman" w:hAnsi="Times New Roman"/>
          <w:b/>
          <w:bCs/>
          <w:lang w:val="en-HK"/>
        </w:rPr>
        <w:t>Shogun Finance Ltd v Hudson [2003] UKHL 62</w:t>
      </w:r>
      <w:r w:rsidRPr="00295D8D">
        <w:rPr>
          <w:rFonts w:ascii="Times New Roman" w:hAnsi="Times New Roman"/>
          <w:lang w:val="en-HK"/>
        </w:rPr>
        <w:t xml:space="preserve"> illustrate how technical distinctions can leave good-faith purchasers without protection.</w:t>
      </w:r>
    </w:p>
    <w:p w14:paraId="22135710"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7ADA689F">
          <v:rect id="_x0000_i1032" alt="" style="width:451.3pt;height:.05pt;mso-width-percent:0;mso-height-percent:0;mso-width-percent:0;mso-height-percent:0" o:hralign="center" o:hrstd="t" o:hr="t" fillcolor="#a0a0a0" stroked="f"/>
        </w:pict>
      </w:r>
    </w:p>
    <w:p w14:paraId="5AFFD315"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10.3. Fairness vs. Property Rights</w:t>
      </w:r>
    </w:p>
    <w:p w14:paraId="2351B767" w14:textId="77777777" w:rsidR="00295D8D" w:rsidRPr="00295D8D" w:rsidRDefault="00295D8D" w:rsidP="005C7DC1">
      <w:pPr>
        <w:numPr>
          <w:ilvl w:val="0"/>
          <w:numId w:val="79"/>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 xml:space="preserve">The document emphasizes that the current system often prioritizes the </w:t>
      </w:r>
      <w:r w:rsidRPr="00295D8D">
        <w:rPr>
          <w:rFonts w:ascii="Times New Roman" w:hAnsi="Times New Roman"/>
          <w:b/>
          <w:bCs/>
          <w:lang w:val="en-HK"/>
        </w:rPr>
        <w:t>true owner’s rights</w:t>
      </w:r>
      <w:r w:rsidRPr="00295D8D">
        <w:rPr>
          <w:rFonts w:ascii="Times New Roman" w:hAnsi="Times New Roman"/>
          <w:lang w:val="en-HK"/>
        </w:rPr>
        <w:t xml:space="preserve"> over fairness to good-faith purchasers.</w:t>
      </w:r>
    </w:p>
    <w:p w14:paraId="10F5BE0B" w14:textId="77777777" w:rsidR="00295D8D" w:rsidRPr="00295D8D" w:rsidRDefault="00295D8D" w:rsidP="005C7DC1">
      <w:pPr>
        <w:numPr>
          <w:ilvl w:val="0"/>
          <w:numId w:val="79"/>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This approach reflects traditional legal principles but fails to account for modern commercial realities, where innocent purchasers may face significant losses due to fraudulent or unauthorized transactions.</w:t>
      </w:r>
    </w:p>
    <w:p w14:paraId="3E885462" w14:textId="77777777" w:rsidR="00295D8D" w:rsidRPr="00295D8D" w:rsidRDefault="00295D8D" w:rsidP="005C7DC1">
      <w:pPr>
        <w:numPr>
          <w:ilvl w:val="0"/>
          <w:numId w:val="79"/>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It argues that fairness should play a more central role in resolving disputes:</w:t>
      </w:r>
    </w:p>
    <w:p w14:paraId="0F1A09C6"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“Ultimately the rules and their exceptions should ensure fairness, even though the achievement of total fairness may in some cases be impossible.”</w:t>
      </w:r>
    </w:p>
    <w:p w14:paraId="74F5A00F"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4898DEED">
          <v:rect id="_x0000_i1031" alt="" style="width:451.3pt;height:.05pt;mso-width-percent:0;mso-height-percent:0;mso-width-percent:0;mso-height-percent:0" o:hralign="center" o:hrstd="t" o:hr="t" fillcolor="#a0a0a0" stroked="f"/>
        </w:pict>
      </w:r>
    </w:p>
    <w:p w14:paraId="0E0A42F5"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10.4. The Need for Reform</w:t>
      </w:r>
    </w:p>
    <w:p w14:paraId="3AB76CDF" w14:textId="77777777" w:rsidR="00295D8D" w:rsidRPr="00295D8D" w:rsidRDefault="00295D8D" w:rsidP="005C7DC1">
      <w:pPr>
        <w:numPr>
          <w:ilvl w:val="0"/>
          <w:numId w:val="80"/>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advocates for </w:t>
      </w:r>
      <w:r w:rsidRPr="00295D8D">
        <w:rPr>
          <w:rFonts w:ascii="Times New Roman" w:hAnsi="Times New Roman"/>
          <w:b/>
          <w:bCs/>
          <w:lang w:val="en-HK"/>
        </w:rPr>
        <w:t>systemic reform</w:t>
      </w:r>
      <w:r w:rsidRPr="00295D8D">
        <w:rPr>
          <w:rFonts w:ascii="Times New Roman" w:hAnsi="Times New Roman"/>
          <w:lang w:val="en-HK"/>
        </w:rPr>
        <w:t xml:space="preserve"> to simplify the law, reduce inconsistencies, and better balance the interests of true owners and good-faith purchasers.</w:t>
      </w:r>
    </w:p>
    <w:p w14:paraId="29D885DF" w14:textId="77777777" w:rsidR="00295D8D" w:rsidRPr="00295D8D" w:rsidRDefault="00295D8D" w:rsidP="005C7DC1">
      <w:pPr>
        <w:numPr>
          <w:ilvl w:val="0"/>
          <w:numId w:val="80"/>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Any reform should prioritize </w:t>
      </w:r>
      <w:r w:rsidRPr="00295D8D">
        <w:rPr>
          <w:rFonts w:ascii="Times New Roman" w:hAnsi="Times New Roman"/>
          <w:b/>
          <w:bCs/>
          <w:lang w:val="en-HK"/>
        </w:rPr>
        <w:t>clarity</w:t>
      </w:r>
      <w:r w:rsidRPr="00295D8D">
        <w:rPr>
          <w:rFonts w:ascii="Times New Roman" w:hAnsi="Times New Roman"/>
          <w:lang w:val="en-HK"/>
        </w:rPr>
        <w:t xml:space="preserve"> and </w:t>
      </w:r>
      <w:r w:rsidRPr="00295D8D">
        <w:rPr>
          <w:rFonts w:ascii="Times New Roman" w:hAnsi="Times New Roman"/>
          <w:b/>
          <w:bCs/>
          <w:lang w:val="en-HK"/>
        </w:rPr>
        <w:t>predictability</w:t>
      </w:r>
      <w:r w:rsidRPr="00295D8D">
        <w:rPr>
          <w:rFonts w:ascii="Times New Roman" w:hAnsi="Times New Roman"/>
          <w:lang w:val="en-HK"/>
        </w:rPr>
        <w:t>, ensuring that parties understand their rights and obligations:</w:t>
      </w:r>
    </w:p>
    <w:p w14:paraId="72949433"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“The law must ensure that the exceptions to it are applied logically and clearly, allowing both parties to foresee as far as possible the consequences of dealing with a rogue.”</w:t>
      </w:r>
    </w:p>
    <w:p w14:paraId="490660B6"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1474CC9A">
          <v:rect id="_x0000_i1030" alt="" style="width:451.3pt;height:.05pt;mso-width-percent:0;mso-height-percent:0;mso-width-percent:0;mso-height-percent:0" o:hralign="center" o:hrstd="t" o:hr="t" fillcolor="#a0a0a0" stroked="f"/>
        </w:pict>
      </w:r>
    </w:p>
    <w:p w14:paraId="14B90D72"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10.5. Elevating the Claims of Weaker Parties</w:t>
      </w:r>
    </w:p>
    <w:p w14:paraId="1A459466" w14:textId="77777777" w:rsidR="00295D8D" w:rsidRPr="00295D8D" w:rsidRDefault="00295D8D" w:rsidP="005C7DC1">
      <w:pPr>
        <w:numPr>
          <w:ilvl w:val="0"/>
          <w:numId w:val="81"/>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suggests that reform should elevate the claims of </w:t>
      </w:r>
      <w:r w:rsidRPr="00295D8D">
        <w:rPr>
          <w:rFonts w:ascii="Times New Roman" w:hAnsi="Times New Roman"/>
          <w:b/>
          <w:bCs/>
          <w:lang w:val="en-HK"/>
        </w:rPr>
        <w:t>weaker parties</w:t>
      </w:r>
      <w:r w:rsidRPr="00295D8D">
        <w:rPr>
          <w:rFonts w:ascii="Times New Roman" w:hAnsi="Times New Roman"/>
          <w:lang w:val="en-HK"/>
        </w:rPr>
        <w:t>, such as consumer purchasers, over those of true owners in specific cases:</w:t>
      </w:r>
    </w:p>
    <w:p w14:paraId="7A5AD98E"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True owners are often in a better position to insure against losses or recover from intermediaries.</w:t>
      </w:r>
    </w:p>
    <w:p w14:paraId="0A5907E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For instance, businesses are more likely to have resources to mitigate risks than individual consumers.</w:t>
      </w:r>
    </w:p>
    <w:p w14:paraId="14904724"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D7EE8F3">
          <v:rect id="_x0000_i1029" alt="" style="width:451.3pt;height:.05pt;mso-width-percent:0;mso-height-percent:0;mso-width-percent:0;mso-height-percent:0" o:hralign="center" o:hrstd="t" o:hr="t" fillcolor="#a0a0a0" stroked="f"/>
        </w:pict>
      </w:r>
    </w:p>
    <w:p w14:paraId="7E05E1FA"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lastRenderedPageBreak/>
        <w:t>10.6. Alternative Remedies for True Owners</w:t>
      </w:r>
    </w:p>
    <w:p w14:paraId="42BB32F9" w14:textId="77777777" w:rsidR="00295D8D" w:rsidRPr="00295D8D" w:rsidRDefault="00295D8D" w:rsidP="005C7DC1">
      <w:pPr>
        <w:numPr>
          <w:ilvl w:val="0"/>
          <w:numId w:val="8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Even when a true owner loses title under one of 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exceptions, they may have recourse to alternative remedies:</w:t>
      </w:r>
    </w:p>
    <w:p w14:paraId="229F5DBD" w14:textId="77777777" w:rsidR="00295D8D" w:rsidRPr="00295D8D" w:rsidRDefault="00295D8D" w:rsidP="005C7DC1">
      <w:pPr>
        <w:numPr>
          <w:ilvl w:val="1"/>
          <w:numId w:val="8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Actions in </w:t>
      </w:r>
      <w:r w:rsidRPr="00295D8D">
        <w:rPr>
          <w:rFonts w:ascii="Times New Roman" w:hAnsi="Times New Roman"/>
          <w:b/>
          <w:bCs/>
          <w:lang w:val="en-HK"/>
        </w:rPr>
        <w:t>tort for wrongful interference</w:t>
      </w:r>
      <w:r w:rsidRPr="00295D8D">
        <w:rPr>
          <w:rFonts w:ascii="Times New Roman" w:hAnsi="Times New Roman"/>
          <w:lang w:val="en-HK"/>
        </w:rPr>
        <w:t xml:space="preserve"> against intermediaries or fraudulent parties.</w:t>
      </w:r>
    </w:p>
    <w:p w14:paraId="56DBE8FC" w14:textId="77777777" w:rsidR="00295D8D" w:rsidRPr="00295D8D" w:rsidRDefault="00295D8D" w:rsidP="005C7DC1">
      <w:pPr>
        <w:numPr>
          <w:ilvl w:val="1"/>
          <w:numId w:val="8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Seeking recovery under </w:t>
      </w:r>
      <w:r w:rsidRPr="00295D8D">
        <w:rPr>
          <w:rFonts w:ascii="Times New Roman" w:hAnsi="Times New Roman"/>
          <w:b/>
          <w:bCs/>
          <w:lang w:val="en-HK"/>
        </w:rPr>
        <w:t>insurance policies</w:t>
      </w:r>
      <w:r w:rsidRPr="00295D8D">
        <w:rPr>
          <w:rFonts w:ascii="Times New Roman" w:hAnsi="Times New Roman"/>
          <w:lang w:val="en-HK"/>
        </w:rPr>
        <w:t xml:space="preserve"> for losses caused by fraud or unauthorized sales.</w:t>
      </w:r>
    </w:p>
    <w:p w14:paraId="4D85F6C5" w14:textId="77777777" w:rsidR="00295D8D" w:rsidRPr="00295D8D" w:rsidRDefault="00295D8D" w:rsidP="005C7DC1">
      <w:pPr>
        <w:numPr>
          <w:ilvl w:val="0"/>
          <w:numId w:val="82"/>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The document notes that these remedies may provide adequate compensation without undermining the protection of innocent purchasers.</w:t>
      </w:r>
    </w:p>
    <w:p w14:paraId="2758BAA3"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3DEE3965">
          <v:rect id="_x0000_i1028" alt="" style="width:451.3pt;height:.05pt;mso-width-percent:0;mso-height-percent:0;mso-width-percent:0;mso-height-percent:0" o:hralign="center" o:hrstd="t" o:hr="t" fillcolor="#a0a0a0" stroked="f"/>
        </w:pict>
      </w:r>
    </w:p>
    <w:p w14:paraId="11FCB53E"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10.7. Human Rights Considerations</w:t>
      </w:r>
    </w:p>
    <w:p w14:paraId="26C1BD94" w14:textId="77777777" w:rsidR="00295D8D" w:rsidRPr="00295D8D" w:rsidRDefault="00295D8D" w:rsidP="005C7DC1">
      <w:pPr>
        <w:numPr>
          <w:ilvl w:val="0"/>
          <w:numId w:val="83"/>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highlights the potential implications of property disputes under the </w:t>
      </w:r>
      <w:r w:rsidRPr="00295D8D">
        <w:rPr>
          <w:rFonts w:ascii="Times New Roman" w:hAnsi="Times New Roman"/>
          <w:b/>
          <w:bCs/>
          <w:lang w:val="en-HK"/>
        </w:rPr>
        <w:t>Human Rights Act 1998</w:t>
      </w:r>
      <w:r w:rsidRPr="00295D8D">
        <w:rPr>
          <w:rFonts w:ascii="Times New Roman" w:hAnsi="Times New Roman"/>
          <w:lang w:val="en-HK"/>
        </w:rPr>
        <w:t xml:space="preserve">, particularly Article 1 of the First Protocol to the </w:t>
      </w:r>
      <w:r w:rsidRPr="00295D8D">
        <w:rPr>
          <w:rFonts w:ascii="Times New Roman" w:hAnsi="Times New Roman"/>
          <w:b/>
          <w:bCs/>
          <w:lang w:val="en-HK"/>
        </w:rPr>
        <w:t>European Convention on Human Rights</w:t>
      </w:r>
      <w:r w:rsidRPr="00295D8D">
        <w:rPr>
          <w:rFonts w:ascii="Times New Roman" w:hAnsi="Times New Roman"/>
          <w:lang w:val="en-HK"/>
        </w:rPr>
        <w:t>:</w:t>
      </w:r>
    </w:p>
    <w:p w14:paraId="71929720"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“The unsuccessful party should be able to understand why his claim has been defeated, and the reasoning of such decisions should not be the prerogative of academics and specialist judges.”</w:t>
      </w:r>
    </w:p>
    <w:p w14:paraId="1FBCA7F4" w14:textId="77777777" w:rsidR="00295D8D" w:rsidRPr="00295D8D" w:rsidRDefault="00295D8D" w:rsidP="005C7DC1">
      <w:pPr>
        <w:numPr>
          <w:ilvl w:val="0"/>
          <w:numId w:val="83"/>
        </w:numPr>
        <w:spacing w:before="100" w:beforeAutospacing="1" w:after="100" w:afterAutospacing="1" w:line="360" w:lineRule="auto"/>
        <w:rPr>
          <w:rFonts w:ascii="Times New Roman" w:hAnsi="Times New Roman"/>
          <w:lang w:val="en-HK"/>
        </w:rPr>
      </w:pPr>
      <w:r w:rsidRPr="00295D8D">
        <w:rPr>
          <w:rFonts w:ascii="Times New Roman" w:hAnsi="Times New Roman"/>
          <w:lang w:val="en-HK"/>
        </w:rPr>
        <w:t>It argues for greater transparency and accessibility in judicial reasoning to ensure that decisions are comprehensible to the affected parties.</w:t>
      </w:r>
    </w:p>
    <w:p w14:paraId="238402C0"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03309F65">
          <v:rect id="_x0000_i1027" alt="" style="width:451.3pt;height:.05pt;mso-width-percent:0;mso-height-percent:0;mso-width-percent:0;mso-height-percent:0" o:hralign="center" o:hrstd="t" o:hr="t" fillcolor="#a0a0a0" stroked="f"/>
        </w:pict>
      </w:r>
    </w:p>
    <w:p w14:paraId="1A6A41B1"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10.8. Summary of the Way Forward</w:t>
      </w:r>
    </w:p>
    <w:p w14:paraId="7966D0C7" w14:textId="77777777" w:rsidR="00295D8D" w:rsidRPr="00295D8D" w:rsidRDefault="00295D8D" w:rsidP="005C7DC1">
      <w:pPr>
        <w:numPr>
          <w:ilvl w:val="0"/>
          <w:numId w:val="84"/>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Simplification of the Rules</w:t>
      </w:r>
      <w:r w:rsidRPr="00295D8D">
        <w:rPr>
          <w:rFonts w:ascii="Times New Roman" w:hAnsi="Times New Roman"/>
          <w:lang w:val="en-HK"/>
        </w:rPr>
        <w:t>:</w:t>
      </w:r>
    </w:p>
    <w:p w14:paraId="78646C4F"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document calls </w:t>
      </w:r>
      <w:r w:rsidRPr="00295D8D">
        <w:rPr>
          <w:rFonts w:ascii="Times New Roman" w:hAnsi="Times New Roman"/>
          <w:b/>
          <w:bCs/>
          <w:lang w:val="en-HK"/>
        </w:rPr>
        <w:t>for a clearer and more unified legal framework</w:t>
      </w:r>
      <w:r w:rsidRPr="00295D8D">
        <w:rPr>
          <w:rFonts w:ascii="Times New Roman" w:hAnsi="Times New Roman"/>
          <w:lang w:val="en-HK"/>
        </w:rPr>
        <w:t xml:space="preserve"> to reduce confusion and litigation.</w:t>
      </w:r>
    </w:p>
    <w:p w14:paraId="3F9C02DE" w14:textId="77777777" w:rsidR="00295D8D" w:rsidRPr="00295D8D" w:rsidRDefault="00295D8D" w:rsidP="005C7DC1">
      <w:pPr>
        <w:numPr>
          <w:ilvl w:val="0"/>
          <w:numId w:val="84"/>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Prioritizing Fairness</w:t>
      </w:r>
      <w:r w:rsidRPr="00295D8D">
        <w:rPr>
          <w:rFonts w:ascii="Times New Roman" w:hAnsi="Times New Roman"/>
          <w:lang w:val="en-HK"/>
        </w:rPr>
        <w:t>:</w:t>
      </w:r>
    </w:p>
    <w:p w14:paraId="5F26D557"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lastRenderedPageBreak/>
        <w:t>The law should place greater emphasis on fairness, particularly in cases involving good-faith purchasers.</w:t>
      </w:r>
    </w:p>
    <w:p w14:paraId="6FD34A83" w14:textId="77777777" w:rsidR="00295D8D" w:rsidRPr="00295D8D" w:rsidRDefault="00295D8D" w:rsidP="005C7DC1">
      <w:pPr>
        <w:numPr>
          <w:ilvl w:val="0"/>
          <w:numId w:val="84"/>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Balancing Interests</w:t>
      </w:r>
      <w:r w:rsidRPr="00295D8D">
        <w:rPr>
          <w:rFonts w:ascii="Times New Roman" w:hAnsi="Times New Roman"/>
          <w:lang w:val="en-HK"/>
        </w:rPr>
        <w:t>:</w:t>
      </w:r>
    </w:p>
    <w:p w14:paraId="17DE709D"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While the rights of true owners must be respected, reforms should account for the vulnerability of innocent purchasers and the practicalities of modern commerce.</w:t>
      </w:r>
    </w:p>
    <w:p w14:paraId="4B92F59A" w14:textId="77777777" w:rsidR="00295D8D" w:rsidRPr="00295D8D" w:rsidRDefault="00295D8D" w:rsidP="005C7DC1">
      <w:pPr>
        <w:numPr>
          <w:ilvl w:val="0"/>
          <w:numId w:val="84"/>
        </w:numPr>
        <w:spacing w:before="100" w:beforeAutospacing="1" w:after="100" w:afterAutospacing="1" w:line="360" w:lineRule="auto"/>
        <w:rPr>
          <w:rFonts w:ascii="Times New Roman" w:hAnsi="Times New Roman"/>
          <w:lang w:val="en-HK"/>
        </w:rPr>
      </w:pPr>
      <w:r w:rsidRPr="00295D8D">
        <w:rPr>
          <w:rFonts w:ascii="Times New Roman" w:hAnsi="Times New Roman"/>
          <w:b/>
          <w:bCs/>
          <w:lang w:val="en-HK"/>
        </w:rPr>
        <w:t>Evidence-Based Reform</w:t>
      </w:r>
      <w:r w:rsidRPr="00295D8D">
        <w:rPr>
          <w:rFonts w:ascii="Times New Roman" w:hAnsi="Times New Roman"/>
          <w:lang w:val="en-HK"/>
        </w:rPr>
        <w:t>:</w:t>
      </w:r>
    </w:p>
    <w:p w14:paraId="5FE4E21F"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Any proposed changes should be grounded in empirical evidence, ensuring that they address real-world issues effectively.</w:t>
      </w:r>
    </w:p>
    <w:p w14:paraId="6AC39C8C"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3161FB7A">
          <v:rect id="_x0000_i1026" alt="" style="width:451.3pt;height:.05pt;mso-width-percent:0;mso-height-percent:0;mso-width-percent:0;mso-height-percent:0" o:hralign="center" o:hrstd="t" o:hr="t" fillcolor="#a0a0a0" stroked="f"/>
        </w:pict>
      </w:r>
    </w:p>
    <w:p w14:paraId="6D59862A" w14:textId="77777777" w:rsidR="00295D8D" w:rsidRPr="00295D8D" w:rsidRDefault="00295D8D" w:rsidP="005C7DC1">
      <w:pPr>
        <w:spacing w:before="100" w:beforeAutospacing="1" w:after="100" w:afterAutospacing="1" w:line="360" w:lineRule="auto"/>
        <w:outlineLvl w:val="3"/>
        <w:rPr>
          <w:rFonts w:ascii="Times New Roman" w:hAnsi="Times New Roman"/>
          <w:b/>
          <w:bCs/>
          <w:lang w:val="en-HK"/>
        </w:rPr>
      </w:pPr>
      <w:r w:rsidRPr="00295D8D">
        <w:rPr>
          <w:rFonts w:ascii="Times New Roman" w:hAnsi="Times New Roman"/>
          <w:b/>
          <w:bCs/>
          <w:lang w:val="en-HK"/>
        </w:rPr>
        <w:t>10.9. Conclusion</w:t>
      </w:r>
    </w:p>
    <w:p w14:paraId="1E7CFB43"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 xml:space="preserve">The nemo </w:t>
      </w:r>
      <w:proofErr w:type="spellStart"/>
      <w:r w:rsidRPr="00295D8D">
        <w:rPr>
          <w:rFonts w:ascii="Times New Roman" w:hAnsi="Times New Roman"/>
          <w:lang w:val="en-HK"/>
        </w:rPr>
        <w:t>dat</w:t>
      </w:r>
      <w:proofErr w:type="spellEnd"/>
      <w:r w:rsidRPr="00295D8D">
        <w:rPr>
          <w:rFonts w:ascii="Times New Roman" w:hAnsi="Times New Roman"/>
          <w:lang w:val="en-HK"/>
        </w:rPr>
        <w:t xml:space="preserve"> rule and its exceptions remain essential for maintaining security and predictability in property transactions. However, the document concludes that:</w:t>
      </w:r>
    </w:p>
    <w:p w14:paraId="3BBFF283" w14:textId="77777777" w:rsidR="00295D8D" w:rsidRPr="00295D8D" w:rsidRDefault="00295D8D" w:rsidP="005C7DC1">
      <w:pPr>
        <w:spacing w:beforeAutospacing="1" w:afterAutospacing="1" w:line="360" w:lineRule="auto"/>
        <w:rPr>
          <w:rFonts w:ascii="Times New Roman" w:hAnsi="Times New Roman"/>
          <w:lang w:val="en-HK"/>
        </w:rPr>
      </w:pPr>
      <w:r w:rsidRPr="00295D8D">
        <w:rPr>
          <w:rFonts w:ascii="Times New Roman" w:hAnsi="Times New Roman"/>
          <w:lang w:val="en-HK"/>
        </w:rPr>
        <w:t>“The inevitable unfairness created by the rogue is often compounded by the uncertainty and iniquity of the present law.”</w:t>
      </w:r>
    </w:p>
    <w:p w14:paraId="4DC755C5" w14:textId="77777777" w:rsidR="00295D8D" w:rsidRPr="00295D8D" w:rsidRDefault="00295D8D" w:rsidP="005C7DC1">
      <w:pPr>
        <w:spacing w:before="100" w:beforeAutospacing="1" w:after="100" w:afterAutospacing="1" w:line="360" w:lineRule="auto"/>
        <w:rPr>
          <w:rFonts w:ascii="Times New Roman" w:hAnsi="Times New Roman"/>
          <w:lang w:val="en-HK"/>
        </w:rPr>
      </w:pPr>
      <w:r w:rsidRPr="00295D8D">
        <w:rPr>
          <w:rFonts w:ascii="Times New Roman" w:hAnsi="Times New Roman"/>
          <w:lang w:val="en-HK"/>
        </w:rPr>
        <w:t>Reform is necessary to address these issues, ensuring that the law better serves the interests of fairness and commercial certainty. At the very least, the unsuccessful party in a dispute should be able to understand the reasoning behind the decision.</w:t>
      </w:r>
    </w:p>
    <w:p w14:paraId="733239A9" w14:textId="77777777" w:rsidR="00295D8D" w:rsidRPr="00295D8D" w:rsidRDefault="00D4652D" w:rsidP="005C7DC1">
      <w:pPr>
        <w:spacing w:line="360" w:lineRule="auto"/>
        <w:rPr>
          <w:rFonts w:ascii="Times New Roman" w:hAnsi="Times New Roman"/>
          <w:lang w:val="en-HK"/>
        </w:rPr>
      </w:pPr>
      <w:r w:rsidRPr="00D4652D">
        <w:rPr>
          <w:rFonts w:ascii="Times New Roman" w:hAnsi="Times New Roman"/>
          <w:noProof/>
          <w:lang w:val="en-HK"/>
          <w14:ligatures w14:val="standardContextual"/>
        </w:rPr>
        <w:pict w14:anchorId="297FCFE6">
          <v:rect id="_x0000_i1025" alt="" style="width:451.3pt;height:.05pt;mso-width-percent:0;mso-height-percent:0;mso-width-percent:0;mso-height-percent:0" o:hralign="center" o:hrstd="t" o:hr="t" fillcolor="#a0a0a0" stroked="f"/>
        </w:pict>
      </w:r>
    </w:p>
    <w:p w14:paraId="33788795" w14:textId="77777777" w:rsidR="00CD39F1" w:rsidRPr="005C7DC1" w:rsidRDefault="00CD39F1" w:rsidP="005C7DC1">
      <w:pPr>
        <w:spacing w:line="360" w:lineRule="auto"/>
      </w:pPr>
    </w:p>
    <w:sectPr w:rsidR="00CD39F1" w:rsidRPr="005C7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5756"/>
    <w:multiLevelType w:val="multilevel"/>
    <w:tmpl w:val="FEA6BB1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CD5C7C"/>
    <w:multiLevelType w:val="multilevel"/>
    <w:tmpl w:val="72B891E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11D6C86"/>
    <w:multiLevelType w:val="multilevel"/>
    <w:tmpl w:val="3A10ED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1641BC"/>
    <w:multiLevelType w:val="multilevel"/>
    <w:tmpl w:val="1C2C20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5DA357D"/>
    <w:multiLevelType w:val="multilevel"/>
    <w:tmpl w:val="8B3016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60C27EF"/>
    <w:multiLevelType w:val="multilevel"/>
    <w:tmpl w:val="85688D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67A32A5"/>
    <w:multiLevelType w:val="multilevel"/>
    <w:tmpl w:val="418266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E058D6"/>
    <w:multiLevelType w:val="multilevel"/>
    <w:tmpl w:val="80A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27DCA"/>
    <w:multiLevelType w:val="multilevel"/>
    <w:tmpl w:val="1DB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838DD"/>
    <w:multiLevelType w:val="multilevel"/>
    <w:tmpl w:val="5BD21C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BB26AD3"/>
    <w:multiLevelType w:val="multilevel"/>
    <w:tmpl w:val="CCCE71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C233BB4"/>
    <w:multiLevelType w:val="multilevel"/>
    <w:tmpl w:val="2BF0E0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E9B7090"/>
    <w:multiLevelType w:val="multilevel"/>
    <w:tmpl w:val="30C8C6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00B2CD1"/>
    <w:multiLevelType w:val="multilevel"/>
    <w:tmpl w:val="EE76A7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50A610C"/>
    <w:multiLevelType w:val="multilevel"/>
    <w:tmpl w:val="8B6E68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60D1862"/>
    <w:multiLevelType w:val="multilevel"/>
    <w:tmpl w:val="41FE2E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70F5DAB"/>
    <w:multiLevelType w:val="multilevel"/>
    <w:tmpl w:val="5A9474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7D86AC1"/>
    <w:multiLevelType w:val="multilevel"/>
    <w:tmpl w:val="6DB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16D14"/>
    <w:multiLevelType w:val="multilevel"/>
    <w:tmpl w:val="E7D202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B513740"/>
    <w:multiLevelType w:val="multilevel"/>
    <w:tmpl w:val="BB2C01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21A018C"/>
    <w:multiLevelType w:val="multilevel"/>
    <w:tmpl w:val="E99A75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3F47C01"/>
    <w:multiLevelType w:val="multilevel"/>
    <w:tmpl w:val="FB36EF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45450A3"/>
    <w:multiLevelType w:val="multilevel"/>
    <w:tmpl w:val="A7E81E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49A4F48"/>
    <w:multiLevelType w:val="multilevel"/>
    <w:tmpl w:val="37E249E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64433F4"/>
    <w:multiLevelType w:val="multilevel"/>
    <w:tmpl w:val="AFEA18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6BD6315"/>
    <w:multiLevelType w:val="multilevel"/>
    <w:tmpl w:val="C43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B664B"/>
    <w:multiLevelType w:val="multilevel"/>
    <w:tmpl w:val="426A63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BBF7247"/>
    <w:multiLevelType w:val="multilevel"/>
    <w:tmpl w:val="D0502F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C9A38F3"/>
    <w:multiLevelType w:val="multilevel"/>
    <w:tmpl w:val="EA1A8A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09D30CB"/>
    <w:multiLevelType w:val="multilevel"/>
    <w:tmpl w:val="1DFEF3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1CA4A2F"/>
    <w:multiLevelType w:val="multilevel"/>
    <w:tmpl w:val="AF64F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86AFE"/>
    <w:multiLevelType w:val="multilevel"/>
    <w:tmpl w:val="D612E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2D1468B"/>
    <w:multiLevelType w:val="multilevel"/>
    <w:tmpl w:val="23E0C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25B28"/>
    <w:multiLevelType w:val="multilevel"/>
    <w:tmpl w:val="CDA834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5E8568F"/>
    <w:multiLevelType w:val="multilevel"/>
    <w:tmpl w:val="D02A66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64004E6"/>
    <w:multiLevelType w:val="hybridMultilevel"/>
    <w:tmpl w:val="21AA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6BA4738"/>
    <w:multiLevelType w:val="multilevel"/>
    <w:tmpl w:val="F31ABF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780748F"/>
    <w:multiLevelType w:val="multilevel"/>
    <w:tmpl w:val="A19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45C8E"/>
    <w:multiLevelType w:val="multilevel"/>
    <w:tmpl w:val="E5B051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AE51844"/>
    <w:multiLevelType w:val="multilevel"/>
    <w:tmpl w:val="5574B4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B2A0275"/>
    <w:multiLevelType w:val="multilevel"/>
    <w:tmpl w:val="D206D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860AC"/>
    <w:multiLevelType w:val="multilevel"/>
    <w:tmpl w:val="ED3258D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3CCF0497"/>
    <w:multiLevelType w:val="multilevel"/>
    <w:tmpl w:val="0940267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D495705"/>
    <w:multiLevelType w:val="multilevel"/>
    <w:tmpl w:val="A75E2BA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445C4D27"/>
    <w:multiLevelType w:val="multilevel"/>
    <w:tmpl w:val="2836EC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4D72D12"/>
    <w:multiLevelType w:val="multilevel"/>
    <w:tmpl w:val="6E0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026CF6"/>
    <w:multiLevelType w:val="multilevel"/>
    <w:tmpl w:val="E8BCF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9A50B5E"/>
    <w:multiLevelType w:val="multilevel"/>
    <w:tmpl w:val="87D471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B9F4497"/>
    <w:multiLevelType w:val="multilevel"/>
    <w:tmpl w:val="FF5C0FF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4C5D57A6"/>
    <w:multiLevelType w:val="multilevel"/>
    <w:tmpl w:val="69823C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F066AFC"/>
    <w:multiLevelType w:val="multilevel"/>
    <w:tmpl w:val="3E0A8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50B163D6"/>
    <w:multiLevelType w:val="multilevel"/>
    <w:tmpl w:val="AE22D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520A174E"/>
    <w:multiLevelType w:val="multilevel"/>
    <w:tmpl w:val="8A624E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52722B31"/>
    <w:multiLevelType w:val="multilevel"/>
    <w:tmpl w:val="689222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52E3176F"/>
    <w:multiLevelType w:val="multilevel"/>
    <w:tmpl w:val="6E60F0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53344418"/>
    <w:multiLevelType w:val="multilevel"/>
    <w:tmpl w:val="FC10977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57B2216"/>
    <w:multiLevelType w:val="multilevel"/>
    <w:tmpl w:val="C268C7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77A3EC9"/>
    <w:multiLevelType w:val="multilevel"/>
    <w:tmpl w:val="A75E2BA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A261E13"/>
    <w:multiLevelType w:val="multilevel"/>
    <w:tmpl w:val="CF3E11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BD2415B"/>
    <w:multiLevelType w:val="multilevel"/>
    <w:tmpl w:val="1C203A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D456C7E"/>
    <w:multiLevelType w:val="multilevel"/>
    <w:tmpl w:val="B430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2C174C"/>
    <w:multiLevelType w:val="multilevel"/>
    <w:tmpl w:val="F0405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618A3CC2"/>
    <w:multiLevelType w:val="multilevel"/>
    <w:tmpl w:val="7F126F0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5577A5F"/>
    <w:multiLevelType w:val="multilevel"/>
    <w:tmpl w:val="CC9858B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655B1B01"/>
    <w:multiLevelType w:val="multilevel"/>
    <w:tmpl w:val="61B607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66896541"/>
    <w:multiLevelType w:val="multilevel"/>
    <w:tmpl w:val="8F9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0A3041"/>
    <w:multiLevelType w:val="multilevel"/>
    <w:tmpl w:val="C25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F5DC8"/>
    <w:multiLevelType w:val="multilevel"/>
    <w:tmpl w:val="0AA49E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9F708DC"/>
    <w:multiLevelType w:val="multilevel"/>
    <w:tmpl w:val="FFD885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6AA622E5"/>
    <w:multiLevelType w:val="multilevel"/>
    <w:tmpl w:val="C5640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6B0E4352"/>
    <w:multiLevelType w:val="multilevel"/>
    <w:tmpl w:val="E5C8E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C4D1A8B"/>
    <w:multiLevelType w:val="multilevel"/>
    <w:tmpl w:val="1E52A1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6DD010C3"/>
    <w:multiLevelType w:val="multilevel"/>
    <w:tmpl w:val="778A84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DF17E09"/>
    <w:multiLevelType w:val="multilevel"/>
    <w:tmpl w:val="D638DC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6FA727E2"/>
    <w:multiLevelType w:val="multilevel"/>
    <w:tmpl w:val="8B34CE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70A1297C"/>
    <w:multiLevelType w:val="multilevel"/>
    <w:tmpl w:val="49B4FD0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72CD626E"/>
    <w:multiLevelType w:val="multilevel"/>
    <w:tmpl w:val="A8961E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74BD565A"/>
    <w:multiLevelType w:val="multilevel"/>
    <w:tmpl w:val="189EA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F16F5"/>
    <w:multiLevelType w:val="multilevel"/>
    <w:tmpl w:val="E6C83F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60C0E06"/>
    <w:multiLevelType w:val="multilevel"/>
    <w:tmpl w:val="5A5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674FE8"/>
    <w:multiLevelType w:val="multilevel"/>
    <w:tmpl w:val="93A0EA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79D376EF"/>
    <w:multiLevelType w:val="multilevel"/>
    <w:tmpl w:val="2782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DE5EC8"/>
    <w:multiLevelType w:val="multilevel"/>
    <w:tmpl w:val="CCE0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D26FB6"/>
    <w:multiLevelType w:val="multilevel"/>
    <w:tmpl w:val="B80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036AC"/>
    <w:multiLevelType w:val="multilevel"/>
    <w:tmpl w:val="5146840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E6B2151"/>
    <w:multiLevelType w:val="multilevel"/>
    <w:tmpl w:val="B322A5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7EF8488E"/>
    <w:multiLevelType w:val="multilevel"/>
    <w:tmpl w:val="76FC394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65274214">
    <w:abstractNumId w:val="17"/>
  </w:num>
  <w:num w:numId="2" w16cid:durableId="1304699735">
    <w:abstractNumId w:val="31"/>
  </w:num>
  <w:num w:numId="3" w16cid:durableId="1777821422">
    <w:abstractNumId w:val="7"/>
  </w:num>
  <w:num w:numId="4" w16cid:durableId="798911838">
    <w:abstractNumId w:val="81"/>
  </w:num>
  <w:num w:numId="5" w16cid:durableId="504827205">
    <w:abstractNumId w:val="4"/>
  </w:num>
  <w:num w:numId="6" w16cid:durableId="1335768638">
    <w:abstractNumId w:val="29"/>
  </w:num>
  <w:num w:numId="7" w16cid:durableId="1753503038">
    <w:abstractNumId w:val="19"/>
  </w:num>
  <w:num w:numId="8" w16cid:durableId="1471895584">
    <w:abstractNumId w:val="61"/>
  </w:num>
  <w:num w:numId="9" w16cid:durableId="1014259583">
    <w:abstractNumId w:val="8"/>
  </w:num>
  <w:num w:numId="10" w16cid:durableId="2034266493">
    <w:abstractNumId w:val="69"/>
  </w:num>
  <w:num w:numId="11" w16cid:durableId="746996444">
    <w:abstractNumId w:val="67"/>
  </w:num>
  <w:num w:numId="12" w16cid:durableId="231279745">
    <w:abstractNumId w:val="39"/>
  </w:num>
  <w:num w:numId="13" w16cid:durableId="935938286">
    <w:abstractNumId w:val="70"/>
  </w:num>
  <w:num w:numId="14" w16cid:durableId="784617152">
    <w:abstractNumId w:val="15"/>
  </w:num>
  <w:num w:numId="15" w16cid:durableId="1265767658">
    <w:abstractNumId w:val="50"/>
  </w:num>
  <w:num w:numId="16" w16cid:durableId="2026903075">
    <w:abstractNumId w:val="2"/>
  </w:num>
  <w:num w:numId="17" w16cid:durableId="1774327904">
    <w:abstractNumId w:val="65"/>
  </w:num>
  <w:num w:numId="18" w16cid:durableId="1838298896">
    <w:abstractNumId w:val="40"/>
  </w:num>
  <w:num w:numId="19" w16cid:durableId="2065903407">
    <w:abstractNumId w:val="13"/>
  </w:num>
  <w:num w:numId="20" w16cid:durableId="1124347469">
    <w:abstractNumId w:val="43"/>
  </w:num>
  <w:num w:numId="21" w16cid:durableId="580796585">
    <w:abstractNumId w:val="77"/>
  </w:num>
  <w:num w:numId="22" w16cid:durableId="420220730">
    <w:abstractNumId w:val="53"/>
  </w:num>
  <w:num w:numId="23" w16cid:durableId="1819958621">
    <w:abstractNumId w:val="49"/>
  </w:num>
  <w:num w:numId="24" w16cid:durableId="525336950">
    <w:abstractNumId w:val="45"/>
  </w:num>
  <w:num w:numId="25" w16cid:durableId="1331985849">
    <w:abstractNumId w:val="18"/>
  </w:num>
  <w:num w:numId="26" w16cid:durableId="1287857156">
    <w:abstractNumId w:val="84"/>
  </w:num>
  <w:num w:numId="27" w16cid:durableId="853618095">
    <w:abstractNumId w:val="68"/>
  </w:num>
  <w:num w:numId="28" w16cid:durableId="986976021">
    <w:abstractNumId w:val="24"/>
  </w:num>
  <w:num w:numId="29" w16cid:durableId="1953201143">
    <w:abstractNumId w:val="58"/>
  </w:num>
  <w:num w:numId="30" w16cid:durableId="478692281">
    <w:abstractNumId w:val="12"/>
  </w:num>
  <w:num w:numId="31" w16cid:durableId="146439220">
    <w:abstractNumId w:val="35"/>
  </w:num>
  <w:num w:numId="32" w16cid:durableId="1833183703">
    <w:abstractNumId w:val="57"/>
  </w:num>
  <w:num w:numId="33" w16cid:durableId="1165241316">
    <w:abstractNumId w:val="83"/>
  </w:num>
  <w:num w:numId="34" w16cid:durableId="1835486435">
    <w:abstractNumId w:val="59"/>
  </w:num>
  <w:num w:numId="35" w16cid:durableId="1702239534">
    <w:abstractNumId w:val="78"/>
  </w:num>
  <w:num w:numId="36" w16cid:durableId="1771730730">
    <w:abstractNumId w:val="36"/>
  </w:num>
  <w:num w:numId="37" w16cid:durableId="1399133206">
    <w:abstractNumId w:val="47"/>
  </w:num>
  <w:num w:numId="38" w16cid:durableId="479427371">
    <w:abstractNumId w:val="38"/>
  </w:num>
  <w:num w:numId="39" w16cid:durableId="402021695">
    <w:abstractNumId w:val="79"/>
  </w:num>
  <w:num w:numId="40" w16cid:durableId="647511928">
    <w:abstractNumId w:val="3"/>
  </w:num>
  <w:num w:numId="41" w16cid:durableId="931861640">
    <w:abstractNumId w:val="37"/>
  </w:num>
  <w:num w:numId="42" w16cid:durableId="2129658353">
    <w:abstractNumId w:val="33"/>
  </w:num>
  <w:num w:numId="43" w16cid:durableId="1237398796">
    <w:abstractNumId w:val="41"/>
  </w:num>
  <w:num w:numId="44" w16cid:durableId="2076203612">
    <w:abstractNumId w:val="56"/>
  </w:num>
  <w:num w:numId="45" w16cid:durableId="1004674480">
    <w:abstractNumId w:val="54"/>
  </w:num>
  <w:num w:numId="46" w16cid:durableId="561598688">
    <w:abstractNumId w:val="32"/>
  </w:num>
  <w:num w:numId="47" w16cid:durableId="651059719">
    <w:abstractNumId w:val="73"/>
  </w:num>
  <w:num w:numId="48" w16cid:durableId="769933323">
    <w:abstractNumId w:val="82"/>
  </w:num>
  <w:num w:numId="49" w16cid:durableId="1178738499">
    <w:abstractNumId w:val="16"/>
  </w:num>
  <w:num w:numId="50" w16cid:durableId="1268928266">
    <w:abstractNumId w:val="34"/>
  </w:num>
  <w:num w:numId="51" w16cid:durableId="1614092123">
    <w:abstractNumId w:val="76"/>
  </w:num>
  <w:num w:numId="52" w16cid:durableId="2062706921">
    <w:abstractNumId w:val="22"/>
  </w:num>
  <w:num w:numId="53" w16cid:durableId="923683023">
    <w:abstractNumId w:val="1"/>
  </w:num>
  <w:num w:numId="54" w16cid:durableId="1114209626">
    <w:abstractNumId w:val="71"/>
  </w:num>
  <w:num w:numId="55" w16cid:durableId="1518428236">
    <w:abstractNumId w:val="42"/>
  </w:num>
  <w:num w:numId="56" w16cid:durableId="2146579454">
    <w:abstractNumId w:val="10"/>
  </w:num>
  <w:num w:numId="57" w16cid:durableId="724909439">
    <w:abstractNumId w:val="25"/>
  </w:num>
  <w:num w:numId="58" w16cid:durableId="600992227">
    <w:abstractNumId w:val="26"/>
  </w:num>
  <w:num w:numId="59" w16cid:durableId="1575385186">
    <w:abstractNumId w:val="75"/>
  </w:num>
  <w:num w:numId="60" w16cid:durableId="624386625">
    <w:abstractNumId w:val="80"/>
  </w:num>
  <w:num w:numId="61" w16cid:durableId="1094277031">
    <w:abstractNumId w:val="27"/>
  </w:num>
  <w:num w:numId="62" w16cid:durableId="1333145803">
    <w:abstractNumId w:val="66"/>
  </w:num>
  <w:num w:numId="63" w16cid:durableId="1293170842">
    <w:abstractNumId w:val="9"/>
  </w:num>
  <w:num w:numId="64" w16cid:durableId="1817603299">
    <w:abstractNumId w:val="20"/>
  </w:num>
  <w:num w:numId="65" w16cid:durableId="141847940">
    <w:abstractNumId w:val="5"/>
  </w:num>
  <w:num w:numId="66" w16cid:durableId="1335186601">
    <w:abstractNumId w:val="63"/>
  </w:num>
  <w:num w:numId="67" w16cid:durableId="1689062817">
    <w:abstractNumId w:val="21"/>
  </w:num>
  <w:num w:numId="68" w16cid:durableId="1233084851">
    <w:abstractNumId w:val="11"/>
  </w:num>
  <w:num w:numId="69" w16cid:durableId="1681422641">
    <w:abstractNumId w:val="72"/>
  </w:num>
  <w:num w:numId="70" w16cid:durableId="551618652">
    <w:abstractNumId w:val="14"/>
  </w:num>
  <w:num w:numId="71" w16cid:durableId="63333342">
    <w:abstractNumId w:val="74"/>
  </w:num>
  <w:num w:numId="72" w16cid:durableId="203711976">
    <w:abstractNumId w:val="86"/>
  </w:num>
  <w:num w:numId="73" w16cid:durableId="1245609066">
    <w:abstractNumId w:val="55"/>
  </w:num>
  <w:num w:numId="74" w16cid:durableId="1214122883">
    <w:abstractNumId w:val="46"/>
  </w:num>
  <w:num w:numId="75" w16cid:durableId="2093698652">
    <w:abstractNumId w:val="28"/>
  </w:num>
  <w:num w:numId="76" w16cid:durableId="504134754">
    <w:abstractNumId w:val="48"/>
  </w:num>
  <w:num w:numId="77" w16cid:durableId="1278175513">
    <w:abstractNumId w:val="6"/>
  </w:num>
  <w:num w:numId="78" w16cid:durableId="1896887855">
    <w:abstractNumId w:val="44"/>
  </w:num>
  <w:num w:numId="79" w16cid:durableId="1243638136">
    <w:abstractNumId w:val="64"/>
  </w:num>
  <w:num w:numId="80" w16cid:durableId="1623417446">
    <w:abstractNumId w:val="52"/>
  </w:num>
  <w:num w:numId="81" w16cid:durableId="1506629161">
    <w:abstractNumId w:val="0"/>
  </w:num>
  <w:num w:numId="82" w16cid:durableId="1974823274">
    <w:abstractNumId w:val="23"/>
  </w:num>
  <w:num w:numId="83" w16cid:durableId="1586843973">
    <w:abstractNumId w:val="51"/>
  </w:num>
  <w:num w:numId="84" w16cid:durableId="1174228275">
    <w:abstractNumId w:val="85"/>
  </w:num>
  <w:num w:numId="85" w16cid:durableId="1171680723">
    <w:abstractNumId w:val="60"/>
  </w:num>
  <w:num w:numId="86" w16cid:durableId="956907476">
    <w:abstractNumId w:val="30"/>
  </w:num>
  <w:num w:numId="87" w16cid:durableId="63892014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BC"/>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5D8D"/>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C7DC1"/>
    <w:rsid w:val="005D57DA"/>
    <w:rsid w:val="005E7702"/>
    <w:rsid w:val="005F33FC"/>
    <w:rsid w:val="00605F8E"/>
    <w:rsid w:val="0061098F"/>
    <w:rsid w:val="00613954"/>
    <w:rsid w:val="00650543"/>
    <w:rsid w:val="00654D8B"/>
    <w:rsid w:val="00661136"/>
    <w:rsid w:val="0068027B"/>
    <w:rsid w:val="00683ABC"/>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0AE0"/>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9F64D3"/>
    <w:rsid w:val="00A03BBD"/>
    <w:rsid w:val="00A21254"/>
    <w:rsid w:val="00A220B7"/>
    <w:rsid w:val="00A37AB0"/>
    <w:rsid w:val="00A4085F"/>
    <w:rsid w:val="00A45953"/>
    <w:rsid w:val="00A93FBA"/>
    <w:rsid w:val="00A95C7E"/>
    <w:rsid w:val="00AB609D"/>
    <w:rsid w:val="00AC3AB8"/>
    <w:rsid w:val="00AE4348"/>
    <w:rsid w:val="00AE4BAF"/>
    <w:rsid w:val="00B03D5A"/>
    <w:rsid w:val="00B108B0"/>
    <w:rsid w:val="00B200EB"/>
    <w:rsid w:val="00B23297"/>
    <w:rsid w:val="00B360EE"/>
    <w:rsid w:val="00B53B6F"/>
    <w:rsid w:val="00B651D9"/>
    <w:rsid w:val="00B65B7F"/>
    <w:rsid w:val="00B67231"/>
    <w:rsid w:val="00B73742"/>
    <w:rsid w:val="00B914E6"/>
    <w:rsid w:val="00B95747"/>
    <w:rsid w:val="00BC4186"/>
    <w:rsid w:val="00BC5F25"/>
    <w:rsid w:val="00BD1450"/>
    <w:rsid w:val="00BD7714"/>
    <w:rsid w:val="00BD7C9B"/>
    <w:rsid w:val="00C072F8"/>
    <w:rsid w:val="00C163D7"/>
    <w:rsid w:val="00C17D79"/>
    <w:rsid w:val="00C17DE0"/>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4652D"/>
    <w:rsid w:val="00D65735"/>
    <w:rsid w:val="00D73E2C"/>
    <w:rsid w:val="00D76D14"/>
    <w:rsid w:val="00DA31CB"/>
    <w:rsid w:val="00DA3D31"/>
    <w:rsid w:val="00DA4488"/>
    <w:rsid w:val="00DB1EC5"/>
    <w:rsid w:val="00DB2E35"/>
    <w:rsid w:val="00DC0040"/>
    <w:rsid w:val="00DC0B7B"/>
    <w:rsid w:val="00DC228E"/>
    <w:rsid w:val="00DC495B"/>
    <w:rsid w:val="00DC7181"/>
    <w:rsid w:val="00DD6F5C"/>
    <w:rsid w:val="00DE1A20"/>
    <w:rsid w:val="00DE6C87"/>
    <w:rsid w:val="00E14A1A"/>
    <w:rsid w:val="00E14E1F"/>
    <w:rsid w:val="00E2730E"/>
    <w:rsid w:val="00E438AC"/>
    <w:rsid w:val="00E5689E"/>
    <w:rsid w:val="00E60DF5"/>
    <w:rsid w:val="00E64DD3"/>
    <w:rsid w:val="00E80D33"/>
    <w:rsid w:val="00E90131"/>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B2653"/>
    <w:rsid w:val="00FC7B56"/>
    <w:rsid w:val="00FD1812"/>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E8E0"/>
  <w15:chartTrackingRefBased/>
  <w15:docId w15:val="{8AE38175-F9C4-AC47-BED0-93FEC794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83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AB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3A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683A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83AB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3AB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3AB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3AB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B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683AB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83AB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683AB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683AB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83AB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83AB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83AB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83AB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83A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B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83AB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B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83A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3AB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83ABC"/>
    <w:pPr>
      <w:ind w:left="720"/>
      <w:contextualSpacing/>
    </w:pPr>
  </w:style>
  <w:style w:type="character" w:styleId="IntenseEmphasis">
    <w:name w:val="Intense Emphasis"/>
    <w:basedOn w:val="DefaultParagraphFont"/>
    <w:uiPriority w:val="21"/>
    <w:qFormat/>
    <w:rsid w:val="00683ABC"/>
    <w:rPr>
      <w:i/>
      <w:iCs/>
      <w:color w:val="2F5496" w:themeColor="accent1" w:themeShade="BF"/>
    </w:rPr>
  </w:style>
  <w:style w:type="paragraph" w:styleId="IntenseQuote">
    <w:name w:val="Intense Quote"/>
    <w:basedOn w:val="Normal"/>
    <w:next w:val="Normal"/>
    <w:link w:val="IntenseQuoteChar"/>
    <w:uiPriority w:val="30"/>
    <w:qFormat/>
    <w:rsid w:val="00683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AB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83ABC"/>
    <w:rPr>
      <w:b/>
      <w:bCs/>
      <w:smallCaps/>
      <w:color w:val="2F5496" w:themeColor="accent1" w:themeShade="BF"/>
      <w:spacing w:val="5"/>
    </w:rPr>
  </w:style>
  <w:style w:type="character" w:styleId="Strong">
    <w:name w:val="Strong"/>
    <w:basedOn w:val="DefaultParagraphFont"/>
    <w:uiPriority w:val="22"/>
    <w:qFormat/>
    <w:rsid w:val="00FD1812"/>
    <w:rPr>
      <w:b/>
      <w:bCs/>
    </w:rPr>
  </w:style>
  <w:style w:type="paragraph" w:styleId="NormalWeb">
    <w:name w:val="Normal (Web)"/>
    <w:basedOn w:val="Normal"/>
    <w:uiPriority w:val="99"/>
    <w:semiHidden/>
    <w:unhideWhenUsed/>
    <w:rsid w:val="00FD1812"/>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255739">
      <w:bodyDiv w:val="1"/>
      <w:marLeft w:val="0"/>
      <w:marRight w:val="0"/>
      <w:marTop w:val="0"/>
      <w:marBottom w:val="0"/>
      <w:divBdr>
        <w:top w:val="none" w:sz="0" w:space="0" w:color="auto"/>
        <w:left w:val="none" w:sz="0" w:space="0" w:color="auto"/>
        <w:bottom w:val="none" w:sz="0" w:space="0" w:color="auto"/>
        <w:right w:val="none" w:sz="0" w:space="0" w:color="auto"/>
      </w:divBdr>
      <w:divsChild>
        <w:div w:id="1027676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249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754122">
      <w:bodyDiv w:val="1"/>
      <w:marLeft w:val="0"/>
      <w:marRight w:val="0"/>
      <w:marTop w:val="0"/>
      <w:marBottom w:val="0"/>
      <w:divBdr>
        <w:top w:val="none" w:sz="0" w:space="0" w:color="auto"/>
        <w:left w:val="none" w:sz="0" w:space="0" w:color="auto"/>
        <w:bottom w:val="none" w:sz="0" w:space="0" w:color="auto"/>
        <w:right w:val="none" w:sz="0" w:space="0" w:color="auto"/>
      </w:divBdr>
      <w:divsChild>
        <w:div w:id="1643149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34316">
      <w:bodyDiv w:val="1"/>
      <w:marLeft w:val="0"/>
      <w:marRight w:val="0"/>
      <w:marTop w:val="0"/>
      <w:marBottom w:val="0"/>
      <w:divBdr>
        <w:top w:val="none" w:sz="0" w:space="0" w:color="auto"/>
        <w:left w:val="none" w:sz="0" w:space="0" w:color="auto"/>
        <w:bottom w:val="none" w:sz="0" w:space="0" w:color="auto"/>
        <w:right w:val="none" w:sz="0" w:space="0" w:color="auto"/>
      </w:divBdr>
    </w:div>
    <w:div w:id="457073002">
      <w:bodyDiv w:val="1"/>
      <w:marLeft w:val="0"/>
      <w:marRight w:val="0"/>
      <w:marTop w:val="0"/>
      <w:marBottom w:val="0"/>
      <w:divBdr>
        <w:top w:val="none" w:sz="0" w:space="0" w:color="auto"/>
        <w:left w:val="none" w:sz="0" w:space="0" w:color="auto"/>
        <w:bottom w:val="none" w:sz="0" w:space="0" w:color="auto"/>
        <w:right w:val="none" w:sz="0" w:space="0" w:color="auto"/>
      </w:divBdr>
    </w:div>
    <w:div w:id="500049141">
      <w:bodyDiv w:val="1"/>
      <w:marLeft w:val="0"/>
      <w:marRight w:val="0"/>
      <w:marTop w:val="0"/>
      <w:marBottom w:val="0"/>
      <w:divBdr>
        <w:top w:val="none" w:sz="0" w:space="0" w:color="auto"/>
        <w:left w:val="none" w:sz="0" w:space="0" w:color="auto"/>
        <w:bottom w:val="none" w:sz="0" w:space="0" w:color="auto"/>
        <w:right w:val="none" w:sz="0" w:space="0" w:color="auto"/>
      </w:divBdr>
      <w:divsChild>
        <w:div w:id="387456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290933">
      <w:bodyDiv w:val="1"/>
      <w:marLeft w:val="0"/>
      <w:marRight w:val="0"/>
      <w:marTop w:val="0"/>
      <w:marBottom w:val="0"/>
      <w:divBdr>
        <w:top w:val="none" w:sz="0" w:space="0" w:color="auto"/>
        <w:left w:val="none" w:sz="0" w:space="0" w:color="auto"/>
        <w:bottom w:val="none" w:sz="0" w:space="0" w:color="auto"/>
        <w:right w:val="none" w:sz="0" w:space="0" w:color="auto"/>
      </w:divBdr>
      <w:divsChild>
        <w:div w:id="168763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333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030989">
      <w:bodyDiv w:val="1"/>
      <w:marLeft w:val="0"/>
      <w:marRight w:val="0"/>
      <w:marTop w:val="0"/>
      <w:marBottom w:val="0"/>
      <w:divBdr>
        <w:top w:val="none" w:sz="0" w:space="0" w:color="auto"/>
        <w:left w:val="none" w:sz="0" w:space="0" w:color="auto"/>
        <w:bottom w:val="none" w:sz="0" w:space="0" w:color="auto"/>
        <w:right w:val="none" w:sz="0" w:space="0" w:color="auto"/>
      </w:divBdr>
      <w:divsChild>
        <w:div w:id="332496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79232">
      <w:bodyDiv w:val="1"/>
      <w:marLeft w:val="0"/>
      <w:marRight w:val="0"/>
      <w:marTop w:val="0"/>
      <w:marBottom w:val="0"/>
      <w:divBdr>
        <w:top w:val="none" w:sz="0" w:space="0" w:color="auto"/>
        <w:left w:val="none" w:sz="0" w:space="0" w:color="auto"/>
        <w:bottom w:val="none" w:sz="0" w:space="0" w:color="auto"/>
        <w:right w:val="none" w:sz="0" w:space="0" w:color="auto"/>
      </w:divBdr>
    </w:div>
    <w:div w:id="1623219689">
      <w:bodyDiv w:val="1"/>
      <w:marLeft w:val="0"/>
      <w:marRight w:val="0"/>
      <w:marTop w:val="0"/>
      <w:marBottom w:val="0"/>
      <w:divBdr>
        <w:top w:val="none" w:sz="0" w:space="0" w:color="auto"/>
        <w:left w:val="none" w:sz="0" w:space="0" w:color="auto"/>
        <w:bottom w:val="none" w:sz="0" w:space="0" w:color="auto"/>
        <w:right w:val="none" w:sz="0" w:space="0" w:color="auto"/>
      </w:divBdr>
      <w:divsChild>
        <w:div w:id="76141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48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299433">
      <w:bodyDiv w:val="1"/>
      <w:marLeft w:val="0"/>
      <w:marRight w:val="0"/>
      <w:marTop w:val="0"/>
      <w:marBottom w:val="0"/>
      <w:divBdr>
        <w:top w:val="none" w:sz="0" w:space="0" w:color="auto"/>
        <w:left w:val="none" w:sz="0" w:space="0" w:color="auto"/>
        <w:bottom w:val="none" w:sz="0" w:space="0" w:color="auto"/>
        <w:right w:val="none" w:sz="0" w:space="0" w:color="auto"/>
      </w:divBdr>
    </w:div>
    <w:div w:id="1826046877">
      <w:bodyDiv w:val="1"/>
      <w:marLeft w:val="0"/>
      <w:marRight w:val="0"/>
      <w:marTop w:val="0"/>
      <w:marBottom w:val="0"/>
      <w:divBdr>
        <w:top w:val="none" w:sz="0" w:space="0" w:color="auto"/>
        <w:left w:val="none" w:sz="0" w:space="0" w:color="auto"/>
        <w:bottom w:val="none" w:sz="0" w:space="0" w:color="auto"/>
        <w:right w:val="none" w:sz="0" w:space="0" w:color="auto"/>
      </w:divBdr>
      <w:divsChild>
        <w:div w:id="517697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090701">
      <w:bodyDiv w:val="1"/>
      <w:marLeft w:val="0"/>
      <w:marRight w:val="0"/>
      <w:marTop w:val="0"/>
      <w:marBottom w:val="0"/>
      <w:divBdr>
        <w:top w:val="none" w:sz="0" w:space="0" w:color="auto"/>
        <w:left w:val="none" w:sz="0" w:space="0" w:color="auto"/>
        <w:bottom w:val="none" w:sz="0" w:space="0" w:color="auto"/>
        <w:right w:val="none" w:sz="0" w:space="0" w:color="auto"/>
      </w:divBdr>
      <w:divsChild>
        <w:div w:id="1593472504">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221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883826">
          <w:blockQuote w:val="1"/>
          <w:marLeft w:val="720"/>
          <w:marRight w:val="720"/>
          <w:marTop w:val="100"/>
          <w:marBottom w:val="100"/>
          <w:divBdr>
            <w:top w:val="none" w:sz="0" w:space="0" w:color="auto"/>
            <w:left w:val="none" w:sz="0" w:space="0" w:color="auto"/>
            <w:bottom w:val="none" w:sz="0" w:space="0" w:color="auto"/>
            <w:right w:val="none" w:sz="0" w:space="0" w:color="auto"/>
          </w:divBdr>
        </w:div>
        <w:div w:id="606425240">
          <w:blockQuote w:val="1"/>
          <w:marLeft w:val="720"/>
          <w:marRight w:val="720"/>
          <w:marTop w:val="100"/>
          <w:marBottom w:val="100"/>
          <w:divBdr>
            <w:top w:val="none" w:sz="0" w:space="0" w:color="auto"/>
            <w:left w:val="none" w:sz="0" w:space="0" w:color="auto"/>
            <w:bottom w:val="none" w:sz="0" w:space="0" w:color="auto"/>
            <w:right w:val="none" w:sz="0" w:space="0" w:color="auto"/>
          </w:divBdr>
        </w:div>
        <w:div w:id="5100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77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39</Pages>
  <Words>7803</Words>
  <Characters>44481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2025-01-18T18:36:00Z</dcterms:created>
  <dcterms:modified xsi:type="dcterms:W3CDTF">2025-01-19T14:32:00Z</dcterms:modified>
</cp:coreProperties>
</file>