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034F01" w14:textId="77777777" w:rsidR="00182525" w:rsidRPr="00182525" w:rsidRDefault="00182525" w:rsidP="00B5270C">
      <w:pPr>
        <w:spacing w:before="100" w:beforeAutospacing="1" w:after="100" w:afterAutospacing="1" w:line="360" w:lineRule="auto"/>
        <w:rPr>
          <w:rFonts w:ascii="Times New Roman" w:hAnsi="Times New Roman"/>
          <w:color w:val="000000" w:themeColor="text1"/>
          <w:lang w:val="en-HK"/>
        </w:rPr>
      </w:pPr>
      <w:proofErr w:type="spellStart"/>
      <w:r w:rsidRPr="00182525">
        <w:rPr>
          <w:rFonts w:ascii="Times New Roman" w:hAnsi="Times New Roman"/>
          <w:color w:val="000000" w:themeColor="text1"/>
          <w:lang w:val="en-HK"/>
        </w:rPr>
        <w:t>Thornely</w:t>
      </w:r>
      <w:proofErr w:type="spellEnd"/>
      <w:r w:rsidRPr="00182525">
        <w:rPr>
          <w:rFonts w:ascii="Times New Roman" w:hAnsi="Times New Roman"/>
          <w:color w:val="000000" w:themeColor="text1"/>
          <w:lang w:val="en-HK"/>
        </w:rPr>
        <w:t xml:space="preserve"> explores the tensions between the nemo </w:t>
      </w:r>
      <w:proofErr w:type="spellStart"/>
      <w:r w:rsidRPr="00182525">
        <w:rPr>
          <w:rFonts w:ascii="Times New Roman" w:hAnsi="Times New Roman"/>
          <w:color w:val="000000" w:themeColor="text1"/>
          <w:lang w:val="en-HK"/>
        </w:rPr>
        <w:t>dat</w:t>
      </w:r>
      <w:proofErr w:type="spellEnd"/>
      <w:r w:rsidRPr="00182525">
        <w:rPr>
          <w:rFonts w:ascii="Times New Roman" w:hAnsi="Times New Roman"/>
          <w:color w:val="000000" w:themeColor="text1"/>
          <w:lang w:val="en-HK"/>
        </w:rPr>
        <w:t xml:space="preserve"> quod non </w:t>
      </w:r>
      <w:proofErr w:type="spellStart"/>
      <w:r w:rsidRPr="00182525">
        <w:rPr>
          <w:rFonts w:ascii="Times New Roman" w:hAnsi="Times New Roman"/>
          <w:color w:val="000000" w:themeColor="text1"/>
          <w:lang w:val="en-HK"/>
        </w:rPr>
        <w:t>habet</w:t>
      </w:r>
      <w:proofErr w:type="spellEnd"/>
      <w:r w:rsidRPr="00182525">
        <w:rPr>
          <w:rFonts w:ascii="Times New Roman" w:hAnsi="Times New Roman"/>
          <w:color w:val="000000" w:themeColor="text1"/>
          <w:lang w:val="en-HK"/>
        </w:rPr>
        <w:t xml:space="preserve"> rule, which protects true owners’ rights, and exceptions designed to facilitate commerce by recognizing the rights of good faith purchasers. These exceptions, under the Sale of Goods Act 1979 (SGA) and Factors Act 1889, often create interpretative challenges, particularly Sections 21(1), 25(1) SGA, and Section 9 of the Factors Act.</w:t>
      </w:r>
    </w:p>
    <w:p w14:paraId="2639A8BA" w14:textId="718B0133" w:rsidR="00182525" w:rsidRPr="00B5270C" w:rsidRDefault="00311F89" w:rsidP="00B5270C">
      <w:pPr>
        <w:pStyle w:val="Heading3"/>
        <w:spacing w:line="360" w:lineRule="auto"/>
        <w:rPr>
          <w:rFonts w:ascii="Times New Roman" w:hAnsi="Times New Roman" w:cs="Times New Roman"/>
          <w:color w:val="000000" w:themeColor="text1"/>
          <w:sz w:val="24"/>
          <w:szCs w:val="24"/>
          <w:lang w:val="en-HK"/>
        </w:rPr>
      </w:pPr>
      <w:r w:rsidRPr="00311F89">
        <w:rPr>
          <w:rFonts w:ascii="Times New Roman" w:hAnsi="Times New Roman" w:cs="Times New Roman"/>
          <w:noProof/>
          <w:color w:val="000000" w:themeColor="text1"/>
          <w:sz w:val="24"/>
          <w:szCs w:val="24"/>
          <w14:ligatures w14:val="standardContextual"/>
        </w:rPr>
        <w:pict w14:anchorId="7CBA034D">
          <v:rect id="_x0000_i1042" alt="" style="width:451.3pt;height:.05pt;mso-width-percent:0;mso-height-percent:0;mso-width-percent:0;mso-height-percent:0" o:hralign="center" o:hrstd="t" o:hr="t" fillcolor="#a0a0a0" stroked="f"/>
        </w:pict>
      </w:r>
      <w:r w:rsidR="00182525" w:rsidRPr="00B5270C">
        <w:rPr>
          <w:rStyle w:val="Strong"/>
          <w:rFonts w:ascii="Times New Roman" w:hAnsi="Times New Roman" w:cs="Times New Roman"/>
          <w:color w:val="000000" w:themeColor="text1"/>
          <w:sz w:val="24"/>
          <w:szCs w:val="24"/>
        </w:rPr>
        <w:t xml:space="preserve">1. </w:t>
      </w:r>
      <w:r w:rsidR="00182525" w:rsidRPr="00B5270C">
        <w:rPr>
          <w:rStyle w:val="Strong"/>
          <w:rFonts w:ascii="Times New Roman" w:hAnsi="Times New Roman" w:cs="Times New Roman"/>
          <w:color w:val="000000" w:themeColor="text1"/>
          <w:sz w:val="24"/>
          <w:szCs w:val="24"/>
        </w:rPr>
        <w:t>How the Scope of Two Exceptions to the Nemo Dat Maxim Was Restricted</w:t>
      </w:r>
    </w:p>
    <w:p w14:paraId="6EBF20EE" w14:textId="5189A6D5" w:rsidR="00182525" w:rsidRPr="00B5270C" w:rsidRDefault="00182525" w:rsidP="00B5270C">
      <w:pPr>
        <w:pStyle w:val="NormalWeb"/>
        <w:spacing w:line="360" w:lineRule="auto"/>
        <w:rPr>
          <w:color w:val="000000" w:themeColor="text1"/>
        </w:rPr>
      </w:pPr>
      <w:r w:rsidRPr="00B5270C">
        <w:rPr>
          <w:color w:val="000000" w:themeColor="text1"/>
        </w:rPr>
        <w:t xml:space="preserve">In </w:t>
      </w:r>
      <w:r w:rsidRPr="00B5270C">
        <w:rPr>
          <w:rStyle w:val="Emphasis"/>
          <w:rFonts w:eastAsiaTheme="majorEastAsia"/>
          <w:color w:val="000000" w:themeColor="text1"/>
        </w:rPr>
        <w:t>National Employers’ Mutual General Insurance Association Ltd. v Jones (1987)</w:t>
      </w:r>
      <w:r w:rsidRPr="00B5270C">
        <w:rPr>
          <w:color w:val="000000" w:themeColor="text1"/>
        </w:rPr>
        <w:t xml:space="preserve"> and </w:t>
      </w:r>
      <w:r w:rsidRPr="00B5270C">
        <w:rPr>
          <w:rStyle w:val="Emphasis"/>
          <w:rFonts w:eastAsiaTheme="majorEastAsia"/>
          <w:color w:val="000000" w:themeColor="text1"/>
        </w:rPr>
        <w:t>Shaw v Commissioner of Police of the Metropolis (1987)</w:t>
      </w:r>
      <w:r w:rsidRPr="00B5270C">
        <w:rPr>
          <w:color w:val="000000" w:themeColor="text1"/>
        </w:rPr>
        <w:t xml:space="preserve">, the Court of Appeal significantly restricted the scope of two key exceptions to the </w:t>
      </w:r>
      <w:r w:rsidRPr="00B5270C">
        <w:rPr>
          <w:rStyle w:val="Strong"/>
          <w:rFonts w:eastAsiaTheme="majorEastAsia"/>
          <w:color w:val="000000" w:themeColor="text1"/>
        </w:rPr>
        <w:t xml:space="preserve">nemo </w:t>
      </w:r>
      <w:proofErr w:type="spellStart"/>
      <w:r w:rsidRPr="00B5270C">
        <w:rPr>
          <w:rStyle w:val="Strong"/>
          <w:rFonts w:eastAsiaTheme="majorEastAsia"/>
          <w:color w:val="000000" w:themeColor="text1"/>
        </w:rPr>
        <w:t>dat</w:t>
      </w:r>
      <w:proofErr w:type="spellEnd"/>
      <w:r w:rsidRPr="00B5270C">
        <w:rPr>
          <w:rStyle w:val="Strong"/>
          <w:rFonts w:eastAsiaTheme="majorEastAsia"/>
          <w:color w:val="000000" w:themeColor="text1"/>
        </w:rPr>
        <w:t xml:space="preserve"> quod non </w:t>
      </w:r>
      <w:proofErr w:type="spellStart"/>
      <w:r w:rsidRPr="00B5270C">
        <w:rPr>
          <w:rStyle w:val="Strong"/>
          <w:rFonts w:eastAsiaTheme="majorEastAsia"/>
          <w:color w:val="000000" w:themeColor="text1"/>
        </w:rPr>
        <w:t>habet</w:t>
      </w:r>
      <w:proofErr w:type="spellEnd"/>
      <w:r w:rsidRPr="00B5270C">
        <w:rPr>
          <w:color w:val="000000" w:themeColor="text1"/>
        </w:rPr>
        <w:t xml:space="preserve"> principle:</w:t>
      </w:r>
    </w:p>
    <w:p w14:paraId="355F3203" w14:textId="77777777" w:rsidR="00182525" w:rsidRPr="00B5270C" w:rsidRDefault="00182525" w:rsidP="00B5270C">
      <w:pPr>
        <w:pStyle w:val="Heading4"/>
        <w:spacing w:line="360" w:lineRule="auto"/>
        <w:rPr>
          <w:rFonts w:ascii="Times New Roman" w:hAnsi="Times New Roman" w:cs="Times New Roman"/>
          <w:i w:val="0"/>
          <w:iCs w:val="0"/>
          <w:color w:val="000000" w:themeColor="text1"/>
          <w:u w:val="single"/>
        </w:rPr>
      </w:pPr>
      <w:r w:rsidRPr="00B5270C">
        <w:rPr>
          <w:rStyle w:val="Strong"/>
          <w:rFonts w:ascii="Times New Roman" w:hAnsi="Times New Roman" w:cs="Times New Roman"/>
          <w:i w:val="0"/>
          <w:iCs w:val="0"/>
          <w:color w:val="000000" w:themeColor="text1"/>
        </w:rPr>
        <w:t xml:space="preserve">1. Restriction of </w:t>
      </w:r>
      <w:r w:rsidRPr="00B5270C">
        <w:rPr>
          <w:rStyle w:val="Strong"/>
          <w:rFonts w:ascii="Times New Roman" w:hAnsi="Times New Roman" w:cs="Times New Roman"/>
          <w:i w:val="0"/>
          <w:iCs w:val="0"/>
          <w:color w:val="000000" w:themeColor="text1"/>
          <w:u w:val="single"/>
        </w:rPr>
        <w:t>Section 25(1) of the Sale of Goods Act 1979</w:t>
      </w:r>
    </w:p>
    <w:p w14:paraId="200E77FB" w14:textId="77777777" w:rsidR="00182525" w:rsidRPr="00B5270C" w:rsidRDefault="00182525" w:rsidP="00B5270C">
      <w:pPr>
        <w:pStyle w:val="NormalWeb"/>
        <w:spacing w:line="360" w:lineRule="auto"/>
        <w:rPr>
          <w:color w:val="000000" w:themeColor="text1"/>
        </w:rPr>
      </w:pPr>
      <w:r w:rsidRPr="00B5270C">
        <w:rPr>
          <w:color w:val="000000" w:themeColor="text1"/>
        </w:rPr>
        <w:t xml:space="preserve">This section creates an exception to the nemo </w:t>
      </w:r>
      <w:proofErr w:type="spellStart"/>
      <w:r w:rsidRPr="00B5270C">
        <w:rPr>
          <w:color w:val="000000" w:themeColor="text1"/>
        </w:rPr>
        <w:t>dat</w:t>
      </w:r>
      <w:proofErr w:type="spellEnd"/>
      <w:r w:rsidRPr="00B5270C">
        <w:rPr>
          <w:color w:val="000000" w:themeColor="text1"/>
        </w:rPr>
        <w:t xml:space="preserve"> rule, allowing </w:t>
      </w:r>
      <w:r w:rsidRPr="00487994">
        <w:rPr>
          <w:b/>
          <w:bCs/>
          <w:color w:val="FF0000"/>
        </w:rPr>
        <w:t xml:space="preserve">a buyer who has possession of goods with the seller's consent </w:t>
      </w:r>
      <w:r w:rsidRPr="00B5270C">
        <w:rPr>
          <w:color w:val="000000" w:themeColor="text1"/>
        </w:rPr>
        <w:t>to pass valid title to a subsequent purchaser acting in good faith.</w:t>
      </w:r>
    </w:p>
    <w:p w14:paraId="661D9852" w14:textId="77777777" w:rsidR="00182525" w:rsidRPr="00B5270C" w:rsidRDefault="00182525" w:rsidP="00B5270C">
      <w:pPr>
        <w:pStyle w:val="NormalWeb"/>
        <w:spacing w:line="360" w:lineRule="auto"/>
        <w:rPr>
          <w:color w:val="000000" w:themeColor="text1"/>
        </w:rPr>
      </w:pPr>
      <w:r w:rsidRPr="00B5270C">
        <w:rPr>
          <w:rStyle w:val="Strong"/>
          <w:rFonts w:eastAsiaTheme="majorEastAsia"/>
          <w:color w:val="000000" w:themeColor="text1"/>
        </w:rPr>
        <w:t>Restriction in Jones’ Case</w:t>
      </w:r>
      <w:r w:rsidRPr="00B5270C">
        <w:rPr>
          <w:color w:val="000000" w:themeColor="text1"/>
        </w:rPr>
        <w:t>:</w:t>
      </w:r>
    </w:p>
    <w:p w14:paraId="18696E37" w14:textId="77777777" w:rsidR="00182525" w:rsidRPr="00B5270C" w:rsidRDefault="00182525" w:rsidP="00B5270C">
      <w:pPr>
        <w:numPr>
          <w:ilvl w:val="0"/>
          <w:numId w:val="12"/>
        </w:numPr>
        <w:spacing w:before="100" w:beforeAutospacing="1" w:after="100" w:afterAutospacing="1" w:line="360" w:lineRule="auto"/>
        <w:rPr>
          <w:rFonts w:ascii="Times New Roman" w:hAnsi="Times New Roman"/>
          <w:color w:val="000000" w:themeColor="text1"/>
        </w:rPr>
      </w:pPr>
      <w:r w:rsidRPr="00B5270C">
        <w:rPr>
          <w:rFonts w:ascii="Times New Roman" w:hAnsi="Times New Roman"/>
          <w:color w:val="000000" w:themeColor="text1"/>
        </w:rPr>
        <w:t>The Court of Appeal held that the section does not apply where the original transferor (the thief in this case) lacks any legitimate title or authority to transfer ownership.</w:t>
      </w:r>
    </w:p>
    <w:p w14:paraId="1FB5E117" w14:textId="77777777" w:rsidR="00182525" w:rsidRPr="00B5270C" w:rsidRDefault="00182525" w:rsidP="00B5270C">
      <w:pPr>
        <w:numPr>
          <w:ilvl w:val="0"/>
          <w:numId w:val="12"/>
        </w:numPr>
        <w:spacing w:before="100" w:beforeAutospacing="1" w:after="100" w:afterAutospacing="1" w:line="360" w:lineRule="auto"/>
        <w:rPr>
          <w:rFonts w:ascii="Times New Roman" w:hAnsi="Times New Roman"/>
          <w:color w:val="000000" w:themeColor="text1"/>
        </w:rPr>
      </w:pPr>
      <w:r w:rsidRPr="00B5270C">
        <w:rPr>
          <w:rFonts w:ascii="Times New Roman" w:hAnsi="Times New Roman"/>
          <w:color w:val="000000" w:themeColor="text1"/>
        </w:rPr>
        <w:t>The court reasoned that the phrase "having bought or agreed to buy goods" requires the seller to have either ownership or authority from the true owner. Without this, any subsequent transfer under Section 25(1) fails.</w:t>
      </w:r>
    </w:p>
    <w:p w14:paraId="1F88F02C" w14:textId="77777777" w:rsidR="00182525" w:rsidRPr="00B5270C" w:rsidRDefault="00182525" w:rsidP="00B5270C">
      <w:pPr>
        <w:numPr>
          <w:ilvl w:val="0"/>
          <w:numId w:val="12"/>
        </w:numPr>
        <w:spacing w:before="100" w:beforeAutospacing="1" w:after="100" w:afterAutospacing="1" w:line="360" w:lineRule="auto"/>
        <w:rPr>
          <w:rFonts w:ascii="Times New Roman" w:hAnsi="Times New Roman"/>
          <w:color w:val="000000" w:themeColor="text1"/>
        </w:rPr>
      </w:pPr>
      <w:r w:rsidRPr="00B5270C">
        <w:rPr>
          <w:rFonts w:ascii="Times New Roman" w:hAnsi="Times New Roman"/>
          <w:color w:val="000000" w:themeColor="text1"/>
        </w:rPr>
        <w:t>May and Croom-Johnson LJJ explicitly rejected a literal interpretation that would allow an innocent buyer in the chain to gain title through possession alone.</w:t>
      </w:r>
    </w:p>
    <w:p w14:paraId="63728007" w14:textId="77777777" w:rsidR="00182525" w:rsidRPr="00B5270C" w:rsidRDefault="00182525" w:rsidP="00B5270C">
      <w:pPr>
        <w:pStyle w:val="NormalWeb"/>
        <w:spacing w:line="360" w:lineRule="auto"/>
        <w:rPr>
          <w:color w:val="000000" w:themeColor="text1"/>
        </w:rPr>
      </w:pPr>
      <w:r w:rsidRPr="00B5270C">
        <w:rPr>
          <w:rStyle w:val="Strong"/>
          <w:rFonts w:eastAsiaTheme="majorEastAsia"/>
          <w:color w:val="000000" w:themeColor="text1"/>
        </w:rPr>
        <w:t>Judicial Commentary</w:t>
      </w:r>
      <w:r w:rsidRPr="00B5270C">
        <w:rPr>
          <w:color w:val="000000" w:themeColor="text1"/>
        </w:rPr>
        <w:t>: Sir Denys Buckley dissented, arguing for a broader application of Section 25(1) that would protect good faith purchasers. However, the majority emphasized that the true owner's rights must take precedence, limiting the practical scope of Section 25(1).</w:t>
      </w:r>
    </w:p>
    <w:p w14:paraId="3AA687A7" w14:textId="77777777" w:rsidR="00182525" w:rsidRPr="00B5270C" w:rsidRDefault="00311F89" w:rsidP="00B5270C">
      <w:pPr>
        <w:spacing w:line="360" w:lineRule="auto"/>
        <w:rPr>
          <w:rFonts w:ascii="Times New Roman" w:hAnsi="Times New Roman"/>
          <w:color w:val="000000" w:themeColor="text1"/>
        </w:rPr>
      </w:pPr>
      <w:r w:rsidRPr="00311F89">
        <w:rPr>
          <w:rFonts w:ascii="Times New Roman" w:hAnsi="Times New Roman"/>
          <w:noProof/>
          <w:color w:val="000000" w:themeColor="text1"/>
          <w14:ligatures w14:val="standardContextual"/>
        </w:rPr>
        <w:pict w14:anchorId="79624AA5">
          <v:rect id="_x0000_i1041" alt="" style="width:451.3pt;height:.05pt;mso-width-percent:0;mso-height-percent:0;mso-width-percent:0;mso-height-percent:0" o:hralign="center" o:hrstd="t" o:hr="t" fillcolor="#a0a0a0" stroked="f"/>
        </w:pict>
      </w:r>
    </w:p>
    <w:p w14:paraId="21AED5DB" w14:textId="77777777" w:rsidR="00182525" w:rsidRPr="00B5270C" w:rsidRDefault="00182525" w:rsidP="00B5270C">
      <w:pPr>
        <w:pStyle w:val="Heading4"/>
        <w:spacing w:line="360" w:lineRule="auto"/>
        <w:rPr>
          <w:rFonts w:ascii="Times New Roman" w:hAnsi="Times New Roman" w:cs="Times New Roman"/>
          <w:i w:val="0"/>
          <w:iCs w:val="0"/>
          <w:color w:val="000000" w:themeColor="text1"/>
          <w:u w:val="single"/>
        </w:rPr>
      </w:pPr>
      <w:r w:rsidRPr="00B5270C">
        <w:rPr>
          <w:rStyle w:val="Strong"/>
          <w:rFonts w:ascii="Times New Roman" w:hAnsi="Times New Roman" w:cs="Times New Roman"/>
          <w:i w:val="0"/>
          <w:iCs w:val="0"/>
          <w:color w:val="000000" w:themeColor="text1"/>
        </w:rPr>
        <w:lastRenderedPageBreak/>
        <w:t xml:space="preserve">2. Restriction of Estoppel Under </w:t>
      </w:r>
      <w:r w:rsidRPr="00B5270C">
        <w:rPr>
          <w:rStyle w:val="Strong"/>
          <w:rFonts w:ascii="Times New Roman" w:hAnsi="Times New Roman" w:cs="Times New Roman"/>
          <w:i w:val="0"/>
          <w:iCs w:val="0"/>
          <w:color w:val="000000" w:themeColor="text1"/>
          <w:u w:val="single"/>
        </w:rPr>
        <w:t>Section 21(1) of the Sale of Goods Act 1979</w:t>
      </w:r>
    </w:p>
    <w:p w14:paraId="4B4EF146" w14:textId="77777777" w:rsidR="00182525" w:rsidRPr="00487994" w:rsidRDefault="00182525" w:rsidP="00B5270C">
      <w:pPr>
        <w:pStyle w:val="NormalWeb"/>
        <w:spacing w:line="360" w:lineRule="auto"/>
        <w:rPr>
          <w:b/>
          <w:bCs/>
          <w:color w:val="FF0000"/>
        </w:rPr>
      </w:pPr>
      <w:r w:rsidRPr="00B5270C">
        <w:rPr>
          <w:color w:val="000000" w:themeColor="text1"/>
        </w:rPr>
        <w:t xml:space="preserve">Estoppel operates as an exception where the </w:t>
      </w:r>
      <w:r w:rsidRPr="00487994">
        <w:rPr>
          <w:b/>
          <w:bCs/>
          <w:color w:val="FF0000"/>
        </w:rPr>
        <w:t>true owner’s conduct prevents them from denying the authority of the seller.</w:t>
      </w:r>
    </w:p>
    <w:p w14:paraId="2E8AE58B" w14:textId="77777777" w:rsidR="00182525" w:rsidRPr="00B5270C" w:rsidRDefault="00182525" w:rsidP="00B5270C">
      <w:pPr>
        <w:pStyle w:val="NormalWeb"/>
        <w:spacing w:line="360" w:lineRule="auto"/>
        <w:rPr>
          <w:color w:val="000000" w:themeColor="text1"/>
        </w:rPr>
      </w:pPr>
      <w:r w:rsidRPr="00B5270C">
        <w:rPr>
          <w:rStyle w:val="Strong"/>
          <w:rFonts w:eastAsiaTheme="majorEastAsia"/>
          <w:color w:val="000000" w:themeColor="text1"/>
        </w:rPr>
        <w:t>Restriction in Shaw’s Case</w:t>
      </w:r>
      <w:r w:rsidRPr="00B5270C">
        <w:rPr>
          <w:color w:val="000000" w:themeColor="text1"/>
        </w:rPr>
        <w:t>:</w:t>
      </w:r>
    </w:p>
    <w:p w14:paraId="2194DA8B" w14:textId="77777777" w:rsidR="00182525" w:rsidRPr="00B5270C" w:rsidRDefault="00182525" w:rsidP="00B5270C">
      <w:pPr>
        <w:numPr>
          <w:ilvl w:val="0"/>
          <w:numId w:val="13"/>
        </w:numPr>
        <w:spacing w:before="100" w:beforeAutospacing="1" w:after="100" w:afterAutospacing="1" w:line="360" w:lineRule="auto"/>
        <w:rPr>
          <w:rFonts w:ascii="Times New Roman" w:hAnsi="Times New Roman"/>
          <w:color w:val="000000" w:themeColor="text1"/>
        </w:rPr>
      </w:pPr>
      <w:r w:rsidRPr="00B5270C">
        <w:rPr>
          <w:rFonts w:ascii="Times New Roman" w:hAnsi="Times New Roman"/>
          <w:color w:val="000000" w:themeColor="text1"/>
        </w:rPr>
        <w:t xml:space="preserve">The Court of Appeal held that Section 21(1) applies only to </w:t>
      </w:r>
      <w:r w:rsidRPr="00B5270C">
        <w:rPr>
          <w:rFonts w:ascii="Times New Roman" w:hAnsi="Times New Roman"/>
          <w:b/>
          <w:bCs/>
          <w:color w:val="000000" w:themeColor="text1"/>
        </w:rPr>
        <w:t>completed sales</w:t>
      </w:r>
      <w:r w:rsidRPr="00B5270C">
        <w:rPr>
          <w:rFonts w:ascii="Times New Roman" w:hAnsi="Times New Roman"/>
          <w:color w:val="000000" w:themeColor="text1"/>
        </w:rPr>
        <w:t xml:space="preserve"> where ownership has passed. In </w:t>
      </w:r>
      <w:r w:rsidRPr="00B5270C">
        <w:rPr>
          <w:rStyle w:val="Emphasis"/>
          <w:rFonts w:ascii="Times New Roman" w:eastAsiaTheme="majorEastAsia" w:hAnsi="Times New Roman"/>
          <w:color w:val="000000" w:themeColor="text1"/>
        </w:rPr>
        <w:t>Shaw</w:t>
      </w:r>
      <w:r w:rsidRPr="00B5270C">
        <w:rPr>
          <w:rFonts w:ascii="Times New Roman" w:hAnsi="Times New Roman"/>
          <w:color w:val="000000" w:themeColor="text1"/>
        </w:rPr>
        <w:t>, the original owner (N) had only agreed to sell the car to the dealer (L), contingent on payment via a postdated cheque.</w:t>
      </w:r>
    </w:p>
    <w:p w14:paraId="6690C030" w14:textId="77777777" w:rsidR="00182525" w:rsidRPr="00B5270C" w:rsidRDefault="00182525" w:rsidP="00B5270C">
      <w:pPr>
        <w:numPr>
          <w:ilvl w:val="0"/>
          <w:numId w:val="13"/>
        </w:numPr>
        <w:spacing w:before="100" w:beforeAutospacing="1" w:after="100" w:afterAutospacing="1" w:line="360" w:lineRule="auto"/>
        <w:rPr>
          <w:rFonts w:ascii="Times New Roman" w:hAnsi="Times New Roman"/>
          <w:color w:val="000000" w:themeColor="text1"/>
        </w:rPr>
      </w:pPr>
      <w:r w:rsidRPr="00B5270C">
        <w:rPr>
          <w:rFonts w:ascii="Times New Roman" w:hAnsi="Times New Roman"/>
          <w:color w:val="000000" w:themeColor="text1"/>
        </w:rPr>
        <w:t>The court found that:</w:t>
      </w:r>
    </w:p>
    <w:p w14:paraId="5A29EC65" w14:textId="77777777" w:rsidR="00182525" w:rsidRPr="00B5270C" w:rsidRDefault="00182525" w:rsidP="00B5270C">
      <w:pPr>
        <w:numPr>
          <w:ilvl w:val="1"/>
          <w:numId w:val="13"/>
        </w:numPr>
        <w:spacing w:before="100" w:beforeAutospacing="1" w:after="100" w:afterAutospacing="1" w:line="360" w:lineRule="auto"/>
        <w:rPr>
          <w:rFonts w:ascii="Times New Roman" w:hAnsi="Times New Roman"/>
          <w:color w:val="000000" w:themeColor="text1"/>
        </w:rPr>
      </w:pPr>
      <w:r w:rsidRPr="00B5270C">
        <w:rPr>
          <w:rFonts w:ascii="Times New Roman" w:hAnsi="Times New Roman"/>
          <w:color w:val="000000" w:themeColor="text1"/>
        </w:rPr>
        <w:t>The dealer had not "bought or agreed to buy" the goods within the meaning of Section 25(1).</w:t>
      </w:r>
    </w:p>
    <w:p w14:paraId="155EBB4E" w14:textId="77777777" w:rsidR="00182525" w:rsidRPr="00B5270C" w:rsidRDefault="00182525" w:rsidP="00B5270C">
      <w:pPr>
        <w:numPr>
          <w:ilvl w:val="1"/>
          <w:numId w:val="13"/>
        </w:numPr>
        <w:spacing w:before="100" w:beforeAutospacing="1" w:after="100" w:afterAutospacing="1" w:line="360" w:lineRule="auto"/>
        <w:rPr>
          <w:rFonts w:ascii="Times New Roman" w:hAnsi="Times New Roman"/>
          <w:color w:val="000000" w:themeColor="text1"/>
        </w:rPr>
      </w:pPr>
      <w:r w:rsidRPr="00B5270C">
        <w:rPr>
          <w:rFonts w:ascii="Times New Roman" w:hAnsi="Times New Roman"/>
          <w:color w:val="000000" w:themeColor="text1"/>
        </w:rPr>
        <w:t>The estoppel exception could not apply because N’s actions (issuing the transfer slip and signed letter) did not unequivocally authorize L to sell the car to Shaw.</w:t>
      </w:r>
    </w:p>
    <w:p w14:paraId="6E44664A" w14:textId="77777777" w:rsidR="00182525" w:rsidRPr="00B5270C" w:rsidRDefault="00182525" w:rsidP="00B5270C">
      <w:pPr>
        <w:numPr>
          <w:ilvl w:val="0"/>
          <w:numId w:val="13"/>
        </w:numPr>
        <w:spacing w:before="100" w:beforeAutospacing="1" w:after="100" w:afterAutospacing="1" w:line="360" w:lineRule="auto"/>
        <w:rPr>
          <w:rFonts w:ascii="Times New Roman" w:hAnsi="Times New Roman"/>
          <w:color w:val="000000" w:themeColor="text1"/>
        </w:rPr>
      </w:pPr>
      <w:r w:rsidRPr="00B5270C">
        <w:rPr>
          <w:rFonts w:ascii="Times New Roman" w:hAnsi="Times New Roman"/>
          <w:color w:val="000000" w:themeColor="text1"/>
        </w:rPr>
        <w:t>Estoppel was also restricted to cases where the owner’s conduct explicitly misleads the buyer about the seller’s authority, which was not found here.</w:t>
      </w:r>
    </w:p>
    <w:p w14:paraId="5115259C" w14:textId="77777777" w:rsidR="00182525" w:rsidRPr="00B5270C" w:rsidRDefault="00182525" w:rsidP="00B5270C">
      <w:pPr>
        <w:pStyle w:val="NormalWeb"/>
        <w:spacing w:line="360" w:lineRule="auto"/>
        <w:rPr>
          <w:color w:val="000000" w:themeColor="text1"/>
        </w:rPr>
      </w:pPr>
      <w:r w:rsidRPr="00B5270C">
        <w:rPr>
          <w:rStyle w:val="Strong"/>
          <w:rFonts w:eastAsiaTheme="majorEastAsia"/>
          <w:color w:val="000000" w:themeColor="text1"/>
        </w:rPr>
        <w:t>Key Reasoning</w:t>
      </w:r>
      <w:r w:rsidRPr="00B5270C">
        <w:rPr>
          <w:color w:val="000000" w:themeColor="text1"/>
        </w:rPr>
        <w:t>: The court underscored that estoppel cannot operate where ownership transfer was incomplete or where the buyer knew the transaction had not been finalized.</w:t>
      </w:r>
    </w:p>
    <w:p w14:paraId="3350ADC3" w14:textId="77777777" w:rsidR="00182525" w:rsidRPr="00B5270C" w:rsidRDefault="00311F89" w:rsidP="00B5270C">
      <w:pPr>
        <w:spacing w:line="360" w:lineRule="auto"/>
        <w:rPr>
          <w:rFonts w:ascii="Times New Roman" w:hAnsi="Times New Roman"/>
          <w:color w:val="000000" w:themeColor="text1"/>
        </w:rPr>
      </w:pPr>
      <w:r w:rsidRPr="00311F89">
        <w:rPr>
          <w:rFonts w:ascii="Times New Roman" w:hAnsi="Times New Roman"/>
          <w:noProof/>
          <w:color w:val="000000" w:themeColor="text1"/>
          <w14:ligatures w14:val="standardContextual"/>
        </w:rPr>
        <w:pict w14:anchorId="4AD69C5E">
          <v:rect id="_x0000_i1040" alt="" style="width:451.3pt;height:.05pt;mso-width-percent:0;mso-height-percent:0;mso-width-percent:0;mso-height-percent:0" o:hralign="center" o:hrstd="t" o:hr="t" fillcolor="#a0a0a0" stroked="f"/>
        </w:pict>
      </w:r>
    </w:p>
    <w:p w14:paraId="3926CE62" w14:textId="77777777" w:rsidR="00182525" w:rsidRPr="00B5270C" w:rsidRDefault="00182525" w:rsidP="00B5270C">
      <w:pPr>
        <w:pStyle w:val="Heading4"/>
        <w:spacing w:line="360" w:lineRule="auto"/>
        <w:rPr>
          <w:rFonts w:ascii="Times New Roman" w:hAnsi="Times New Roman" w:cs="Times New Roman"/>
          <w:color w:val="000000" w:themeColor="text1"/>
        </w:rPr>
      </w:pPr>
      <w:r w:rsidRPr="00B5270C">
        <w:rPr>
          <w:rStyle w:val="Strong"/>
          <w:rFonts w:ascii="Times New Roman" w:hAnsi="Times New Roman" w:cs="Times New Roman"/>
          <w:b w:val="0"/>
          <w:bCs w:val="0"/>
          <w:color w:val="000000" w:themeColor="text1"/>
        </w:rPr>
        <w:t>Legislative and Policy Implications</w:t>
      </w:r>
    </w:p>
    <w:p w14:paraId="20C85674" w14:textId="77777777" w:rsidR="00182525" w:rsidRPr="00B5270C" w:rsidRDefault="00182525" w:rsidP="00B5270C">
      <w:pPr>
        <w:pStyle w:val="NormalWeb"/>
        <w:spacing w:line="360" w:lineRule="auto"/>
        <w:rPr>
          <w:color w:val="000000" w:themeColor="text1"/>
        </w:rPr>
      </w:pPr>
      <w:r w:rsidRPr="00B5270C">
        <w:rPr>
          <w:color w:val="000000" w:themeColor="text1"/>
        </w:rPr>
        <w:t>The decisions in these cases reflect a strict judicial interpretation that narrows the exceptions’ scope:</w:t>
      </w:r>
    </w:p>
    <w:p w14:paraId="40A9533E" w14:textId="77777777" w:rsidR="00182525" w:rsidRPr="00B5270C" w:rsidRDefault="00182525" w:rsidP="00B5270C">
      <w:pPr>
        <w:numPr>
          <w:ilvl w:val="0"/>
          <w:numId w:val="14"/>
        </w:numPr>
        <w:spacing w:before="100" w:beforeAutospacing="1" w:after="100" w:afterAutospacing="1" w:line="360" w:lineRule="auto"/>
        <w:rPr>
          <w:rFonts w:ascii="Times New Roman" w:hAnsi="Times New Roman"/>
          <w:color w:val="000000" w:themeColor="text1"/>
        </w:rPr>
      </w:pPr>
      <w:r w:rsidRPr="00B5270C">
        <w:rPr>
          <w:rStyle w:val="Strong"/>
          <w:rFonts w:ascii="Times New Roman" w:eastAsiaTheme="majorEastAsia" w:hAnsi="Times New Roman"/>
          <w:color w:val="000000" w:themeColor="text1"/>
        </w:rPr>
        <w:t>Section 25(1)</w:t>
      </w:r>
      <w:r w:rsidRPr="00B5270C">
        <w:rPr>
          <w:rFonts w:ascii="Times New Roman" w:hAnsi="Times New Roman"/>
          <w:color w:val="000000" w:themeColor="text1"/>
        </w:rPr>
        <w:t>: Requires the seller to have valid title or authority, excluding cases originating from theft.</w:t>
      </w:r>
    </w:p>
    <w:p w14:paraId="3AEB46B8" w14:textId="77777777" w:rsidR="00182525" w:rsidRPr="00B5270C" w:rsidRDefault="00182525" w:rsidP="00B5270C">
      <w:pPr>
        <w:numPr>
          <w:ilvl w:val="0"/>
          <w:numId w:val="14"/>
        </w:numPr>
        <w:spacing w:before="100" w:beforeAutospacing="1" w:after="100" w:afterAutospacing="1" w:line="360" w:lineRule="auto"/>
        <w:rPr>
          <w:rFonts w:ascii="Times New Roman" w:hAnsi="Times New Roman"/>
          <w:color w:val="000000" w:themeColor="text1"/>
        </w:rPr>
      </w:pPr>
      <w:r w:rsidRPr="00B5270C">
        <w:rPr>
          <w:rStyle w:val="Strong"/>
          <w:rFonts w:ascii="Times New Roman" w:eastAsiaTheme="majorEastAsia" w:hAnsi="Times New Roman"/>
          <w:color w:val="000000" w:themeColor="text1"/>
        </w:rPr>
        <w:t>Section 21(1)</w:t>
      </w:r>
      <w:r w:rsidRPr="00B5270C">
        <w:rPr>
          <w:rFonts w:ascii="Times New Roman" w:hAnsi="Times New Roman"/>
          <w:color w:val="000000" w:themeColor="text1"/>
        </w:rPr>
        <w:t>: Limits estoppel to situations where the owner’s conduct explicitly misleads the buyer about the seller’s authority to transfer ownership.</w:t>
      </w:r>
    </w:p>
    <w:p w14:paraId="6F04C879" w14:textId="77777777" w:rsidR="00182525" w:rsidRPr="00B5270C" w:rsidRDefault="00182525" w:rsidP="00B5270C">
      <w:pPr>
        <w:pStyle w:val="NormalWeb"/>
        <w:spacing w:line="360" w:lineRule="auto"/>
        <w:rPr>
          <w:color w:val="000000" w:themeColor="text1"/>
        </w:rPr>
      </w:pPr>
      <w:r w:rsidRPr="00B5270C">
        <w:rPr>
          <w:rStyle w:val="Strong"/>
          <w:rFonts w:eastAsiaTheme="majorEastAsia"/>
          <w:color w:val="000000" w:themeColor="text1"/>
        </w:rPr>
        <w:t>Scholarly Critique</w:t>
      </w:r>
      <w:r w:rsidRPr="00B5270C">
        <w:rPr>
          <w:color w:val="000000" w:themeColor="text1"/>
        </w:rPr>
        <w:t xml:space="preserve">: </w:t>
      </w:r>
      <w:proofErr w:type="spellStart"/>
      <w:r w:rsidRPr="00B5270C">
        <w:rPr>
          <w:color w:val="000000" w:themeColor="text1"/>
        </w:rPr>
        <w:t>Thornely</w:t>
      </w:r>
      <w:proofErr w:type="spellEnd"/>
      <w:r w:rsidRPr="00B5270C">
        <w:rPr>
          <w:color w:val="000000" w:themeColor="text1"/>
        </w:rPr>
        <w:t xml:space="preserve"> critiques these restrictions for prioritizing true ownership over transactional fairness. He argues that such interpretations leave good faith purchasers unprotected, particularly in modern commerce, where verifying title can be challenging. </w:t>
      </w:r>
      <w:r w:rsidRPr="00B5270C">
        <w:rPr>
          <w:color w:val="000000" w:themeColor="text1"/>
        </w:rPr>
        <w:lastRenderedPageBreak/>
        <w:t>These rulings, while technically consistent with statutory language, fail to accommodate the realities of good faith trade.</w:t>
      </w:r>
    </w:p>
    <w:p w14:paraId="079E03C7" w14:textId="3833E52B" w:rsidR="00182525" w:rsidRPr="00B5270C" w:rsidRDefault="00311F89" w:rsidP="00B5270C">
      <w:pPr>
        <w:pStyle w:val="Heading3"/>
        <w:spacing w:line="360" w:lineRule="auto"/>
        <w:rPr>
          <w:rFonts w:ascii="Times New Roman" w:hAnsi="Times New Roman" w:cs="Times New Roman"/>
          <w:color w:val="000000" w:themeColor="text1"/>
          <w:sz w:val="24"/>
          <w:szCs w:val="24"/>
        </w:rPr>
      </w:pPr>
      <w:r w:rsidRPr="00311F89">
        <w:rPr>
          <w:rFonts w:ascii="Times New Roman" w:hAnsi="Times New Roman" w:cs="Times New Roman"/>
          <w:noProof/>
          <w:color w:val="000000" w:themeColor="text1"/>
          <w:sz w:val="24"/>
          <w:szCs w:val="24"/>
          <w:lang w:val="en-HK"/>
          <w14:ligatures w14:val="standardContextual"/>
        </w:rPr>
        <w:pict w14:anchorId="39EB7C16">
          <v:rect id="_x0000_i1039" alt="" style="width:451.3pt;height:.05pt;mso-width-percent:0;mso-height-percent:0;mso-width-percent:0;mso-height-percent:0" o:hralign="center" o:hrstd="t" o:hr="t" fillcolor="#a0a0a0" stroked="f"/>
        </w:pict>
      </w:r>
    </w:p>
    <w:p w14:paraId="1636B702" w14:textId="6F5B6C78" w:rsidR="00182525" w:rsidRPr="00182525" w:rsidRDefault="00182525" w:rsidP="00487994">
      <w:pPr>
        <w:pStyle w:val="Heading3"/>
        <w:spacing w:line="360" w:lineRule="auto"/>
        <w:rPr>
          <w:rFonts w:ascii="Times New Roman" w:eastAsia="Times New Roman" w:hAnsi="Times New Roman" w:cs="Times New Roman"/>
          <w:b/>
          <w:bCs/>
          <w:color w:val="000000" w:themeColor="text1"/>
          <w:sz w:val="24"/>
          <w:szCs w:val="24"/>
          <w:lang w:val="en-HK"/>
        </w:rPr>
      </w:pPr>
      <w:r w:rsidRPr="00B5270C">
        <w:rPr>
          <w:rFonts w:ascii="Times New Roman" w:hAnsi="Times New Roman" w:cs="Times New Roman"/>
          <w:color w:val="000000" w:themeColor="text1"/>
          <w:sz w:val="24"/>
          <w:szCs w:val="24"/>
        </w:rPr>
        <w:t xml:space="preserve">2. </w:t>
      </w:r>
      <w:r w:rsidRPr="00B5270C">
        <w:rPr>
          <w:rFonts w:ascii="Times New Roman" w:eastAsia="Times New Roman" w:hAnsi="Times New Roman" w:cs="Times New Roman"/>
          <w:b/>
          <w:bCs/>
          <w:color w:val="000000" w:themeColor="text1"/>
          <w:sz w:val="24"/>
          <w:szCs w:val="24"/>
          <w:lang w:val="en-HK"/>
        </w:rPr>
        <w:t xml:space="preserve">Detailed Analysis of </w:t>
      </w:r>
      <w:r w:rsidRPr="00487994">
        <w:rPr>
          <w:rFonts w:ascii="Times New Roman" w:eastAsia="Times New Roman" w:hAnsi="Times New Roman" w:cs="Times New Roman"/>
          <w:b/>
          <w:bCs/>
          <w:color w:val="000000" w:themeColor="text1"/>
          <w:sz w:val="24"/>
          <w:szCs w:val="24"/>
          <w:highlight w:val="yellow"/>
          <w:lang w:val="en-HK"/>
        </w:rPr>
        <w:t>National Employers’ Mutual General Insurance v Jones (1987)</w:t>
      </w:r>
    </w:p>
    <w:p w14:paraId="4C179607" w14:textId="77777777" w:rsidR="00182525" w:rsidRPr="00182525" w:rsidRDefault="00182525" w:rsidP="00B5270C">
      <w:pPr>
        <w:spacing w:before="100" w:beforeAutospacing="1" w:after="100" w:afterAutospacing="1" w:line="360" w:lineRule="auto"/>
        <w:outlineLvl w:val="3"/>
        <w:rPr>
          <w:rFonts w:ascii="Times New Roman" w:hAnsi="Times New Roman"/>
          <w:b/>
          <w:bCs/>
          <w:color w:val="000000" w:themeColor="text1"/>
          <w:lang w:val="en-HK"/>
        </w:rPr>
      </w:pPr>
      <w:r w:rsidRPr="00182525">
        <w:rPr>
          <w:rFonts w:ascii="Times New Roman" w:hAnsi="Times New Roman"/>
          <w:b/>
          <w:bCs/>
          <w:color w:val="000000" w:themeColor="text1"/>
          <w:lang w:val="en-HK"/>
        </w:rPr>
        <w:t>Facts of the Case</w:t>
      </w:r>
    </w:p>
    <w:p w14:paraId="3FE35D44" w14:textId="77777777" w:rsidR="00182525" w:rsidRPr="00182525" w:rsidRDefault="00182525" w:rsidP="00B5270C">
      <w:pPr>
        <w:spacing w:before="100" w:beforeAutospacing="1" w:after="100" w:afterAutospacing="1" w:line="360" w:lineRule="auto"/>
        <w:rPr>
          <w:rFonts w:ascii="Times New Roman" w:hAnsi="Times New Roman"/>
          <w:color w:val="000000" w:themeColor="text1"/>
          <w:lang w:val="en-HK"/>
        </w:rPr>
      </w:pPr>
      <w:r w:rsidRPr="00182525">
        <w:rPr>
          <w:rFonts w:ascii="Times New Roman" w:hAnsi="Times New Roman"/>
          <w:color w:val="000000" w:themeColor="text1"/>
          <w:lang w:val="en-HK"/>
        </w:rPr>
        <w:t>In this case, a car owned by H was stolen and subsequently sold multiple times:</w:t>
      </w:r>
    </w:p>
    <w:p w14:paraId="107DC190" w14:textId="77777777" w:rsidR="00182525" w:rsidRPr="00182525" w:rsidRDefault="00182525" w:rsidP="00B5270C">
      <w:pPr>
        <w:numPr>
          <w:ilvl w:val="0"/>
          <w:numId w:val="1"/>
        </w:numPr>
        <w:spacing w:before="100" w:beforeAutospacing="1" w:after="100" w:afterAutospacing="1" w:line="360" w:lineRule="auto"/>
        <w:rPr>
          <w:rFonts w:ascii="Times New Roman" w:hAnsi="Times New Roman"/>
          <w:color w:val="000000" w:themeColor="text1"/>
          <w:lang w:val="en-HK"/>
        </w:rPr>
      </w:pPr>
      <w:r w:rsidRPr="00182525">
        <w:rPr>
          <w:rFonts w:ascii="Times New Roman" w:hAnsi="Times New Roman"/>
          <w:color w:val="000000" w:themeColor="text1"/>
          <w:lang w:val="en-HK"/>
        </w:rPr>
        <w:t>The thieves first sold it to L.</w:t>
      </w:r>
    </w:p>
    <w:p w14:paraId="43776C35" w14:textId="77777777" w:rsidR="00182525" w:rsidRPr="00182525" w:rsidRDefault="00182525" w:rsidP="00B5270C">
      <w:pPr>
        <w:numPr>
          <w:ilvl w:val="0"/>
          <w:numId w:val="1"/>
        </w:numPr>
        <w:spacing w:before="100" w:beforeAutospacing="1" w:after="100" w:afterAutospacing="1" w:line="360" w:lineRule="auto"/>
        <w:rPr>
          <w:rFonts w:ascii="Times New Roman" w:hAnsi="Times New Roman"/>
          <w:color w:val="000000" w:themeColor="text1"/>
          <w:lang w:val="en-HK"/>
        </w:rPr>
      </w:pPr>
      <w:r w:rsidRPr="00182525">
        <w:rPr>
          <w:rFonts w:ascii="Times New Roman" w:hAnsi="Times New Roman"/>
          <w:color w:val="000000" w:themeColor="text1"/>
          <w:lang w:val="en-HK"/>
        </w:rPr>
        <w:t>L sold it to T.</w:t>
      </w:r>
    </w:p>
    <w:p w14:paraId="577EFE40" w14:textId="77777777" w:rsidR="00182525" w:rsidRPr="00182525" w:rsidRDefault="00182525" w:rsidP="00B5270C">
      <w:pPr>
        <w:numPr>
          <w:ilvl w:val="0"/>
          <w:numId w:val="1"/>
        </w:numPr>
        <w:spacing w:before="100" w:beforeAutospacing="1" w:after="100" w:afterAutospacing="1" w:line="360" w:lineRule="auto"/>
        <w:rPr>
          <w:rFonts w:ascii="Times New Roman" w:hAnsi="Times New Roman"/>
          <w:color w:val="000000" w:themeColor="text1"/>
          <w:lang w:val="en-HK"/>
        </w:rPr>
      </w:pPr>
      <w:r w:rsidRPr="00182525">
        <w:rPr>
          <w:rFonts w:ascii="Times New Roman" w:hAnsi="Times New Roman"/>
          <w:color w:val="000000" w:themeColor="text1"/>
          <w:lang w:val="en-HK"/>
        </w:rPr>
        <w:t>T sold it to A Ltd.</w:t>
      </w:r>
    </w:p>
    <w:p w14:paraId="3DECC4A7" w14:textId="77777777" w:rsidR="00182525" w:rsidRPr="00182525" w:rsidRDefault="00182525" w:rsidP="00B5270C">
      <w:pPr>
        <w:numPr>
          <w:ilvl w:val="0"/>
          <w:numId w:val="1"/>
        </w:numPr>
        <w:spacing w:before="100" w:beforeAutospacing="1" w:after="100" w:afterAutospacing="1" w:line="360" w:lineRule="auto"/>
        <w:rPr>
          <w:rFonts w:ascii="Times New Roman" w:hAnsi="Times New Roman"/>
          <w:color w:val="000000" w:themeColor="text1"/>
          <w:lang w:val="en-HK"/>
        </w:rPr>
      </w:pPr>
      <w:r w:rsidRPr="00182525">
        <w:rPr>
          <w:rFonts w:ascii="Times New Roman" w:hAnsi="Times New Roman"/>
          <w:color w:val="000000" w:themeColor="text1"/>
          <w:lang w:val="en-HK"/>
        </w:rPr>
        <w:t>A Ltd sold it to M Ltd.</w:t>
      </w:r>
    </w:p>
    <w:p w14:paraId="3F41079F" w14:textId="77777777" w:rsidR="00182525" w:rsidRPr="00182525" w:rsidRDefault="00182525" w:rsidP="00B5270C">
      <w:pPr>
        <w:numPr>
          <w:ilvl w:val="0"/>
          <w:numId w:val="1"/>
        </w:numPr>
        <w:spacing w:before="100" w:beforeAutospacing="1" w:after="100" w:afterAutospacing="1" w:line="360" w:lineRule="auto"/>
        <w:rPr>
          <w:rFonts w:ascii="Times New Roman" w:hAnsi="Times New Roman"/>
          <w:color w:val="000000" w:themeColor="text1"/>
          <w:lang w:val="en-HK"/>
        </w:rPr>
      </w:pPr>
      <w:r w:rsidRPr="00182525">
        <w:rPr>
          <w:rFonts w:ascii="Times New Roman" w:hAnsi="Times New Roman"/>
          <w:color w:val="000000" w:themeColor="text1"/>
          <w:lang w:val="en-HK"/>
        </w:rPr>
        <w:t>Finally, M Ltd sold it to Jones.</w:t>
      </w:r>
    </w:p>
    <w:p w14:paraId="3CCE2725" w14:textId="77777777" w:rsidR="00182525" w:rsidRPr="00182525" w:rsidRDefault="00182525" w:rsidP="00B5270C">
      <w:pPr>
        <w:spacing w:before="100" w:beforeAutospacing="1" w:after="100" w:afterAutospacing="1" w:line="360" w:lineRule="auto"/>
        <w:rPr>
          <w:rFonts w:ascii="Times New Roman" w:hAnsi="Times New Roman"/>
          <w:color w:val="000000" w:themeColor="text1"/>
          <w:lang w:val="en-HK"/>
        </w:rPr>
      </w:pPr>
      <w:r w:rsidRPr="00182525">
        <w:rPr>
          <w:rFonts w:ascii="Times New Roman" w:hAnsi="Times New Roman"/>
          <w:color w:val="000000" w:themeColor="text1"/>
          <w:lang w:val="en-HK"/>
        </w:rPr>
        <w:t>The transactions involving A Ltd and M Ltd were conducted in the ordinary course of their motor dealership businesses, and all buyers, including Jones, acted in good faith, without knowledge of the theft. The insurers of the original owner, having compensated H for the theft, sought to recover the car or its value from Jones.</w:t>
      </w:r>
    </w:p>
    <w:p w14:paraId="4BC07BC0" w14:textId="77777777" w:rsidR="00182525" w:rsidRPr="00182525" w:rsidRDefault="00182525" w:rsidP="00B5270C">
      <w:pPr>
        <w:spacing w:before="100" w:beforeAutospacing="1" w:after="100" w:afterAutospacing="1" w:line="360" w:lineRule="auto"/>
        <w:rPr>
          <w:rFonts w:ascii="Times New Roman" w:hAnsi="Times New Roman"/>
          <w:color w:val="000000" w:themeColor="text1"/>
          <w:lang w:val="en-HK"/>
        </w:rPr>
      </w:pPr>
      <w:r w:rsidRPr="00182525">
        <w:rPr>
          <w:rFonts w:ascii="Times New Roman" w:hAnsi="Times New Roman"/>
          <w:color w:val="000000" w:themeColor="text1"/>
          <w:lang w:val="en-HK"/>
        </w:rPr>
        <w:t xml:space="preserve">The thieves, lacking any legitimate title, could not transfer ownership to L. The critical issue was whether the subsequent good faith transactions could give Jones valid title under </w:t>
      </w:r>
      <w:r w:rsidRPr="00182525">
        <w:rPr>
          <w:rFonts w:ascii="Times New Roman" w:hAnsi="Times New Roman"/>
          <w:b/>
          <w:bCs/>
          <w:color w:val="000000" w:themeColor="text1"/>
          <w:lang w:val="en-HK"/>
        </w:rPr>
        <w:t>Section 9 of the Factors Act 1889</w:t>
      </w:r>
      <w:r w:rsidRPr="00182525">
        <w:rPr>
          <w:rFonts w:ascii="Times New Roman" w:hAnsi="Times New Roman"/>
          <w:color w:val="000000" w:themeColor="text1"/>
          <w:lang w:val="en-HK"/>
        </w:rPr>
        <w:t xml:space="preserve"> and </w:t>
      </w:r>
      <w:r w:rsidRPr="00182525">
        <w:rPr>
          <w:rFonts w:ascii="Times New Roman" w:hAnsi="Times New Roman"/>
          <w:b/>
          <w:bCs/>
          <w:color w:val="000000" w:themeColor="text1"/>
          <w:lang w:val="en-HK"/>
        </w:rPr>
        <w:t>Section 25(1) of the Sale of Goods Act 1979</w:t>
      </w:r>
      <w:r w:rsidRPr="00182525">
        <w:rPr>
          <w:rFonts w:ascii="Times New Roman" w:hAnsi="Times New Roman"/>
          <w:color w:val="000000" w:themeColor="text1"/>
          <w:lang w:val="en-HK"/>
        </w:rPr>
        <w:t>, which share similar wording.</w:t>
      </w:r>
    </w:p>
    <w:p w14:paraId="32584F44" w14:textId="77777777" w:rsidR="00182525" w:rsidRPr="00182525" w:rsidRDefault="00311F89" w:rsidP="00B5270C">
      <w:pPr>
        <w:spacing w:line="360" w:lineRule="auto"/>
        <w:rPr>
          <w:rFonts w:ascii="Times New Roman" w:hAnsi="Times New Roman"/>
          <w:color w:val="000000" w:themeColor="text1"/>
          <w:lang w:val="en-HK"/>
        </w:rPr>
      </w:pPr>
      <w:r w:rsidRPr="00311F89">
        <w:rPr>
          <w:rFonts w:ascii="Times New Roman" w:hAnsi="Times New Roman"/>
          <w:noProof/>
          <w:color w:val="000000" w:themeColor="text1"/>
          <w:lang w:val="en-HK"/>
          <w14:ligatures w14:val="standardContextual"/>
        </w:rPr>
        <w:pict w14:anchorId="459B470C">
          <v:rect id="_x0000_i1038" alt="" style="width:451.3pt;height:.05pt;mso-width-percent:0;mso-height-percent:0;mso-width-percent:0;mso-height-percent:0" o:hralign="center" o:hrstd="t" o:hr="t" fillcolor="#a0a0a0" stroked="f"/>
        </w:pict>
      </w:r>
    </w:p>
    <w:p w14:paraId="00E5A75E" w14:textId="77777777" w:rsidR="00182525" w:rsidRPr="00182525" w:rsidRDefault="00182525" w:rsidP="00B5270C">
      <w:pPr>
        <w:spacing w:before="100" w:beforeAutospacing="1" w:after="100" w:afterAutospacing="1" w:line="360" w:lineRule="auto"/>
        <w:outlineLvl w:val="3"/>
        <w:rPr>
          <w:rFonts w:ascii="Times New Roman" w:hAnsi="Times New Roman"/>
          <w:b/>
          <w:bCs/>
          <w:color w:val="000000" w:themeColor="text1"/>
          <w:lang w:val="en-HK"/>
        </w:rPr>
      </w:pPr>
      <w:r w:rsidRPr="00182525">
        <w:rPr>
          <w:rFonts w:ascii="Times New Roman" w:hAnsi="Times New Roman"/>
          <w:b/>
          <w:bCs/>
          <w:color w:val="000000" w:themeColor="text1"/>
          <w:lang w:val="en-HK"/>
        </w:rPr>
        <w:t>Legal Issues</w:t>
      </w:r>
    </w:p>
    <w:p w14:paraId="05527574" w14:textId="77777777" w:rsidR="00182525" w:rsidRPr="00182525" w:rsidRDefault="00182525" w:rsidP="00B5270C">
      <w:pPr>
        <w:numPr>
          <w:ilvl w:val="0"/>
          <w:numId w:val="2"/>
        </w:numPr>
        <w:spacing w:before="100" w:beforeAutospacing="1" w:after="100" w:afterAutospacing="1" w:line="360" w:lineRule="auto"/>
        <w:rPr>
          <w:rFonts w:ascii="Times New Roman" w:hAnsi="Times New Roman"/>
          <w:color w:val="000000" w:themeColor="text1"/>
          <w:lang w:val="en-HK"/>
        </w:rPr>
      </w:pPr>
      <w:r w:rsidRPr="00182525">
        <w:rPr>
          <w:rFonts w:ascii="Times New Roman" w:hAnsi="Times New Roman"/>
          <w:b/>
          <w:bCs/>
          <w:color w:val="000000" w:themeColor="text1"/>
          <w:lang w:val="en-HK"/>
        </w:rPr>
        <w:t>Applicability of Section 9 (Factors Act 1889) and Section 25(1) (SGA 1979)</w:t>
      </w:r>
      <w:r w:rsidRPr="00182525">
        <w:rPr>
          <w:rFonts w:ascii="Times New Roman" w:hAnsi="Times New Roman"/>
          <w:color w:val="000000" w:themeColor="text1"/>
          <w:lang w:val="en-HK"/>
        </w:rPr>
        <w:br/>
        <w:t xml:space="preserve">Both provisions allow for the transfer of title when a buyer in possession of goods with </w:t>
      </w:r>
      <w:r w:rsidRPr="00182525">
        <w:rPr>
          <w:rFonts w:ascii="Times New Roman" w:hAnsi="Times New Roman"/>
          <w:b/>
          <w:bCs/>
          <w:color w:val="000000" w:themeColor="text1"/>
          <w:lang w:val="en-HK"/>
        </w:rPr>
        <w:t>the seller's consent delivers them to another good faith purchaser</w:t>
      </w:r>
      <w:r w:rsidRPr="00182525">
        <w:rPr>
          <w:rFonts w:ascii="Times New Roman" w:hAnsi="Times New Roman"/>
          <w:color w:val="000000" w:themeColor="text1"/>
          <w:lang w:val="en-HK"/>
        </w:rPr>
        <w:t>. The question was whether these sections could apply to transactions originating from theft, where the initial "seller" lacked any authority or title.</w:t>
      </w:r>
    </w:p>
    <w:p w14:paraId="47708E60" w14:textId="77777777" w:rsidR="00182525" w:rsidRPr="00182525" w:rsidRDefault="00182525" w:rsidP="00B5270C">
      <w:pPr>
        <w:numPr>
          <w:ilvl w:val="0"/>
          <w:numId w:val="2"/>
        </w:numPr>
        <w:spacing w:before="100" w:beforeAutospacing="1" w:after="100" w:afterAutospacing="1" w:line="360" w:lineRule="auto"/>
        <w:rPr>
          <w:rFonts w:ascii="Times New Roman" w:hAnsi="Times New Roman"/>
          <w:color w:val="000000" w:themeColor="text1"/>
          <w:lang w:val="en-HK"/>
        </w:rPr>
      </w:pPr>
      <w:r w:rsidRPr="00182525">
        <w:rPr>
          <w:rFonts w:ascii="Times New Roman" w:hAnsi="Times New Roman"/>
          <w:b/>
          <w:bCs/>
          <w:color w:val="000000" w:themeColor="text1"/>
          <w:lang w:val="en-HK"/>
        </w:rPr>
        <w:lastRenderedPageBreak/>
        <w:t>Interpretation of "Seller" and "Owner"</w:t>
      </w:r>
      <w:r w:rsidRPr="00182525">
        <w:rPr>
          <w:rFonts w:ascii="Times New Roman" w:hAnsi="Times New Roman"/>
          <w:color w:val="000000" w:themeColor="text1"/>
          <w:lang w:val="en-HK"/>
        </w:rPr>
        <w:br/>
        <w:t>The sections refer to a "seller" delivering goods with the consent of the "owner." The court had to determine whether a thief or their successors in possession could qualify as "sellers" under these provisions.</w:t>
      </w:r>
    </w:p>
    <w:p w14:paraId="4412D6CC" w14:textId="77777777" w:rsidR="00182525" w:rsidRPr="00182525" w:rsidRDefault="00311F89" w:rsidP="00B5270C">
      <w:pPr>
        <w:spacing w:line="360" w:lineRule="auto"/>
        <w:rPr>
          <w:rFonts w:ascii="Times New Roman" w:hAnsi="Times New Roman"/>
          <w:color w:val="000000" w:themeColor="text1"/>
          <w:lang w:val="en-HK"/>
        </w:rPr>
      </w:pPr>
      <w:r w:rsidRPr="00311F89">
        <w:rPr>
          <w:rFonts w:ascii="Times New Roman" w:hAnsi="Times New Roman"/>
          <w:noProof/>
          <w:color w:val="000000" w:themeColor="text1"/>
          <w:lang w:val="en-HK"/>
          <w14:ligatures w14:val="standardContextual"/>
        </w:rPr>
        <w:pict w14:anchorId="71016D86">
          <v:rect id="_x0000_i1037" alt="" style="width:451.3pt;height:.05pt;mso-width-percent:0;mso-height-percent:0;mso-width-percent:0;mso-height-percent:0" o:hralign="center" o:hrstd="t" o:hr="t" fillcolor="#a0a0a0" stroked="f"/>
        </w:pict>
      </w:r>
    </w:p>
    <w:p w14:paraId="21C73125" w14:textId="77777777" w:rsidR="00182525" w:rsidRPr="00182525" w:rsidRDefault="00182525" w:rsidP="00B5270C">
      <w:pPr>
        <w:spacing w:before="100" w:beforeAutospacing="1" w:after="100" w:afterAutospacing="1" w:line="360" w:lineRule="auto"/>
        <w:outlineLvl w:val="3"/>
        <w:rPr>
          <w:rFonts w:ascii="Times New Roman" w:hAnsi="Times New Roman"/>
          <w:b/>
          <w:bCs/>
          <w:color w:val="000000" w:themeColor="text1"/>
          <w:lang w:val="en-HK"/>
        </w:rPr>
      </w:pPr>
      <w:r w:rsidRPr="00182525">
        <w:rPr>
          <w:rFonts w:ascii="Times New Roman" w:hAnsi="Times New Roman"/>
          <w:b/>
          <w:bCs/>
          <w:color w:val="000000" w:themeColor="text1"/>
          <w:lang w:val="en-HK"/>
        </w:rPr>
        <w:t>Judgment and Reasoning</w:t>
      </w:r>
    </w:p>
    <w:p w14:paraId="71B51488" w14:textId="77777777" w:rsidR="00182525" w:rsidRPr="00182525" w:rsidRDefault="00182525" w:rsidP="00B5270C">
      <w:pPr>
        <w:spacing w:before="100" w:beforeAutospacing="1" w:after="100" w:afterAutospacing="1" w:line="360" w:lineRule="auto"/>
        <w:rPr>
          <w:rFonts w:ascii="Times New Roman" w:hAnsi="Times New Roman"/>
          <w:color w:val="000000" w:themeColor="text1"/>
          <w:lang w:val="en-HK"/>
        </w:rPr>
      </w:pPr>
      <w:r w:rsidRPr="00182525">
        <w:rPr>
          <w:rFonts w:ascii="Times New Roman" w:hAnsi="Times New Roman"/>
          <w:color w:val="000000" w:themeColor="text1"/>
          <w:lang w:val="en-HK"/>
        </w:rPr>
        <w:t xml:space="preserve">The Court of Appeal ruled in </w:t>
      </w:r>
      <w:proofErr w:type="spellStart"/>
      <w:r w:rsidRPr="00182525">
        <w:rPr>
          <w:rFonts w:ascii="Times New Roman" w:hAnsi="Times New Roman"/>
          <w:color w:val="000000" w:themeColor="text1"/>
          <w:lang w:val="en-HK"/>
        </w:rPr>
        <w:t>favor</w:t>
      </w:r>
      <w:proofErr w:type="spellEnd"/>
      <w:r w:rsidRPr="00182525">
        <w:rPr>
          <w:rFonts w:ascii="Times New Roman" w:hAnsi="Times New Roman"/>
          <w:color w:val="000000" w:themeColor="text1"/>
          <w:lang w:val="en-HK"/>
        </w:rPr>
        <w:t xml:space="preserve"> of the insurers, reaffirming the nemo </w:t>
      </w:r>
      <w:proofErr w:type="spellStart"/>
      <w:r w:rsidRPr="00182525">
        <w:rPr>
          <w:rFonts w:ascii="Times New Roman" w:hAnsi="Times New Roman"/>
          <w:color w:val="000000" w:themeColor="text1"/>
          <w:lang w:val="en-HK"/>
        </w:rPr>
        <w:t>dat</w:t>
      </w:r>
      <w:proofErr w:type="spellEnd"/>
      <w:r w:rsidRPr="00182525">
        <w:rPr>
          <w:rFonts w:ascii="Times New Roman" w:hAnsi="Times New Roman"/>
          <w:color w:val="000000" w:themeColor="text1"/>
          <w:lang w:val="en-HK"/>
        </w:rPr>
        <w:t xml:space="preserve"> principle:</w:t>
      </w:r>
    </w:p>
    <w:p w14:paraId="4AE1992C" w14:textId="77777777" w:rsidR="00182525" w:rsidRPr="00182525" w:rsidRDefault="00182525" w:rsidP="00B5270C">
      <w:pPr>
        <w:numPr>
          <w:ilvl w:val="0"/>
          <w:numId w:val="3"/>
        </w:numPr>
        <w:spacing w:before="100" w:beforeAutospacing="1" w:after="100" w:afterAutospacing="1" w:line="360" w:lineRule="auto"/>
        <w:rPr>
          <w:rFonts w:ascii="Times New Roman" w:hAnsi="Times New Roman"/>
          <w:color w:val="000000" w:themeColor="text1"/>
          <w:lang w:val="en-HK"/>
        </w:rPr>
      </w:pPr>
      <w:r w:rsidRPr="00182525">
        <w:rPr>
          <w:rFonts w:ascii="Times New Roman" w:hAnsi="Times New Roman"/>
          <w:b/>
          <w:bCs/>
          <w:color w:val="000000" w:themeColor="text1"/>
          <w:lang w:val="en-HK"/>
        </w:rPr>
        <w:t>Consent of the Seller and Owner</w:t>
      </w:r>
      <w:r w:rsidRPr="00182525">
        <w:rPr>
          <w:rFonts w:ascii="Times New Roman" w:hAnsi="Times New Roman"/>
          <w:color w:val="000000" w:themeColor="text1"/>
          <w:lang w:val="en-HK"/>
        </w:rPr>
        <w:t>: The court held that Sections 9 and 25(1) require the "seller" to have had ownership or authority to pass ownership. A thief cannot meet these criteria, rendering subsequent transactions invalid against the true owner.</w:t>
      </w:r>
    </w:p>
    <w:p w14:paraId="4BBDF8E3" w14:textId="77777777" w:rsidR="00182525" w:rsidRPr="00182525" w:rsidRDefault="00182525" w:rsidP="00B5270C">
      <w:pPr>
        <w:numPr>
          <w:ilvl w:val="0"/>
          <w:numId w:val="3"/>
        </w:numPr>
        <w:spacing w:before="100" w:beforeAutospacing="1" w:after="100" w:afterAutospacing="1" w:line="360" w:lineRule="auto"/>
        <w:rPr>
          <w:rFonts w:ascii="Times New Roman" w:hAnsi="Times New Roman"/>
          <w:color w:val="000000" w:themeColor="text1"/>
          <w:lang w:val="en-HK"/>
        </w:rPr>
      </w:pPr>
      <w:r w:rsidRPr="00182525">
        <w:rPr>
          <w:rFonts w:ascii="Times New Roman" w:hAnsi="Times New Roman"/>
          <w:b/>
          <w:bCs/>
          <w:color w:val="000000" w:themeColor="text1"/>
          <w:lang w:val="en-HK"/>
        </w:rPr>
        <w:t>Literal Interpretation Rejected</w:t>
      </w:r>
      <w:r w:rsidRPr="00182525">
        <w:rPr>
          <w:rFonts w:ascii="Times New Roman" w:hAnsi="Times New Roman"/>
          <w:color w:val="000000" w:themeColor="text1"/>
          <w:lang w:val="en-HK"/>
        </w:rPr>
        <w:t xml:space="preserve">: May and Croom-Johnson LJJ noted that adopting a literal interpretation, which might suggest that </w:t>
      </w:r>
      <w:r w:rsidRPr="00182525">
        <w:rPr>
          <w:rFonts w:ascii="Times New Roman" w:hAnsi="Times New Roman"/>
          <w:b/>
          <w:bCs/>
          <w:color w:val="000000" w:themeColor="text1"/>
          <w:lang w:val="en-HK"/>
        </w:rPr>
        <w:t xml:space="preserve">a good faith buyer could obtain valid title, </w:t>
      </w:r>
      <w:r w:rsidRPr="00182525">
        <w:rPr>
          <w:rFonts w:ascii="Times New Roman" w:hAnsi="Times New Roman"/>
          <w:color w:val="000000" w:themeColor="text1"/>
          <w:lang w:val="en-HK"/>
        </w:rPr>
        <w:t xml:space="preserve">would </w:t>
      </w:r>
      <w:r w:rsidRPr="00182525">
        <w:rPr>
          <w:rFonts w:ascii="Times New Roman" w:hAnsi="Times New Roman"/>
          <w:b/>
          <w:bCs/>
          <w:color w:val="000000" w:themeColor="text1"/>
          <w:lang w:val="en-HK"/>
        </w:rPr>
        <w:t xml:space="preserve">contradict the nemo </w:t>
      </w:r>
      <w:proofErr w:type="spellStart"/>
      <w:r w:rsidRPr="00182525">
        <w:rPr>
          <w:rFonts w:ascii="Times New Roman" w:hAnsi="Times New Roman"/>
          <w:b/>
          <w:bCs/>
          <w:color w:val="000000" w:themeColor="text1"/>
          <w:lang w:val="en-HK"/>
        </w:rPr>
        <w:t>dat</w:t>
      </w:r>
      <w:proofErr w:type="spellEnd"/>
      <w:r w:rsidRPr="00182525">
        <w:rPr>
          <w:rFonts w:ascii="Times New Roman" w:hAnsi="Times New Roman"/>
          <w:b/>
          <w:bCs/>
          <w:color w:val="000000" w:themeColor="text1"/>
          <w:lang w:val="en-HK"/>
        </w:rPr>
        <w:t xml:space="preserve"> principle and undermine property rights</w:t>
      </w:r>
      <w:r w:rsidRPr="00182525">
        <w:rPr>
          <w:rFonts w:ascii="Times New Roman" w:hAnsi="Times New Roman"/>
          <w:color w:val="000000" w:themeColor="text1"/>
          <w:lang w:val="en-HK"/>
        </w:rPr>
        <w:t>.</w:t>
      </w:r>
    </w:p>
    <w:p w14:paraId="5201F661" w14:textId="77777777" w:rsidR="00182525" w:rsidRPr="00182525" w:rsidRDefault="00311F89" w:rsidP="00B5270C">
      <w:pPr>
        <w:spacing w:line="360" w:lineRule="auto"/>
        <w:rPr>
          <w:rFonts w:ascii="Times New Roman" w:hAnsi="Times New Roman"/>
          <w:color w:val="000000" w:themeColor="text1"/>
          <w:lang w:val="en-HK"/>
        </w:rPr>
      </w:pPr>
      <w:r w:rsidRPr="00311F89">
        <w:rPr>
          <w:rFonts w:ascii="Times New Roman" w:hAnsi="Times New Roman"/>
          <w:noProof/>
          <w:color w:val="000000" w:themeColor="text1"/>
          <w:lang w:val="en-HK"/>
          <w14:ligatures w14:val="standardContextual"/>
        </w:rPr>
        <w:pict w14:anchorId="5ED3A989">
          <v:rect id="_x0000_i1036" alt="" style="width:451.3pt;height:.05pt;mso-width-percent:0;mso-height-percent:0;mso-width-percent:0;mso-height-percent:0" o:hralign="center" o:hrstd="t" o:hr="t" fillcolor="#a0a0a0" stroked="f"/>
        </w:pict>
      </w:r>
    </w:p>
    <w:p w14:paraId="3055BFE1" w14:textId="77777777" w:rsidR="00182525" w:rsidRPr="00182525" w:rsidRDefault="00182525" w:rsidP="00B5270C">
      <w:pPr>
        <w:spacing w:before="100" w:beforeAutospacing="1" w:after="100" w:afterAutospacing="1" w:line="360" w:lineRule="auto"/>
        <w:outlineLvl w:val="3"/>
        <w:rPr>
          <w:rFonts w:ascii="Times New Roman" w:hAnsi="Times New Roman"/>
          <w:b/>
          <w:bCs/>
          <w:color w:val="000000" w:themeColor="text1"/>
          <w:lang w:val="en-HK"/>
        </w:rPr>
      </w:pPr>
      <w:r w:rsidRPr="00182525">
        <w:rPr>
          <w:rFonts w:ascii="Times New Roman" w:hAnsi="Times New Roman"/>
          <w:b/>
          <w:bCs/>
          <w:color w:val="000000" w:themeColor="text1"/>
          <w:lang w:val="en-HK"/>
        </w:rPr>
        <w:t>Key Judicial Opinions</w:t>
      </w:r>
    </w:p>
    <w:p w14:paraId="64AEF001" w14:textId="77777777" w:rsidR="00182525" w:rsidRPr="00182525" w:rsidRDefault="00182525" w:rsidP="00B5270C">
      <w:pPr>
        <w:numPr>
          <w:ilvl w:val="0"/>
          <w:numId w:val="4"/>
        </w:numPr>
        <w:spacing w:before="100" w:beforeAutospacing="1" w:after="100" w:afterAutospacing="1" w:line="360" w:lineRule="auto"/>
        <w:rPr>
          <w:rFonts w:ascii="Times New Roman" w:hAnsi="Times New Roman"/>
          <w:color w:val="000000" w:themeColor="text1"/>
          <w:lang w:val="en-HK"/>
        </w:rPr>
      </w:pPr>
      <w:r w:rsidRPr="00182525">
        <w:rPr>
          <w:rFonts w:ascii="Times New Roman" w:hAnsi="Times New Roman"/>
          <w:b/>
          <w:bCs/>
          <w:color w:val="000000" w:themeColor="text1"/>
          <w:lang w:val="en-HK"/>
        </w:rPr>
        <w:t>Majority View (May and Croom-Johnson LJJ)</w:t>
      </w:r>
      <w:r w:rsidRPr="00182525">
        <w:rPr>
          <w:rFonts w:ascii="Times New Roman" w:hAnsi="Times New Roman"/>
          <w:color w:val="000000" w:themeColor="text1"/>
          <w:lang w:val="en-HK"/>
        </w:rPr>
        <w:br/>
        <w:t>They concluded:</w:t>
      </w:r>
    </w:p>
    <w:p w14:paraId="263A4B54" w14:textId="77777777" w:rsidR="00182525" w:rsidRPr="00182525" w:rsidRDefault="00182525" w:rsidP="00B5270C">
      <w:pPr>
        <w:spacing w:beforeAutospacing="1" w:afterAutospacing="1" w:line="360" w:lineRule="auto"/>
        <w:rPr>
          <w:rFonts w:ascii="Times New Roman" w:hAnsi="Times New Roman"/>
          <w:color w:val="000000" w:themeColor="text1"/>
          <w:lang w:val="en-HK"/>
        </w:rPr>
      </w:pPr>
      <w:r w:rsidRPr="00182525">
        <w:rPr>
          <w:rFonts w:ascii="Times New Roman" w:hAnsi="Times New Roman"/>
          <w:color w:val="000000" w:themeColor="text1"/>
          <w:lang w:val="en-HK"/>
        </w:rPr>
        <w:t>"Unless the seller had, or had authority to transmit, the general property in the goods, the transactions cannot transfer valid title under Sections 9 and 25(1)."</w:t>
      </w:r>
    </w:p>
    <w:p w14:paraId="25689DC0" w14:textId="77777777" w:rsidR="00182525" w:rsidRPr="00182525" w:rsidRDefault="00182525" w:rsidP="00B5270C">
      <w:pPr>
        <w:spacing w:before="100" w:beforeAutospacing="1" w:after="100" w:afterAutospacing="1" w:line="360" w:lineRule="auto"/>
        <w:rPr>
          <w:rFonts w:ascii="Times New Roman" w:hAnsi="Times New Roman"/>
          <w:color w:val="000000" w:themeColor="text1"/>
          <w:lang w:val="en-HK"/>
        </w:rPr>
      </w:pPr>
      <w:r w:rsidRPr="00182525">
        <w:rPr>
          <w:rFonts w:ascii="Times New Roman" w:hAnsi="Times New Roman"/>
          <w:color w:val="000000" w:themeColor="text1"/>
          <w:lang w:val="en-HK"/>
        </w:rPr>
        <w:t xml:space="preserve">This interpretation aligns with the nemo </w:t>
      </w:r>
      <w:proofErr w:type="spellStart"/>
      <w:r w:rsidRPr="00182525">
        <w:rPr>
          <w:rFonts w:ascii="Times New Roman" w:hAnsi="Times New Roman"/>
          <w:color w:val="000000" w:themeColor="text1"/>
          <w:lang w:val="en-HK"/>
        </w:rPr>
        <w:t>dat</w:t>
      </w:r>
      <w:proofErr w:type="spellEnd"/>
      <w:r w:rsidRPr="00182525">
        <w:rPr>
          <w:rFonts w:ascii="Times New Roman" w:hAnsi="Times New Roman"/>
          <w:color w:val="000000" w:themeColor="text1"/>
          <w:lang w:val="en-HK"/>
        </w:rPr>
        <w:t xml:space="preserve"> rule and ensures that the true owner's rights are paramount. The majority emphasized the need to interpret these provisions in light of the overarching principle of property law.</w:t>
      </w:r>
    </w:p>
    <w:p w14:paraId="3978861F" w14:textId="77777777" w:rsidR="00182525" w:rsidRPr="00182525" w:rsidRDefault="00182525" w:rsidP="00B5270C">
      <w:pPr>
        <w:numPr>
          <w:ilvl w:val="0"/>
          <w:numId w:val="4"/>
        </w:numPr>
        <w:spacing w:before="100" w:beforeAutospacing="1" w:after="100" w:afterAutospacing="1" w:line="360" w:lineRule="auto"/>
        <w:rPr>
          <w:rFonts w:ascii="Times New Roman" w:hAnsi="Times New Roman"/>
          <w:color w:val="000000" w:themeColor="text1"/>
          <w:lang w:val="en-HK"/>
        </w:rPr>
      </w:pPr>
      <w:r w:rsidRPr="00182525">
        <w:rPr>
          <w:rFonts w:ascii="Times New Roman" w:hAnsi="Times New Roman"/>
          <w:b/>
          <w:bCs/>
          <w:color w:val="000000" w:themeColor="text1"/>
          <w:lang w:val="en-HK"/>
        </w:rPr>
        <w:t>Dissent by Sir Denys Buckley</w:t>
      </w:r>
      <w:r w:rsidRPr="00182525">
        <w:rPr>
          <w:rFonts w:ascii="Times New Roman" w:hAnsi="Times New Roman"/>
          <w:color w:val="000000" w:themeColor="text1"/>
          <w:lang w:val="en-HK"/>
        </w:rPr>
        <w:br/>
        <w:t xml:space="preserve">Sir Denys Buckley dissented, </w:t>
      </w:r>
      <w:proofErr w:type="spellStart"/>
      <w:r w:rsidRPr="00182525">
        <w:rPr>
          <w:rFonts w:ascii="Times New Roman" w:hAnsi="Times New Roman"/>
          <w:color w:val="000000" w:themeColor="text1"/>
          <w:lang w:val="en-HK"/>
        </w:rPr>
        <w:t>favoring</w:t>
      </w:r>
      <w:proofErr w:type="spellEnd"/>
      <w:r w:rsidRPr="00182525">
        <w:rPr>
          <w:rFonts w:ascii="Times New Roman" w:hAnsi="Times New Roman"/>
          <w:color w:val="000000" w:themeColor="text1"/>
          <w:lang w:val="en-HK"/>
        </w:rPr>
        <w:t xml:space="preserve"> a literal interpretation of the statutes. He argued:</w:t>
      </w:r>
    </w:p>
    <w:p w14:paraId="5FBE3604" w14:textId="77777777" w:rsidR="00182525" w:rsidRPr="00182525" w:rsidRDefault="00182525" w:rsidP="00B5270C">
      <w:pPr>
        <w:spacing w:beforeAutospacing="1" w:afterAutospacing="1" w:line="360" w:lineRule="auto"/>
        <w:rPr>
          <w:rFonts w:ascii="Times New Roman" w:hAnsi="Times New Roman"/>
          <w:b/>
          <w:bCs/>
          <w:color w:val="000000" w:themeColor="text1"/>
          <w:lang w:val="en-HK"/>
        </w:rPr>
      </w:pPr>
      <w:r w:rsidRPr="00182525">
        <w:rPr>
          <w:rFonts w:ascii="Times New Roman" w:hAnsi="Times New Roman"/>
          <w:color w:val="000000" w:themeColor="text1"/>
          <w:lang w:val="en-HK"/>
        </w:rPr>
        <w:lastRenderedPageBreak/>
        <w:t xml:space="preserve">"The sections do not operate by depriving the true owner of his title but by giving the </w:t>
      </w:r>
      <w:r w:rsidRPr="00182525">
        <w:rPr>
          <w:rFonts w:ascii="Times New Roman" w:hAnsi="Times New Roman"/>
          <w:b/>
          <w:bCs/>
          <w:color w:val="000000" w:themeColor="text1"/>
          <w:lang w:val="en-HK"/>
        </w:rPr>
        <w:t>purchaser from the notional mercantile agent an impregnable shield against assertion of that title."</w:t>
      </w:r>
    </w:p>
    <w:p w14:paraId="1F2B20BB" w14:textId="77777777" w:rsidR="00182525" w:rsidRPr="00182525" w:rsidRDefault="00182525" w:rsidP="00B5270C">
      <w:pPr>
        <w:spacing w:before="100" w:beforeAutospacing="1" w:after="100" w:afterAutospacing="1" w:line="360" w:lineRule="auto"/>
        <w:rPr>
          <w:rFonts w:ascii="Times New Roman" w:hAnsi="Times New Roman"/>
          <w:color w:val="000000" w:themeColor="text1"/>
          <w:lang w:val="en-HK"/>
        </w:rPr>
      </w:pPr>
      <w:r w:rsidRPr="00182525">
        <w:rPr>
          <w:rFonts w:ascii="Times New Roman" w:hAnsi="Times New Roman"/>
          <w:color w:val="000000" w:themeColor="text1"/>
          <w:lang w:val="en-HK"/>
        </w:rPr>
        <w:t>Buckley suggested that this approach balances the interests of commerce with ownership rights by protecting innocent subsequent purchasers who acted in good faith.</w:t>
      </w:r>
    </w:p>
    <w:p w14:paraId="54936147" w14:textId="77777777" w:rsidR="00182525" w:rsidRPr="00182525" w:rsidRDefault="00311F89" w:rsidP="00B5270C">
      <w:pPr>
        <w:spacing w:line="360" w:lineRule="auto"/>
        <w:rPr>
          <w:rFonts w:ascii="Times New Roman" w:hAnsi="Times New Roman"/>
          <w:color w:val="000000" w:themeColor="text1"/>
          <w:lang w:val="en-HK"/>
        </w:rPr>
      </w:pPr>
      <w:r w:rsidRPr="00311F89">
        <w:rPr>
          <w:rFonts w:ascii="Times New Roman" w:hAnsi="Times New Roman"/>
          <w:noProof/>
          <w:color w:val="000000" w:themeColor="text1"/>
          <w:lang w:val="en-HK"/>
          <w14:ligatures w14:val="standardContextual"/>
        </w:rPr>
        <w:pict w14:anchorId="791BD059">
          <v:rect id="_x0000_i1035" alt="" style="width:451.3pt;height:.05pt;mso-width-percent:0;mso-height-percent:0;mso-width-percent:0;mso-height-percent:0" o:hralign="center" o:hrstd="t" o:hr="t" fillcolor="#a0a0a0" stroked="f"/>
        </w:pict>
      </w:r>
    </w:p>
    <w:p w14:paraId="3507B53D" w14:textId="77777777" w:rsidR="00182525" w:rsidRPr="00182525" w:rsidRDefault="00182525" w:rsidP="00B5270C">
      <w:pPr>
        <w:spacing w:before="100" w:beforeAutospacing="1" w:after="100" w:afterAutospacing="1" w:line="360" w:lineRule="auto"/>
        <w:outlineLvl w:val="3"/>
        <w:rPr>
          <w:rFonts w:ascii="Times New Roman" w:hAnsi="Times New Roman"/>
          <w:b/>
          <w:bCs/>
          <w:color w:val="000000" w:themeColor="text1"/>
          <w:lang w:val="en-HK"/>
        </w:rPr>
      </w:pPr>
      <w:r w:rsidRPr="00182525">
        <w:rPr>
          <w:rFonts w:ascii="Times New Roman" w:hAnsi="Times New Roman"/>
          <w:b/>
          <w:bCs/>
          <w:color w:val="000000" w:themeColor="text1"/>
          <w:lang w:val="en-HK"/>
        </w:rPr>
        <w:t>Critical Statutory Provisions</w:t>
      </w:r>
    </w:p>
    <w:p w14:paraId="03C0B3D7" w14:textId="77777777" w:rsidR="00182525" w:rsidRPr="00182525" w:rsidRDefault="00182525" w:rsidP="00B5270C">
      <w:pPr>
        <w:numPr>
          <w:ilvl w:val="0"/>
          <w:numId w:val="5"/>
        </w:numPr>
        <w:spacing w:before="100" w:beforeAutospacing="1" w:after="100" w:afterAutospacing="1" w:line="360" w:lineRule="auto"/>
        <w:rPr>
          <w:rFonts w:ascii="Times New Roman" w:hAnsi="Times New Roman"/>
          <w:color w:val="000000" w:themeColor="text1"/>
          <w:lang w:val="en-HK"/>
        </w:rPr>
      </w:pPr>
      <w:r w:rsidRPr="00182525">
        <w:rPr>
          <w:rFonts w:ascii="Times New Roman" w:hAnsi="Times New Roman"/>
          <w:b/>
          <w:bCs/>
          <w:color w:val="000000" w:themeColor="text1"/>
          <w:lang w:val="en-HK"/>
        </w:rPr>
        <w:t>Section 25(1) SGA 1979</w:t>
      </w:r>
    </w:p>
    <w:p w14:paraId="12BFE7F2" w14:textId="77777777" w:rsidR="00182525" w:rsidRPr="00182525" w:rsidRDefault="00182525" w:rsidP="00B5270C">
      <w:pPr>
        <w:spacing w:beforeAutospacing="1" w:afterAutospacing="1" w:line="360" w:lineRule="auto"/>
        <w:rPr>
          <w:rFonts w:ascii="Times New Roman" w:hAnsi="Times New Roman"/>
          <w:color w:val="000000" w:themeColor="text1"/>
          <w:lang w:val="en-HK"/>
        </w:rPr>
      </w:pPr>
      <w:r w:rsidRPr="00182525">
        <w:rPr>
          <w:rFonts w:ascii="Times New Roman" w:hAnsi="Times New Roman"/>
          <w:color w:val="000000" w:themeColor="text1"/>
          <w:lang w:val="en-HK"/>
        </w:rPr>
        <w:t xml:space="preserve">"Where a person having bought or agreed to buy goods obtains, with the </w:t>
      </w:r>
      <w:r w:rsidRPr="00182525">
        <w:rPr>
          <w:rFonts w:ascii="Times New Roman" w:hAnsi="Times New Roman"/>
          <w:b/>
          <w:bCs/>
          <w:color w:val="000000" w:themeColor="text1"/>
          <w:lang w:val="en-HK"/>
        </w:rPr>
        <w:t>consent of the seller</w:t>
      </w:r>
      <w:r w:rsidRPr="00182525">
        <w:rPr>
          <w:rFonts w:ascii="Times New Roman" w:hAnsi="Times New Roman"/>
          <w:color w:val="000000" w:themeColor="text1"/>
          <w:lang w:val="en-HK"/>
        </w:rPr>
        <w:t>, possession of the goods, the delivery by that person under any sale to any person receiving the same in good faith and without notice of any lien or other right of the original seller in respect of the goods, has the same effect as if the person making the delivery were a mercantile agent in possession of the goods with the consent of the owner."</w:t>
      </w:r>
    </w:p>
    <w:p w14:paraId="6362D383" w14:textId="77777777" w:rsidR="00B5270C" w:rsidRPr="00B5270C" w:rsidRDefault="00182525" w:rsidP="00B5270C">
      <w:pPr>
        <w:numPr>
          <w:ilvl w:val="0"/>
          <w:numId w:val="5"/>
        </w:numPr>
        <w:spacing w:before="100" w:beforeAutospacing="1" w:after="100" w:afterAutospacing="1" w:line="360" w:lineRule="auto"/>
        <w:rPr>
          <w:rFonts w:ascii="Times New Roman" w:hAnsi="Times New Roman"/>
          <w:color w:val="000000" w:themeColor="text1"/>
          <w:lang w:val="en-HK"/>
        </w:rPr>
      </w:pPr>
      <w:r w:rsidRPr="00182525">
        <w:rPr>
          <w:rFonts w:ascii="Times New Roman" w:hAnsi="Times New Roman"/>
          <w:b/>
          <w:bCs/>
          <w:color w:val="000000" w:themeColor="text1"/>
          <w:lang w:val="en-HK"/>
        </w:rPr>
        <w:t>Section 9 Factors Act 1889</w:t>
      </w:r>
    </w:p>
    <w:p w14:paraId="6731E22A" w14:textId="6FC13D8A" w:rsidR="00182525" w:rsidRPr="00182525" w:rsidRDefault="00182525" w:rsidP="00B5270C">
      <w:pPr>
        <w:spacing w:before="100" w:beforeAutospacing="1" w:after="100" w:afterAutospacing="1" w:line="360" w:lineRule="auto"/>
        <w:rPr>
          <w:rFonts w:ascii="Times New Roman" w:hAnsi="Times New Roman"/>
          <w:color w:val="000000" w:themeColor="text1"/>
          <w:lang w:val="en-HK"/>
        </w:rPr>
      </w:pPr>
      <w:r w:rsidRPr="00182525">
        <w:rPr>
          <w:rFonts w:ascii="Times New Roman" w:hAnsi="Times New Roman"/>
          <w:color w:val="000000" w:themeColor="text1"/>
          <w:lang w:val="en-HK"/>
        </w:rPr>
        <w:t>Contains identical wording, reinforcing the application of this rule in scenarios involving mercantile agents.</w:t>
      </w:r>
    </w:p>
    <w:p w14:paraId="7FBE4862" w14:textId="77777777" w:rsidR="00182525" w:rsidRPr="00182525" w:rsidRDefault="00311F89" w:rsidP="00B5270C">
      <w:pPr>
        <w:spacing w:line="360" w:lineRule="auto"/>
        <w:rPr>
          <w:rFonts w:ascii="Times New Roman" w:hAnsi="Times New Roman"/>
          <w:color w:val="000000" w:themeColor="text1"/>
          <w:lang w:val="en-HK"/>
        </w:rPr>
      </w:pPr>
      <w:r w:rsidRPr="00311F89">
        <w:rPr>
          <w:rFonts w:ascii="Times New Roman" w:hAnsi="Times New Roman"/>
          <w:noProof/>
          <w:color w:val="000000" w:themeColor="text1"/>
          <w:lang w:val="en-HK"/>
          <w14:ligatures w14:val="standardContextual"/>
        </w:rPr>
        <w:pict w14:anchorId="3B14CF88">
          <v:rect id="_x0000_i1034" alt="" style="width:451.3pt;height:.05pt;mso-width-percent:0;mso-height-percent:0;mso-width-percent:0;mso-height-percent:0" o:hralign="center" o:hrstd="t" o:hr="t" fillcolor="#a0a0a0" stroked="f"/>
        </w:pict>
      </w:r>
    </w:p>
    <w:p w14:paraId="41EBE3B8" w14:textId="77777777" w:rsidR="00182525" w:rsidRPr="00182525" w:rsidRDefault="00182525" w:rsidP="00B5270C">
      <w:pPr>
        <w:spacing w:before="100" w:beforeAutospacing="1" w:after="100" w:afterAutospacing="1" w:line="360" w:lineRule="auto"/>
        <w:outlineLvl w:val="3"/>
        <w:rPr>
          <w:rFonts w:ascii="Times New Roman" w:hAnsi="Times New Roman"/>
          <w:b/>
          <w:bCs/>
          <w:color w:val="000000" w:themeColor="text1"/>
          <w:lang w:val="en-HK"/>
        </w:rPr>
      </w:pPr>
      <w:r w:rsidRPr="00182525">
        <w:rPr>
          <w:rFonts w:ascii="Times New Roman" w:hAnsi="Times New Roman"/>
          <w:b/>
          <w:bCs/>
          <w:color w:val="000000" w:themeColor="text1"/>
          <w:lang w:val="en-HK"/>
        </w:rPr>
        <w:t>Policy Considerations</w:t>
      </w:r>
    </w:p>
    <w:p w14:paraId="118BD6F3" w14:textId="77777777" w:rsidR="00182525" w:rsidRPr="00182525" w:rsidRDefault="00182525" w:rsidP="00B5270C">
      <w:pPr>
        <w:spacing w:before="100" w:beforeAutospacing="1" w:after="100" w:afterAutospacing="1" w:line="360" w:lineRule="auto"/>
        <w:rPr>
          <w:rFonts w:ascii="Times New Roman" w:hAnsi="Times New Roman"/>
          <w:color w:val="000000" w:themeColor="text1"/>
          <w:lang w:val="en-HK"/>
        </w:rPr>
      </w:pPr>
      <w:r w:rsidRPr="00182525">
        <w:rPr>
          <w:rFonts w:ascii="Times New Roman" w:hAnsi="Times New Roman"/>
          <w:color w:val="000000" w:themeColor="text1"/>
          <w:lang w:val="en-HK"/>
        </w:rPr>
        <w:t xml:space="preserve">The majority's decision prioritized the protection of true ownership over transactional certainty, consistent with the traditional application of the nemo </w:t>
      </w:r>
      <w:proofErr w:type="spellStart"/>
      <w:r w:rsidRPr="00182525">
        <w:rPr>
          <w:rFonts w:ascii="Times New Roman" w:hAnsi="Times New Roman"/>
          <w:color w:val="000000" w:themeColor="text1"/>
          <w:lang w:val="en-HK"/>
        </w:rPr>
        <w:t>dat</w:t>
      </w:r>
      <w:proofErr w:type="spellEnd"/>
      <w:r w:rsidRPr="00182525">
        <w:rPr>
          <w:rFonts w:ascii="Times New Roman" w:hAnsi="Times New Roman"/>
          <w:color w:val="000000" w:themeColor="text1"/>
          <w:lang w:val="en-HK"/>
        </w:rPr>
        <w:t xml:space="preserve"> rule. However, Sir Denys Buckley’s dissent reflected a commercial perspective, emphasizing the need to shield good faith purchasers from the consequences of theft further down the chain of transactions.</w:t>
      </w:r>
    </w:p>
    <w:p w14:paraId="3CC1D83B" w14:textId="77777777" w:rsidR="00182525" w:rsidRPr="00182525" w:rsidRDefault="00182525" w:rsidP="00B5270C">
      <w:pPr>
        <w:spacing w:before="100" w:beforeAutospacing="1" w:after="100" w:afterAutospacing="1" w:line="360" w:lineRule="auto"/>
        <w:rPr>
          <w:rFonts w:ascii="Times New Roman" w:hAnsi="Times New Roman"/>
          <w:color w:val="000000" w:themeColor="text1"/>
          <w:lang w:val="en-HK"/>
        </w:rPr>
      </w:pPr>
      <w:proofErr w:type="spellStart"/>
      <w:r w:rsidRPr="00182525">
        <w:rPr>
          <w:rFonts w:ascii="Times New Roman" w:hAnsi="Times New Roman"/>
          <w:color w:val="000000" w:themeColor="text1"/>
          <w:lang w:val="en-HK"/>
        </w:rPr>
        <w:t>Thornely</w:t>
      </w:r>
      <w:proofErr w:type="spellEnd"/>
      <w:r w:rsidRPr="00182525">
        <w:rPr>
          <w:rFonts w:ascii="Times New Roman" w:hAnsi="Times New Roman"/>
          <w:color w:val="000000" w:themeColor="text1"/>
          <w:lang w:val="en-HK"/>
        </w:rPr>
        <w:t xml:space="preserve"> critiques the majority’s approach for its rigidity, suggesting that the literal application of Sections 9 and 25(1) could provide </w:t>
      </w:r>
      <w:r w:rsidRPr="00182525">
        <w:rPr>
          <w:rFonts w:ascii="Times New Roman" w:hAnsi="Times New Roman"/>
          <w:b/>
          <w:bCs/>
          <w:color w:val="000000" w:themeColor="text1"/>
          <w:lang w:val="en-HK"/>
        </w:rPr>
        <w:t>fairer outcomes</w:t>
      </w:r>
      <w:r w:rsidRPr="00182525">
        <w:rPr>
          <w:rFonts w:ascii="Times New Roman" w:hAnsi="Times New Roman"/>
          <w:color w:val="000000" w:themeColor="text1"/>
          <w:lang w:val="en-HK"/>
        </w:rPr>
        <w:t xml:space="preserve"> in cases where purchasers have limited means to verify the legitimacy of goods. However, he acknowledges that any reform must carefully balance these competing interests to avoid facilitating theft and fraud.</w:t>
      </w:r>
    </w:p>
    <w:p w14:paraId="3168251F" w14:textId="215D1DB9" w:rsidR="00182525" w:rsidRPr="00487994" w:rsidRDefault="00311F89" w:rsidP="00487994">
      <w:pPr>
        <w:pStyle w:val="Heading3"/>
        <w:spacing w:line="360" w:lineRule="auto"/>
        <w:rPr>
          <w:rFonts w:ascii="Times New Roman" w:hAnsi="Times New Roman" w:cs="Times New Roman"/>
          <w:color w:val="000000" w:themeColor="text1"/>
          <w:sz w:val="24"/>
          <w:szCs w:val="24"/>
          <w:lang w:val="en-HK"/>
        </w:rPr>
      </w:pPr>
      <w:r w:rsidRPr="00311F89">
        <w:rPr>
          <w:rFonts w:ascii="Times New Roman" w:hAnsi="Times New Roman" w:cs="Times New Roman"/>
          <w:noProof/>
          <w:color w:val="000000" w:themeColor="text1"/>
          <w:sz w:val="24"/>
          <w:szCs w:val="24"/>
          <w14:ligatures w14:val="standardContextual"/>
        </w:rPr>
        <w:lastRenderedPageBreak/>
        <w:pict w14:anchorId="0668136F">
          <v:rect id="_x0000_i1033" alt="" style="width:451.3pt;height:.05pt;mso-width-percent:0;mso-height-percent:0;mso-width-percent:0;mso-height-percent:0" o:hralign="center" o:hrstd="t" o:hr="t" fillcolor="#a0a0a0" stroked="f"/>
        </w:pict>
      </w:r>
      <w:r w:rsidR="00182525" w:rsidRPr="00487994">
        <w:rPr>
          <w:rStyle w:val="Strong"/>
          <w:rFonts w:ascii="Times New Roman" w:hAnsi="Times New Roman" w:cs="Times New Roman"/>
          <w:color w:val="000000" w:themeColor="text1"/>
          <w:sz w:val="24"/>
          <w:szCs w:val="24"/>
        </w:rPr>
        <w:t xml:space="preserve">3. </w:t>
      </w:r>
      <w:r w:rsidR="00182525" w:rsidRPr="00487994">
        <w:rPr>
          <w:rStyle w:val="Strong"/>
          <w:rFonts w:ascii="Times New Roman" w:hAnsi="Times New Roman" w:cs="Times New Roman"/>
          <w:color w:val="000000" w:themeColor="text1"/>
          <w:sz w:val="24"/>
          <w:szCs w:val="24"/>
        </w:rPr>
        <w:t xml:space="preserve">Detailed Analysis of </w:t>
      </w:r>
      <w:r w:rsidR="00182525" w:rsidRPr="00487994">
        <w:rPr>
          <w:rStyle w:val="Strong"/>
          <w:rFonts w:ascii="Times New Roman" w:hAnsi="Times New Roman" w:cs="Times New Roman"/>
          <w:color w:val="000000" w:themeColor="text1"/>
          <w:sz w:val="24"/>
          <w:szCs w:val="24"/>
          <w:highlight w:val="yellow"/>
        </w:rPr>
        <w:t>Shaw v Commissioner of Police of the Metropolis (1987)</w:t>
      </w:r>
    </w:p>
    <w:p w14:paraId="0364DA87" w14:textId="77777777" w:rsidR="00182525" w:rsidRPr="00B5270C" w:rsidRDefault="00182525" w:rsidP="00B5270C">
      <w:pPr>
        <w:pStyle w:val="Heading4"/>
        <w:spacing w:line="360" w:lineRule="auto"/>
        <w:rPr>
          <w:rFonts w:ascii="Times New Roman" w:hAnsi="Times New Roman" w:cs="Times New Roman"/>
          <w:color w:val="000000" w:themeColor="text1"/>
        </w:rPr>
      </w:pPr>
      <w:r w:rsidRPr="00B5270C">
        <w:rPr>
          <w:rStyle w:val="Strong"/>
          <w:rFonts w:ascii="Times New Roman" w:hAnsi="Times New Roman" w:cs="Times New Roman"/>
          <w:b w:val="0"/>
          <w:bCs w:val="0"/>
          <w:color w:val="000000" w:themeColor="text1"/>
        </w:rPr>
        <w:t>Facts of the Case</w:t>
      </w:r>
    </w:p>
    <w:p w14:paraId="4F200C5D" w14:textId="77777777" w:rsidR="00182525" w:rsidRPr="00B5270C" w:rsidRDefault="00182525" w:rsidP="00B5270C">
      <w:pPr>
        <w:pStyle w:val="NormalWeb"/>
        <w:spacing w:line="360" w:lineRule="auto"/>
        <w:rPr>
          <w:color w:val="000000" w:themeColor="text1"/>
        </w:rPr>
      </w:pPr>
      <w:r w:rsidRPr="00B5270C">
        <w:rPr>
          <w:color w:val="000000" w:themeColor="text1"/>
        </w:rPr>
        <w:t>The case involved a Porsche that was fraudulently obtained and resold. The chain of events was as follows:</w:t>
      </w:r>
    </w:p>
    <w:p w14:paraId="1B8722C8" w14:textId="77777777" w:rsidR="00182525" w:rsidRPr="00B5270C" w:rsidRDefault="00182525" w:rsidP="00B5270C">
      <w:pPr>
        <w:numPr>
          <w:ilvl w:val="0"/>
          <w:numId w:val="6"/>
        </w:numPr>
        <w:spacing w:before="100" w:beforeAutospacing="1" w:after="100" w:afterAutospacing="1" w:line="360" w:lineRule="auto"/>
        <w:rPr>
          <w:rFonts w:ascii="Times New Roman" w:hAnsi="Times New Roman"/>
          <w:color w:val="000000" w:themeColor="text1"/>
        </w:rPr>
      </w:pPr>
      <w:r w:rsidRPr="00B5270C">
        <w:rPr>
          <w:rFonts w:ascii="Times New Roman" w:hAnsi="Times New Roman"/>
          <w:color w:val="000000" w:themeColor="text1"/>
        </w:rPr>
        <w:t>N, the owner of the Porsche, advertised it for sale.</w:t>
      </w:r>
    </w:p>
    <w:p w14:paraId="2A4E01B6" w14:textId="77777777" w:rsidR="00182525" w:rsidRPr="00B5270C" w:rsidRDefault="00182525" w:rsidP="00B5270C">
      <w:pPr>
        <w:numPr>
          <w:ilvl w:val="0"/>
          <w:numId w:val="6"/>
        </w:numPr>
        <w:spacing w:before="100" w:beforeAutospacing="1" w:after="100" w:afterAutospacing="1" w:line="360" w:lineRule="auto"/>
        <w:rPr>
          <w:rFonts w:ascii="Times New Roman" w:hAnsi="Times New Roman"/>
          <w:color w:val="000000" w:themeColor="text1"/>
        </w:rPr>
      </w:pPr>
      <w:r w:rsidRPr="00B5270C">
        <w:rPr>
          <w:rFonts w:ascii="Times New Roman" w:hAnsi="Times New Roman"/>
          <w:color w:val="000000" w:themeColor="text1"/>
        </w:rPr>
        <w:t>L, a car dealer, expressed interest in purchasing it for a client and presented a postdated cheque worth £17,250. N accepted the cheque and handed over the car, a letter certifying the sale, and the car's registration document.</w:t>
      </w:r>
    </w:p>
    <w:p w14:paraId="0DA47FA8" w14:textId="77777777" w:rsidR="00182525" w:rsidRPr="00B5270C" w:rsidRDefault="00182525" w:rsidP="00B5270C">
      <w:pPr>
        <w:numPr>
          <w:ilvl w:val="0"/>
          <w:numId w:val="6"/>
        </w:numPr>
        <w:spacing w:before="100" w:beforeAutospacing="1" w:after="100" w:afterAutospacing="1" w:line="360" w:lineRule="auto"/>
        <w:rPr>
          <w:rFonts w:ascii="Times New Roman" w:hAnsi="Times New Roman"/>
          <w:color w:val="000000" w:themeColor="text1"/>
        </w:rPr>
      </w:pPr>
      <w:r w:rsidRPr="00B5270C">
        <w:rPr>
          <w:rFonts w:ascii="Times New Roman" w:hAnsi="Times New Roman"/>
          <w:color w:val="000000" w:themeColor="text1"/>
        </w:rPr>
        <w:t>L then resold the car to Shaw for £11,500 (£10,000 in a banker’s draft and £1,500 cash). Shaw acted in good faith, believing L to have valid title.</w:t>
      </w:r>
    </w:p>
    <w:p w14:paraId="7AC21004" w14:textId="77777777" w:rsidR="00182525" w:rsidRPr="00B5270C" w:rsidRDefault="00182525" w:rsidP="00B5270C">
      <w:pPr>
        <w:numPr>
          <w:ilvl w:val="0"/>
          <w:numId w:val="6"/>
        </w:numPr>
        <w:spacing w:before="100" w:beforeAutospacing="1" w:after="100" w:afterAutospacing="1" w:line="360" w:lineRule="auto"/>
        <w:rPr>
          <w:rFonts w:ascii="Times New Roman" w:hAnsi="Times New Roman"/>
          <w:color w:val="000000" w:themeColor="text1"/>
        </w:rPr>
      </w:pPr>
      <w:r w:rsidRPr="00B5270C">
        <w:rPr>
          <w:rFonts w:ascii="Times New Roman" w:hAnsi="Times New Roman"/>
          <w:color w:val="000000" w:themeColor="text1"/>
        </w:rPr>
        <w:t>The banker’s draft was refused by the bank, and L disappeared without delivering the £1,500.</w:t>
      </w:r>
    </w:p>
    <w:p w14:paraId="01ED6E4E" w14:textId="77777777" w:rsidR="00182525" w:rsidRPr="00B5270C" w:rsidRDefault="00182525" w:rsidP="00B5270C">
      <w:pPr>
        <w:numPr>
          <w:ilvl w:val="0"/>
          <w:numId w:val="6"/>
        </w:numPr>
        <w:spacing w:before="100" w:beforeAutospacing="1" w:after="100" w:afterAutospacing="1" w:line="360" w:lineRule="auto"/>
        <w:rPr>
          <w:rFonts w:ascii="Times New Roman" w:hAnsi="Times New Roman"/>
          <w:color w:val="000000" w:themeColor="text1"/>
        </w:rPr>
      </w:pPr>
      <w:r w:rsidRPr="00B5270C">
        <w:rPr>
          <w:rFonts w:ascii="Times New Roman" w:hAnsi="Times New Roman"/>
          <w:color w:val="000000" w:themeColor="text1"/>
        </w:rPr>
        <w:t xml:space="preserve">The police took possession of the car, and both N and Shaw claimed ownership. The dispute revolved around whether Shaw could claim title to the car under </w:t>
      </w:r>
      <w:r w:rsidRPr="00B5270C">
        <w:rPr>
          <w:rStyle w:val="Strong"/>
          <w:rFonts w:ascii="Times New Roman" w:eastAsiaTheme="majorEastAsia" w:hAnsi="Times New Roman"/>
          <w:color w:val="000000" w:themeColor="text1"/>
        </w:rPr>
        <w:t>Section 25(1) of the Sale of Goods Act 1979 (SGA)</w:t>
      </w:r>
      <w:r w:rsidRPr="00B5270C">
        <w:rPr>
          <w:rFonts w:ascii="Times New Roman" w:hAnsi="Times New Roman"/>
          <w:color w:val="000000" w:themeColor="text1"/>
        </w:rPr>
        <w:t xml:space="preserve"> or by estoppel under </w:t>
      </w:r>
      <w:r w:rsidRPr="00B5270C">
        <w:rPr>
          <w:rStyle w:val="Strong"/>
          <w:rFonts w:ascii="Times New Roman" w:eastAsiaTheme="majorEastAsia" w:hAnsi="Times New Roman"/>
          <w:color w:val="000000" w:themeColor="text1"/>
        </w:rPr>
        <w:t>Section 21(1) SGA</w:t>
      </w:r>
      <w:r w:rsidRPr="00B5270C">
        <w:rPr>
          <w:rFonts w:ascii="Times New Roman" w:hAnsi="Times New Roman"/>
          <w:color w:val="000000" w:themeColor="text1"/>
        </w:rPr>
        <w:t>.</w:t>
      </w:r>
    </w:p>
    <w:p w14:paraId="0CAD5BC3" w14:textId="77777777" w:rsidR="00182525" w:rsidRPr="00B5270C" w:rsidRDefault="00311F89" w:rsidP="00B5270C">
      <w:pPr>
        <w:spacing w:line="360" w:lineRule="auto"/>
        <w:rPr>
          <w:rFonts w:ascii="Times New Roman" w:hAnsi="Times New Roman"/>
          <w:color w:val="000000" w:themeColor="text1"/>
        </w:rPr>
      </w:pPr>
      <w:r w:rsidRPr="00311F89">
        <w:rPr>
          <w:rFonts w:ascii="Times New Roman" w:hAnsi="Times New Roman"/>
          <w:noProof/>
          <w:color w:val="000000" w:themeColor="text1"/>
          <w14:ligatures w14:val="standardContextual"/>
        </w:rPr>
        <w:pict w14:anchorId="377D80D0">
          <v:rect id="_x0000_i1032" alt="" style="width:451.3pt;height:.05pt;mso-width-percent:0;mso-height-percent:0;mso-width-percent:0;mso-height-percent:0" o:hralign="center" o:hrstd="t" o:hr="t" fillcolor="#a0a0a0" stroked="f"/>
        </w:pict>
      </w:r>
    </w:p>
    <w:p w14:paraId="71A60EDF" w14:textId="77777777" w:rsidR="00182525" w:rsidRPr="00B5270C" w:rsidRDefault="00182525" w:rsidP="00B5270C">
      <w:pPr>
        <w:pStyle w:val="Heading4"/>
        <w:spacing w:line="360" w:lineRule="auto"/>
        <w:rPr>
          <w:rFonts w:ascii="Times New Roman" w:hAnsi="Times New Roman" w:cs="Times New Roman"/>
          <w:color w:val="000000" w:themeColor="text1"/>
        </w:rPr>
      </w:pPr>
      <w:r w:rsidRPr="00B5270C">
        <w:rPr>
          <w:rStyle w:val="Strong"/>
          <w:rFonts w:ascii="Times New Roman" w:hAnsi="Times New Roman" w:cs="Times New Roman"/>
          <w:b w:val="0"/>
          <w:bCs w:val="0"/>
          <w:color w:val="000000" w:themeColor="text1"/>
        </w:rPr>
        <w:t>Legal Issues</w:t>
      </w:r>
    </w:p>
    <w:p w14:paraId="0A957957" w14:textId="77777777" w:rsidR="00182525" w:rsidRPr="00B5270C" w:rsidRDefault="00182525" w:rsidP="00B5270C">
      <w:pPr>
        <w:pStyle w:val="NormalWeb"/>
        <w:numPr>
          <w:ilvl w:val="0"/>
          <w:numId w:val="7"/>
        </w:numPr>
        <w:spacing w:line="360" w:lineRule="auto"/>
        <w:rPr>
          <w:color w:val="000000" w:themeColor="text1"/>
        </w:rPr>
      </w:pPr>
      <w:r w:rsidRPr="00B5270C">
        <w:rPr>
          <w:rStyle w:val="Strong"/>
          <w:rFonts w:eastAsiaTheme="majorEastAsia"/>
          <w:color w:val="000000" w:themeColor="text1"/>
        </w:rPr>
        <w:t>Applicability of Section 25(1) SGA</w:t>
      </w:r>
      <w:r w:rsidRPr="00B5270C">
        <w:rPr>
          <w:color w:val="000000" w:themeColor="text1"/>
        </w:rPr>
        <w:br/>
        <w:t>Section 25(1) permits the transfer of valid title if a person in possession of goods with the seller's consent sells them to a third party acting in good faith. The question was whether L's resale to Shaw could fall under this exception.</w:t>
      </w:r>
    </w:p>
    <w:p w14:paraId="235CBE39" w14:textId="77777777" w:rsidR="00182525" w:rsidRPr="00B5270C" w:rsidRDefault="00182525" w:rsidP="00B5270C">
      <w:pPr>
        <w:pStyle w:val="NormalWeb"/>
        <w:numPr>
          <w:ilvl w:val="0"/>
          <w:numId w:val="7"/>
        </w:numPr>
        <w:spacing w:line="360" w:lineRule="auto"/>
        <w:rPr>
          <w:color w:val="000000" w:themeColor="text1"/>
        </w:rPr>
      </w:pPr>
      <w:r w:rsidRPr="00B5270C">
        <w:rPr>
          <w:rStyle w:val="Strong"/>
          <w:rFonts w:eastAsiaTheme="majorEastAsia"/>
          <w:color w:val="000000" w:themeColor="text1"/>
        </w:rPr>
        <w:t>Application of Estoppel under Section 21(1) SGA</w:t>
      </w:r>
      <w:r w:rsidRPr="00B5270C">
        <w:rPr>
          <w:color w:val="000000" w:themeColor="text1"/>
        </w:rPr>
        <w:br/>
        <w:t>Estoppel prevents the</w:t>
      </w:r>
      <w:r w:rsidRPr="00B5270C">
        <w:rPr>
          <w:b/>
          <w:bCs/>
          <w:color w:val="000000" w:themeColor="text1"/>
        </w:rPr>
        <w:t xml:space="preserve"> true owner from denying the seller's authority to sell if their conduct misled the third party</w:t>
      </w:r>
      <w:r w:rsidRPr="00B5270C">
        <w:rPr>
          <w:color w:val="000000" w:themeColor="text1"/>
        </w:rPr>
        <w:t>. Shaw argued that N’s actions (accepting the cheque and issuing documents certifying the sale) created an estoppel that precluded N from reclaiming the car.</w:t>
      </w:r>
    </w:p>
    <w:p w14:paraId="37FA4C5A" w14:textId="77777777" w:rsidR="00182525" w:rsidRPr="00B5270C" w:rsidRDefault="00311F89" w:rsidP="00B5270C">
      <w:pPr>
        <w:spacing w:line="360" w:lineRule="auto"/>
        <w:rPr>
          <w:rFonts w:ascii="Times New Roman" w:hAnsi="Times New Roman"/>
          <w:color w:val="000000" w:themeColor="text1"/>
        </w:rPr>
      </w:pPr>
      <w:r w:rsidRPr="00311F89">
        <w:rPr>
          <w:rFonts w:ascii="Times New Roman" w:hAnsi="Times New Roman"/>
          <w:noProof/>
          <w:color w:val="000000" w:themeColor="text1"/>
          <w14:ligatures w14:val="standardContextual"/>
        </w:rPr>
        <w:pict w14:anchorId="64C37E48">
          <v:rect id="_x0000_i1031" alt="" style="width:451.3pt;height:.05pt;mso-width-percent:0;mso-height-percent:0;mso-width-percent:0;mso-height-percent:0" o:hralign="center" o:hrstd="t" o:hr="t" fillcolor="#a0a0a0" stroked="f"/>
        </w:pict>
      </w:r>
    </w:p>
    <w:p w14:paraId="184FE2A7" w14:textId="77777777" w:rsidR="00182525" w:rsidRPr="00B5270C" w:rsidRDefault="00182525" w:rsidP="00B5270C">
      <w:pPr>
        <w:pStyle w:val="Heading4"/>
        <w:spacing w:line="360" w:lineRule="auto"/>
        <w:rPr>
          <w:rFonts w:ascii="Times New Roman" w:hAnsi="Times New Roman" w:cs="Times New Roman"/>
          <w:color w:val="000000" w:themeColor="text1"/>
        </w:rPr>
      </w:pPr>
      <w:r w:rsidRPr="00B5270C">
        <w:rPr>
          <w:rStyle w:val="Strong"/>
          <w:rFonts w:ascii="Times New Roman" w:hAnsi="Times New Roman" w:cs="Times New Roman"/>
          <w:b w:val="0"/>
          <w:bCs w:val="0"/>
          <w:color w:val="000000" w:themeColor="text1"/>
        </w:rPr>
        <w:lastRenderedPageBreak/>
        <w:t>Judgment and Reasoning</w:t>
      </w:r>
    </w:p>
    <w:p w14:paraId="4BB6DEDC" w14:textId="77777777" w:rsidR="00182525" w:rsidRPr="00B5270C" w:rsidRDefault="00182525" w:rsidP="00B5270C">
      <w:pPr>
        <w:pStyle w:val="NormalWeb"/>
        <w:spacing w:line="360" w:lineRule="auto"/>
        <w:rPr>
          <w:color w:val="000000" w:themeColor="text1"/>
        </w:rPr>
      </w:pPr>
      <w:r w:rsidRPr="00B5270C">
        <w:rPr>
          <w:color w:val="000000" w:themeColor="text1"/>
        </w:rPr>
        <w:t>The Court of Appeal dismissed Shaw's claims, ruling that he could not acquire valid title under either provision:</w:t>
      </w:r>
    </w:p>
    <w:p w14:paraId="51065ECC" w14:textId="77777777" w:rsidR="00B5270C" w:rsidRPr="00B5270C" w:rsidRDefault="00182525" w:rsidP="00B5270C">
      <w:pPr>
        <w:pStyle w:val="NormalWeb"/>
        <w:numPr>
          <w:ilvl w:val="0"/>
          <w:numId w:val="8"/>
        </w:numPr>
        <w:spacing w:line="360" w:lineRule="auto"/>
        <w:rPr>
          <w:color w:val="000000" w:themeColor="text1"/>
        </w:rPr>
      </w:pPr>
      <w:r w:rsidRPr="00B5270C">
        <w:rPr>
          <w:rStyle w:val="Strong"/>
          <w:rFonts w:eastAsiaTheme="majorEastAsia"/>
          <w:color w:val="000000" w:themeColor="text1"/>
        </w:rPr>
        <w:t>Section 25(1) Claim</w:t>
      </w:r>
    </w:p>
    <w:p w14:paraId="41906E9F" w14:textId="5847AEB6" w:rsidR="00182525" w:rsidRPr="00B5270C" w:rsidRDefault="00182525" w:rsidP="00B5270C">
      <w:pPr>
        <w:pStyle w:val="NormalWeb"/>
        <w:spacing w:line="360" w:lineRule="auto"/>
        <w:rPr>
          <w:color w:val="000000" w:themeColor="text1"/>
        </w:rPr>
      </w:pPr>
      <w:r w:rsidRPr="00B5270C">
        <w:rPr>
          <w:color w:val="000000" w:themeColor="text1"/>
        </w:rPr>
        <w:t>The court held that L did not "buy or agree to buy" the car from N, a prerequisite for Section 25(1) to apply</w:t>
      </w:r>
      <w:r w:rsidRPr="00B5270C">
        <w:rPr>
          <w:b/>
          <w:bCs/>
          <w:color w:val="000000" w:themeColor="text1"/>
        </w:rPr>
        <w:t>. L only agreed to pay via a postdated cheque</w:t>
      </w:r>
      <w:r w:rsidRPr="00B5270C">
        <w:rPr>
          <w:color w:val="000000" w:themeColor="text1"/>
        </w:rPr>
        <w:t xml:space="preserve">, which was not </w:t>
      </w:r>
      <w:proofErr w:type="spellStart"/>
      <w:r w:rsidRPr="00B5270C">
        <w:rPr>
          <w:color w:val="000000" w:themeColor="text1"/>
        </w:rPr>
        <w:t>honored</w:t>
      </w:r>
      <w:proofErr w:type="spellEnd"/>
      <w:r w:rsidRPr="00B5270C">
        <w:rPr>
          <w:color w:val="000000" w:themeColor="text1"/>
        </w:rPr>
        <w:t>. This made L’s possession invalid under Section 25(1).</w:t>
      </w:r>
    </w:p>
    <w:p w14:paraId="5CF0954A" w14:textId="77777777" w:rsidR="00182525" w:rsidRPr="00B5270C" w:rsidRDefault="00182525" w:rsidP="00B5270C">
      <w:pPr>
        <w:spacing w:before="100" w:beforeAutospacing="1" w:after="100" w:afterAutospacing="1" w:line="360" w:lineRule="auto"/>
        <w:rPr>
          <w:rFonts w:ascii="Times New Roman" w:hAnsi="Times New Roman"/>
          <w:color w:val="000000" w:themeColor="text1"/>
        </w:rPr>
      </w:pPr>
      <w:r w:rsidRPr="00B5270C">
        <w:rPr>
          <w:rFonts w:ascii="Times New Roman" w:hAnsi="Times New Roman"/>
          <w:color w:val="000000" w:themeColor="text1"/>
        </w:rPr>
        <w:t>The court clarified that Section 25(1) requires a complete or binding agreement to buy, which was absent in this case.</w:t>
      </w:r>
    </w:p>
    <w:p w14:paraId="114BB6A6" w14:textId="77777777" w:rsidR="00B5270C" w:rsidRPr="00B5270C" w:rsidRDefault="00182525" w:rsidP="00B5270C">
      <w:pPr>
        <w:pStyle w:val="NormalWeb"/>
        <w:numPr>
          <w:ilvl w:val="0"/>
          <w:numId w:val="8"/>
        </w:numPr>
        <w:spacing w:line="360" w:lineRule="auto"/>
        <w:rPr>
          <w:color w:val="000000" w:themeColor="text1"/>
        </w:rPr>
      </w:pPr>
      <w:r w:rsidRPr="00B5270C">
        <w:rPr>
          <w:rStyle w:val="Strong"/>
          <w:rFonts w:eastAsiaTheme="majorEastAsia"/>
          <w:color w:val="000000" w:themeColor="text1"/>
        </w:rPr>
        <w:t>Estoppel under Section 21(1)</w:t>
      </w:r>
    </w:p>
    <w:p w14:paraId="149C1552" w14:textId="7AA46F38" w:rsidR="00182525" w:rsidRPr="00B5270C" w:rsidRDefault="00182525" w:rsidP="00B5270C">
      <w:pPr>
        <w:pStyle w:val="NormalWeb"/>
        <w:spacing w:line="360" w:lineRule="auto"/>
        <w:rPr>
          <w:color w:val="000000" w:themeColor="text1"/>
        </w:rPr>
      </w:pPr>
      <w:r w:rsidRPr="00B5270C">
        <w:rPr>
          <w:color w:val="000000" w:themeColor="text1"/>
        </w:rPr>
        <w:t>Shaw also relied on estoppel, arguing that N’s actions (e.g., signing documents certifying the sale and issuing a transfer slip) indicated that L had the authority to sell. The court rejected this claim, reasoning that:</w:t>
      </w:r>
    </w:p>
    <w:p w14:paraId="42EAB1AC" w14:textId="77777777" w:rsidR="00182525" w:rsidRPr="00B5270C" w:rsidRDefault="00182525" w:rsidP="00B5270C">
      <w:pPr>
        <w:spacing w:before="100" w:beforeAutospacing="1" w:after="100" w:afterAutospacing="1" w:line="360" w:lineRule="auto"/>
        <w:rPr>
          <w:rFonts w:ascii="Times New Roman" w:hAnsi="Times New Roman"/>
          <w:b/>
          <w:bCs/>
          <w:color w:val="000000" w:themeColor="text1"/>
        </w:rPr>
      </w:pPr>
      <w:r w:rsidRPr="00B5270C">
        <w:rPr>
          <w:rFonts w:ascii="Times New Roman" w:hAnsi="Times New Roman"/>
          <w:color w:val="000000" w:themeColor="text1"/>
        </w:rPr>
        <w:t xml:space="preserve">Estoppel under Section 21(1) applies only </w:t>
      </w:r>
      <w:r w:rsidRPr="00B5270C">
        <w:rPr>
          <w:rFonts w:ascii="Times New Roman" w:hAnsi="Times New Roman"/>
          <w:b/>
          <w:bCs/>
          <w:color w:val="000000" w:themeColor="text1"/>
        </w:rPr>
        <w:t>where the true owner’s conduct unequivocally authorizes the seller to sell.</w:t>
      </w:r>
    </w:p>
    <w:p w14:paraId="40AEE6E1" w14:textId="77777777" w:rsidR="00182525" w:rsidRPr="00B5270C" w:rsidRDefault="00182525" w:rsidP="00B5270C">
      <w:pPr>
        <w:spacing w:before="100" w:beforeAutospacing="1" w:after="100" w:afterAutospacing="1" w:line="360" w:lineRule="auto"/>
        <w:rPr>
          <w:rFonts w:ascii="Times New Roman" w:hAnsi="Times New Roman"/>
          <w:color w:val="000000" w:themeColor="text1"/>
        </w:rPr>
      </w:pPr>
      <w:r w:rsidRPr="00B5270C">
        <w:rPr>
          <w:rFonts w:ascii="Times New Roman" w:hAnsi="Times New Roman"/>
          <w:color w:val="000000" w:themeColor="text1"/>
        </w:rPr>
        <w:t xml:space="preserve">The court found that the signed documents were not sufficient to establish such authority, as the transfer of ownership was </w:t>
      </w:r>
      <w:r w:rsidRPr="00B5270C">
        <w:rPr>
          <w:rFonts w:ascii="Times New Roman" w:hAnsi="Times New Roman"/>
          <w:b/>
          <w:bCs/>
          <w:color w:val="000000" w:themeColor="text1"/>
        </w:rPr>
        <w:t xml:space="preserve">conditional on the cheque being </w:t>
      </w:r>
      <w:proofErr w:type="spellStart"/>
      <w:r w:rsidRPr="00B5270C">
        <w:rPr>
          <w:rFonts w:ascii="Times New Roman" w:hAnsi="Times New Roman"/>
          <w:b/>
          <w:bCs/>
          <w:color w:val="000000" w:themeColor="text1"/>
        </w:rPr>
        <w:t>honored</w:t>
      </w:r>
      <w:proofErr w:type="spellEnd"/>
      <w:r w:rsidRPr="00B5270C">
        <w:rPr>
          <w:rFonts w:ascii="Times New Roman" w:hAnsi="Times New Roman"/>
          <w:color w:val="000000" w:themeColor="text1"/>
        </w:rPr>
        <w:t>.</w:t>
      </w:r>
    </w:p>
    <w:p w14:paraId="7CDDE070" w14:textId="77777777" w:rsidR="00B5270C" w:rsidRPr="00B5270C" w:rsidRDefault="00182525" w:rsidP="00B5270C">
      <w:pPr>
        <w:pStyle w:val="NormalWeb"/>
        <w:numPr>
          <w:ilvl w:val="0"/>
          <w:numId w:val="8"/>
        </w:numPr>
        <w:spacing w:line="360" w:lineRule="auto"/>
        <w:rPr>
          <w:color w:val="000000" w:themeColor="text1"/>
        </w:rPr>
      </w:pPr>
      <w:r w:rsidRPr="00B5270C">
        <w:rPr>
          <w:rStyle w:val="Strong"/>
          <w:rFonts w:eastAsiaTheme="majorEastAsia"/>
          <w:color w:val="000000" w:themeColor="text1"/>
        </w:rPr>
        <w:t>Interpretation of "Title" and Agreements to Sell</w:t>
      </w:r>
    </w:p>
    <w:p w14:paraId="10DC25F3" w14:textId="5E870529" w:rsidR="00182525" w:rsidRPr="00B5270C" w:rsidRDefault="00182525" w:rsidP="00B5270C">
      <w:pPr>
        <w:pStyle w:val="NormalWeb"/>
        <w:spacing w:line="360" w:lineRule="auto"/>
        <w:rPr>
          <w:color w:val="000000" w:themeColor="text1"/>
        </w:rPr>
      </w:pPr>
      <w:r w:rsidRPr="00B5270C">
        <w:rPr>
          <w:color w:val="000000" w:themeColor="text1"/>
        </w:rPr>
        <w:t>The court emphasized the distinction between "title" and "agreements to sell." It ruled that Section 21(1) applies only to completed sales where ownership is transferred, not to agreements contingent on conditions like payment.</w:t>
      </w:r>
    </w:p>
    <w:p w14:paraId="68A89771" w14:textId="77777777" w:rsidR="00182525" w:rsidRPr="00B5270C" w:rsidRDefault="00182525" w:rsidP="00B5270C">
      <w:pPr>
        <w:spacing w:before="100" w:beforeAutospacing="1" w:after="100" w:afterAutospacing="1" w:line="360" w:lineRule="auto"/>
        <w:rPr>
          <w:rFonts w:ascii="Times New Roman" w:hAnsi="Times New Roman"/>
          <w:color w:val="000000" w:themeColor="text1"/>
        </w:rPr>
      </w:pPr>
      <w:r w:rsidRPr="00B5270C">
        <w:rPr>
          <w:rFonts w:ascii="Times New Roman" w:hAnsi="Times New Roman"/>
          <w:color w:val="000000" w:themeColor="text1"/>
        </w:rPr>
        <w:t xml:space="preserve">As Shaw had not yet acquired ownership under the agreement, estoppel could not operate in his </w:t>
      </w:r>
      <w:proofErr w:type="spellStart"/>
      <w:r w:rsidRPr="00B5270C">
        <w:rPr>
          <w:rFonts w:ascii="Times New Roman" w:hAnsi="Times New Roman"/>
          <w:color w:val="000000" w:themeColor="text1"/>
        </w:rPr>
        <w:t>favor</w:t>
      </w:r>
      <w:proofErr w:type="spellEnd"/>
      <w:r w:rsidRPr="00B5270C">
        <w:rPr>
          <w:rFonts w:ascii="Times New Roman" w:hAnsi="Times New Roman"/>
          <w:color w:val="000000" w:themeColor="text1"/>
        </w:rPr>
        <w:t>.</w:t>
      </w:r>
    </w:p>
    <w:p w14:paraId="26C6C4C9" w14:textId="77777777" w:rsidR="00182525" w:rsidRPr="00B5270C" w:rsidRDefault="00311F89" w:rsidP="00B5270C">
      <w:pPr>
        <w:spacing w:line="360" w:lineRule="auto"/>
        <w:rPr>
          <w:rFonts w:ascii="Times New Roman" w:hAnsi="Times New Roman"/>
          <w:color w:val="000000" w:themeColor="text1"/>
        </w:rPr>
      </w:pPr>
      <w:r w:rsidRPr="00311F89">
        <w:rPr>
          <w:rFonts w:ascii="Times New Roman" w:hAnsi="Times New Roman"/>
          <w:noProof/>
          <w:color w:val="000000" w:themeColor="text1"/>
          <w14:ligatures w14:val="standardContextual"/>
        </w:rPr>
        <w:pict w14:anchorId="3AD07E60">
          <v:rect id="_x0000_i1030" alt="" style="width:451.3pt;height:.05pt;mso-width-percent:0;mso-height-percent:0;mso-width-percent:0;mso-height-percent:0" o:hralign="center" o:hrstd="t" o:hr="t" fillcolor="#a0a0a0" stroked="f"/>
        </w:pict>
      </w:r>
    </w:p>
    <w:p w14:paraId="32781ABA" w14:textId="77777777" w:rsidR="00182525" w:rsidRPr="00B5270C" w:rsidRDefault="00182525" w:rsidP="00B5270C">
      <w:pPr>
        <w:pStyle w:val="Heading4"/>
        <w:spacing w:line="360" w:lineRule="auto"/>
        <w:rPr>
          <w:rFonts w:ascii="Times New Roman" w:hAnsi="Times New Roman" w:cs="Times New Roman"/>
          <w:color w:val="000000" w:themeColor="text1"/>
        </w:rPr>
      </w:pPr>
      <w:r w:rsidRPr="00B5270C">
        <w:rPr>
          <w:rStyle w:val="Strong"/>
          <w:rFonts w:ascii="Times New Roman" w:hAnsi="Times New Roman" w:cs="Times New Roman"/>
          <w:b w:val="0"/>
          <w:bCs w:val="0"/>
          <w:color w:val="000000" w:themeColor="text1"/>
        </w:rPr>
        <w:lastRenderedPageBreak/>
        <w:t>Key Judicial Opinions</w:t>
      </w:r>
    </w:p>
    <w:p w14:paraId="0B74F4B1" w14:textId="77777777" w:rsidR="00B5270C" w:rsidRPr="00B5270C" w:rsidRDefault="00182525" w:rsidP="00B5270C">
      <w:pPr>
        <w:pStyle w:val="NormalWeb"/>
        <w:numPr>
          <w:ilvl w:val="0"/>
          <w:numId w:val="9"/>
        </w:numPr>
        <w:spacing w:line="360" w:lineRule="auto"/>
        <w:rPr>
          <w:color w:val="000000" w:themeColor="text1"/>
        </w:rPr>
      </w:pPr>
      <w:r w:rsidRPr="00B5270C">
        <w:rPr>
          <w:rStyle w:val="Strong"/>
          <w:rFonts w:eastAsiaTheme="majorEastAsia"/>
          <w:color w:val="000000" w:themeColor="text1"/>
        </w:rPr>
        <w:t>Master Grant</w:t>
      </w:r>
    </w:p>
    <w:p w14:paraId="44A624E4" w14:textId="41D46008" w:rsidR="00182525" w:rsidRPr="00B5270C" w:rsidRDefault="00182525" w:rsidP="00B5270C">
      <w:pPr>
        <w:pStyle w:val="NormalWeb"/>
        <w:spacing w:line="360" w:lineRule="auto"/>
        <w:rPr>
          <w:color w:val="000000" w:themeColor="text1"/>
        </w:rPr>
      </w:pPr>
      <w:r w:rsidRPr="00B5270C">
        <w:rPr>
          <w:color w:val="000000" w:themeColor="text1"/>
        </w:rPr>
        <w:t xml:space="preserve">Master Grant, at the initial hearing, </w:t>
      </w:r>
      <w:proofErr w:type="spellStart"/>
      <w:r w:rsidRPr="00B5270C">
        <w:rPr>
          <w:color w:val="000000" w:themeColor="text1"/>
        </w:rPr>
        <w:t>favored</w:t>
      </w:r>
      <w:proofErr w:type="spellEnd"/>
      <w:r w:rsidRPr="00B5270C">
        <w:rPr>
          <w:color w:val="000000" w:themeColor="text1"/>
        </w:rPr>
        <w:t xml:space="preserve"> N’s claim based on N’s affidavit denying a sale and asserting that L acted only as an agent. The Court of Appeal upheld this factual determination, finding no reason to overturn the Master’s findings.</w:t>
      </w:r>
    </w:p>
    <w:p w14:paraId="34E21812" w14:textId="77777777" w:rsidR="00182525" w:rsidRPr="00B5270C" w:rsidRDefault="00182525" w:rsidP="00B5270C">
      <w:pPr>
        <w:pStyle w:val="NormalWeb"/>
        <w:numPr>
          <w:ilvl w:val="0"/>
          <w:numId w:val="9"/>
        </w:numPr>
        <w:spacing w:line="360" w:lineRule="auto"/>
        <w:rPr>
          <w:color w:val="000000" w:themeColor="text1"/>
        </w:rPr>
      </w:pPr>
      <w:r w:rsidRPr="00B5270C">
        <w:rPr>
          <w:rStyle w:val="Strong"/>
          <w:rFonts w:eastAsiaTheme="majorEastAsia"/>
          <w:color w:val="000000" w:themeColor="text1"/>
        </w:rPr>
        <w:t>Court of Appeal</w:t>
      </w:r>
    </w:p>
    <w:p w14:paraId="60C22AD3" w14:textId="77777777" w:rsidR="00182525" w:rsidRPr="00B5270C" w:rsidRDefault="00182525" w:rsidP="00B5270C">
      <w:pPr>
        <w:spacing w:before="100" w:beforeAutospacing="1" w:after="100" w:afterAutospacing="1" w:line="360" w:lineRule="auto"/>
        <w:rPr>
          <w:rFonts w:ascii="Times New Roman" w:hAnsi="Times New Roman"/>
          <w:color w:val="000000" w:themeColor="text1"/>
        </w:rPr>
      </w:pPr>
      <w:r w:rsidRPr="00B5270C">
        <w:rPr>
          <w:rFonts w:ascii="Times New Roman" w:hAnsi="Times New Roman"/>
          <w:color w:val="000000" w:themeColor="text1"/>
        </w:rPr>
        <w:t>The court noted:</w:t>
      </w:r>
    </w:p>
    <w:p w14:paraId="13F1DB03" w14:textId="77777777" w:rsidR="00182525" w:rsidRPr="00B5270C" w:rsidRDefault="00182525" w:rsidP="00B5270C">
      <w:pPr>
        <w:pStyle w:val="NormalWeb"/>
        <w:spacing w:line="360" w:lineRule="auto"/>
        <w:rPr>
          <w:color w:val="000000" w:themeColor="text1"/>
        </w:rPr>
      </w:pPr>
      <w:r w:rsidRPr="00B5270C">
        <w:rPr>
          <w:color w:val="000000" w:themeColor="text1"/>
        </w:rPr>
        <w:t>"</w:t>
      </w:r>
      <w:r w:rsidRPr="00B5270C">
        <w:rPr>
          <w:b/>
          <w:bCs/>
          <w:color w:val="000000" w:themeColor="text1"/>
        </w:rPr>
        <w:t>Property was not to pass to Shaw until L was paid</w:t>
      </w:r>
      <w:r w:rsidRPr="00B5270C">
        <w:rPr>
          <w:color w:val="000000" w:themeColor="text1"/>
        </w:rPr>
        <w:t>. The words ‘where goods are sold’ in Section 21(1) made it inapplicable to agreements to sell."</w:t>
      </w:r>
    </w:p>
    <w:p w14:paraId="406BCD51" w14:textId="77777777" w:rsidR="00182525" w:rsidRPr="00B5270C" w:rsidRDefault="00182525" w:rsidP="00B5270C">
      <w:pPr>
        <w:spacing w:before="100" w:beforeAutospacing="1" w:after="100" w:afterAutospacing="1" w:line="360" w:lineRule="auto"/>
        <w:rPr>
          <w:rFonts w:ascii="Times New Roman" w:hAnsi="Times New Roman"/>
          <w:color w:val="000000" w:themeColor="text1"/>
        </w:rPr>
      </w:pPr>
      <w:r w:rsidRPr="00B5270C">
        <w:rPr>
          <w:rFonts w:ascii="Times New Roman" w:hAnsi="Times New Roman"/>
          <w:color w:val="000000" w:themeColor="text1"/>
        </w:rPr>
        <w:t>This interpretation limited the scope of estoppel to situations where ownership had definitively passed.</w:t>
      </w:r>
    </w:p>
    <w:p w14:paraId="159802DE" w14:textId="77777777" w:rsidR="00B5270C" w:rsidRPr="00B5270C" w:rsidRDefault="00182525" w:rsidP="00B5270C">
      <w:pPr>
        <w:pStyle w:val="NormalWeb"/>
        <w:numPr>
          <w:ilvl w:val="0"/>
          <w:numId w:val="9"/>
        </w:numPr>
        <w:spacing w:line="360" w:lineRule="auto"/>
        <w:rPr>
          <w:color w:val="000000" w:themeColor="text1"/>
        </w:rPr>
      </w:pPr>
      <w:r w:rsidRPr="00B5270C">
        <w:rPr>
          <w:rStyle w:val="Strong"/>
          <w:rFonts w:eastAsiaTheme="majorEastAsia"/>
          <w:color w:val="000000" w:themeColor="text1"/>
        </w:rPr>
        <w:t>Scholarly Commentary</w:t>
      </w:r>
    </w:p>
    <w:p w14:paraId="02B0845B" w14:textId="0E1D5023" w:rsidR="00182525" w:rsidRPr="00B5270C" w:rsidRDefault="00182525" w:rsidP="00B5270C">
      <w:pPr>
        <w:pStyle w:val="NormalWeb"/>
        <w:spacing w:line="360" w:lineRule="auto"/>
        <w:rPr>
          <w:color w:val="000000" w:themeColor="text1"/>
        </w:rPr>
      </w:pPr>
      <w:proofErr w:type="spellStart"/>
      <w:r w:rsidRPr="00B5270C">
        <w:rPr>
          <w:color w:val="000000" w:themeColor="text1"/>
        </w:rPr>
        <w:t>Thornely</w:t>
      </w:r>
      <w:proofErr w:type="spellEnd"/>
      <w:r w:rsidRPr="00B5270C">
        <w:rPr>
          <w:color w:val="000000" w:themeColor="text1"/>
        </w:rPr>
        <w:t xml:space="preserve"> highlights the Court of Appeal's strict application of statutory provisions, which left Shaw unprotected despite his good faith. He critiques the court's narrow view of estoppel, arguing that the doctrine should have broader applicability in cases where the true owner's conduct contributes to the purchaser’s loss.</w:t>
      </w:r>
    </w:p>
    <w:p w14:paraId="48D24810" w14:textId="77777777" w:rsidR="00182525" w:rsidRPr="00B5270C" w:rsidRDefault="00311F89" w:rsidP="00B5270C">
      <w:pPr>
        <w:spacing w:line="360" w:lineRule="auto"/>
        <w:rPr>
          <w:rFonts w:ascii="Times New Roman" w:hAnsi="Times New Roman"/>
          <w:color w:val="000000" w:themeColor="text1"/>
        </w:rPr>
      </w:pPr>
      <w:r w:rsidRPr="00311F89">
        <w:rPr>
          <w:rFonts w:ascii="Times New Roman" w:hAnsi="Times New Roman"/>
          <w:noProof/>
          <w:color w:val="000000" w:themeColor="text1"/>
          <w14:ligatures w14:val="standardContextual"/>
        </w:rPr>
        <w:pict w14:anchorId="6B8D0A21">
          <v:rect id="_x0000_i1029" alt="" style="width:451.3pt;height:.05pt;mso-width-percent:0;mso-height-percent:0;mso-width-percent:0;mso-height-percent:0" o:hralign="center" o:hrstd="t" o:hr="t" fillcolor="#a0a0a0" stroked="f"/>
        </w:pict>
      </w:r>
    </w:p>
    <w:p w14:paraId="46235FB6" w14:textId="77777777" w:rsidR="00182525" w:rsidRPr="00B5270C" w:rsidRDefault="00182525" w:rsidP="00B5270C">
      <w:pPr>
        <w:pStyle w:val="Heading4"/>
        <w:spacing w:line="360" w:lineRule="auto"/>
        <w:rPr>
          <w:rFonts w:ascii="Times New Roman" w:hAnsi="Times New Roman" w:cs="Times New Roman"/>
          <w:color w:val="000000" w:themeColor="text1"/>
        </w:rPr>
      </w:pPr>
      <w:r w:rsidRPr="00B5270C">
        <w:rPr>
          <w:rStyle w:val="Strong"/>
          <w:rFonts w:ascii="Times New Roman" w:hAnsi="Times New Roman" w:cs="Times New Roman"/>
          <w:b w:val="0"/>
          <w:bCs w:val="0"/>
          <w:color w:val="000000" w:themeColor="text1"/>
        </w:rPr>
        <w:t>Statutory Provisions</w:t>
      </w:r>
    </w:p>
    <w:p w14:paraId="561BA80D" w14:textId="77777777" w:rsidR="00182525" w:rsidRPr="00B5270C" w:rsidRDefault="00182525" w:rsidP="00B5270C">
      <w:pPr>
        <w:pStyle w:val="NormalWeb"/>
        <w:numPr>
          <w:ilvl w:val="0"/>
          <w:numId w:val="10"/>
        </w:numPr>
        <w:spacing w:line="360" w:lineRule="auto"/>
        <w:rPr>
          <w:color w:val="000000" w:themeColor="text1"/>
        </w:rPr>
      </w:pPr>
      <w:r w:rsidRPr="00B5270C">
        <w:rPr>
          <w:rStyle w:val="Strong"/>
          <w:rFonts w:eastAsiaTheme="majorEastAsia"/>
          <w:color w:val="000000" w:themeColor="text1"/>
        </w:rPr>
        <w:t>Section 25(1) SGA 1979</w:t>
      </w:r>
    </w:p>
    <w:p w14:paraId="7E0AD9E1" w14:textId="77777777" w:rsidR="00182525" w:rsidRPr="00B5270C" w:rsidRDefault="00182525" w:rsidP="00B5270C">
      <w:pPr>
        <w:pStyle w:val="NormalWeb"/>
        <w:spacing w:line="360" w:lineRule="auto"/>
        <w:rPr>
          <w:color w:val="000000" w:themeColor="text1"/>
        </w:rPr>
      </w:pPr>
      <w:r w:rsidRPr="00B5270C">
        <w:rPr>
          <w:color w:val="000000" w:themeColor="text1"/>
        </w:rPr>
        <w:t xml:space="preserve">"Where a person having bought or agreed to buy goods obtains, </w:t>
      </w:r>
      <w:r w:rsidRPr="00B5270C">
        <w:rPr>
          <w:b/>
          <w:bCs/>
          <w:color w:val="000000" w:themeColor="text1"/>
        </w:rPr>
        <w:t>with the consent of the seller</w:t>
      </w:r>
      <w:r w:rsidRPr="00B5270C">
        <w:rPr>
          <w:color w:val="000000" w:themeColor="text1"/>
        </w:rPr>
        <w:t>, possession of the goods, the delivery by that person under any sale to any person receiving the same in good faith and without notice of any lien or other right of the original seller in respect of the goods, has the same effect as if the person making the delivery were a mercantile agent in possession of the goods with the consent of the owner."</w:t>
      </w:r>
    </w:p>
    <w:p w14:paraId="015580CE" w14:textId="77777777" w:rsidR="00182525" w:rsidRPr="00B5270C" w:rsidRDefault="00182525" w:rsidP="00B5270C">
      <w:pPr>
        <w:pStyle w:val="NormalWeb"/>
        <w:numPr>
          <w:ilvl w:val="0"/>
          <w:numId w:val="10"/>
        </w:numPr>
        <w:spacing w:line="360" w:lineRule="auto"/>
        <w:rPr>
          <w:color w:val="000000" w:themeColor="text1"/>
        </w:rPr>
      </w:pPr>
      <w:r w:rsidRPr="00B5270C">
        <w:rPr>
          <w:rStyle w:val="Strong"/>
          <w:rFonts w:eastAsiaTheme="majorEastAsia"/>
          <w:color w:val="000000" w:themeColor="text1"/>
        </w:rPr>
        <w:t>Section 21(1) SGA 1979</w:t>
      </w:r>
    </w:p>
    <w:p w14:paraId="483B2040" w14:textId="77777777" w:rsidR="00182525" w:rsidRPr="00B5270C" w:rsidRDefault="00182525" w:rsidP="00B5270C">
      <w:pPr>
        <w:pStyle w:val="NormalWeb"/>
        <w:spacing w:line="360" w:lineRule="auto"/>
        <w:rPr>
          <w:color w:val="000000" w:themeColor="text1"/>
        </w:rPr>
      </w:pPr>
      <w:r w:rsidRPr="00B5270C">
        <w:rPr>
          <w:color w:val="000000" w:themeColor="text1"/>
        </w:rPr>
        <w:lastRenderedPageBreak/>
        <w:t xml:space="preserve">"Subject to this Act, where goods are sold by a person who is not their owner, and who does not sell them under the authority or with the consent of the owner, </w:t>
      </w:r>
      <w:r w:rsidRPr="00B5270C">
        <w:rPr>
          <w:b/>
          <w:bCs/>
          <w:color w:val="000000" w:themeColor="text1"/>
        </w:rPr>
        <w:t>the buyer acquires no better title to the goods than the seller had, unless the owner of the goods is by his conduct precluded from denying the seller’s authority to sell</w:t>
      </w:r>
      <w:r w:rsidRPr="00B5270C">
        <w:rPr>
          <w:color w:val="000000" w:themeColor="text1"/>
        </w:rPr>
        <w:t>."</w:t>
      </w:r>
    </w:p>
    <w:p w14:paraId="1F5100AF" w14:textId="77777777" w:rsidR="00182525" w:rsidRPr="00B5270C" w:rsidRDefault="00311F89" w:rsidP="00B5270C">
      <w:pPr>
        <w:spacing w:line="360" w:lineRule="auto"/>
        <w:rPr>
          <w:rFonts w:ascii="Times New Roman" w:hAnsi="Times New Roman"/>
          <w:color w:val="000000" w:themeColor="text1"/>
        </w:rPr>
      </w:pPr>
      <w:r w:rsidRPr="00311F89">
        <w:rPr>
          <w:rFonts w:ascii="Times New Roman" w:hAnsi="Times New Roman"/>
          <w:noProof/>
          <w:color w:val="000000" w:themeColor="text1"/>
          <w14:ligatures w14:val="standardContextual"/>
        </w:rPr>
        <w:pict w14:anchorId="1CCA8B5A">
          <v:rect id="_x0000_i1028" alt="" style="width:451.3pt;height:.05pt;mso-width-percent:0;mso-height-percent:0;mso-width-percent:0;mso-height-percent:0" o:hralign="center" o:hrstd="t" o:hr="t" fillcolor="#a0a0a0" stroked="f"/>
        </w:pict>
      </w:r>
    </w:p>
    <w:p w14:paraId="0193F8D1" w14:textId="77777777" w:rsidR="00182525" w:rsidRPr="00B5270C" w:rsidRDefault="00182525" w:rsidP="00B5270C">
      <w:pPr>
        <w:pStyle w:val="Heading4"/>
        <w:spacing w:line="360" w:lineRule="auto"/>
        <w:rPr>
          <w:rFonts w:ascii="Times New Roman" w:hAnsi="Times New Roman" w:cs="Times New Roman"/>
          <w:color w:val="000000" w:themeColor="text1"/>
        </w:rPr>
      </w:pPr>
      <w:r w:rsidRPr="00B5270C">
        <w:rPr>
          <w:rStyle w:val="Strong"/>
          <w:rFonts w:ascii="Times New Roman" w:hAnsi="Times New Roman" w:cs="Times New Roman"/>
          <w:b w:val="0"/>
          <w:bCs w:val="0"/>
          <w:color w:val="000000" w:themeColor="text1"/>
        </w:rPr>
        <w:t>Policy Implications and Critique</w:t>
      </w:r>
    </w:p>
    <w:p w14:paraId="24BD2918" w14:textId="77777777" w:rsidR="00182525" w:rsidRPr="00B5270C" w:rsidRDefault="00182525" w:rsidP="00B5270C">
      <w:pPr>
        <w:pStyle w:val="NormalWeb"/>
        <w:spacing w:line="360" w:lineRule="auto"/>
        <w:rPr>
          <w:color w:val="000000" w:themeColor="text1"/>
        </w:rPr>
      </w:pPr>
      <w:proofErr w:type="spellStart"/>
      <w:r w:rsidRPr="00B5270C">
        <w:rPr>
          <w:color w:val="000000" w:themeColor="text1"/>
        </w:rPr>
        <w:t>Thornely</w:t>
      </w:r>
      <w:proofErr w:type="spellEnd"/>
      <w:r w:rsidRPr="00B5270C">
        <w:rPr>
          <w:color w:val="000000" w:themeColor="text1"/>
        </w:rPr>
        <w:t xml:space="preserve"> critiques the court's approach as overly rigid, leaving good faith purchasers like Shaw without remedies:</w:t>
      </w:r>
    </w:p>
    <w:p w14:paraId="07DE35EB" w14:textId="77777777" w:rsidR="00182525" w:rsidRPr="00B5270C" w:rsidRDefault="00182525" w:rsidP="00B5270C">
      <w:pPr>
        <w:numPr>
          <w:ilvl w:val="0"/>
          <w:numId w:val="11"/>
        </w:numPr>
        <w:spacing w:before="100" w:beforeAutospacing="1" w:after="100" w:afterAutospacing="1" w:line="360" w:lineRule="auto"/>
        <w:rPr>
          <w:rFonts w:ascii="Times New Roman" w:hAnsi="Times New Roman"/>
          <w:color w:val="000000" w:themeColor="text1"/>
        </w:rPr>
      </w:pPr>
      <w:r w:rsidRPr="00B5270C">
        <w:rPr>
          <w:rStyle w:val="Strong"/>
          <w:rFonts w:ascii="Times New Roman" w:eastAsiaTheme="majorEastAsia" w:hAnsi="Times New Roman"/>
          <w:color w:val="000000" w:themeColor="text1"/>
        </w:rPr>
        <w:t>Pragmatism vs. Strict Application</w:t>
      </w:r>
      <w:r w:rsidRPr="00B5270C">
        <w:rPr>
          <w:rFonts w:ascii="Times New Roman" w:hAnsi="Times New Roman"/>
          <w:color w:val="000000" w:themeColor="text1"/>
        </w:rPr>
        <w:t>: While the court adhered to statutory text, this strictness disregarded commercial realities where buyers cannot easily verify sellers' authority.</w:t>
      </w:r>
    </w:p>
    <w:p w14:paraId="72C74030" w14:textId="77777777" w:rsidR="00182525" w:rsidRPr="00B5270C" w:rsidRDefault="00182525" w:rsidP="00B5270C">
      <w:pPr>
        <w:numPr>
          <w:ilvl w:val="0"/>
          <w:numId w:val="11"/>
        </w:numPr>
        <w:spacing w:before="100" w:beforeAutospacing="1" w:after="100" w:afterAutospacing="1" w:line="360" w:lineRule="auto"/>
        <w:rPr>
          <w:rFonts w:ascii="Times New Roman" w:hAnsi="Times New Roman"/>
          <w:color w:val="000000" w:themeColor="text1"/>
        </w:rPr>
      </w:pPr>
      <w:r w:rsidRPr="00B5270C">
        <w:rPr>
          <w:rStyle w:val="Strong"/>
          <w:rFonts w:ascii="Times New Roman" w:eastAsiaTheme="majorEastAsia" w:hAnsi="Times New Roman"/>
          <w:color w:val="000000" w:themeColor="text1"/>
        </w:rPr>
        <w:t>Reform Suggestions</w:t>
      </w:r>
      <w:r w:rsidRPr="00B5270C">
        <w:rPr>
          <w:rFonts w:ascii="Times New Roman" w:hAnsi="Times New Roman"/>
          <w:color w:val="000000" w:themeColor="text1"/>
        </w:rPr>
        <w:t xml:space="preserve">: </w:t>
      </w:r>
      <w:proofErr w:type="spellStart"/>
      <w:r w:rsidRPr="00B5270C">
        <w:rPr>
          <w:rFonts w:ascii="Times New Roman" w:hAnsi="Times New Roman"/>
          <w:color w:val="000000" w:themeColor="text1"/>
        </w:rPr>
        <w:t>Thornely</w:t>
      </w:r>
      <w:proofErr w:type="spellEnd"/>
      <w:r w:rsidRPr="00B5270C">
        <w:rPr>
          <w:rFonts w:ascii="Times New Roman" w:hAnsi="Times New Roman"/>
          <w:color w:val="000000" w:themeColor="text1"/>
        </w:rPr>
        <w:t xml:space="preserve"> calls for legislative reform to clarify and unify the law, emphasizing the need to address gaps in protection for good faith purchasers.</w:t>
      </w:r>
    </w:p>
    <w:p w14:paraId="7E21D9C5" w14:textId="3A9EE469" w:rsidR="00182525" w:rsidRPr="00B5270C" w:rsidRDefault="00311F89" w:rsidP="00B5270C">
      <w:pPr>
        <w:pStyle w:val="Heading4"/>
        <w:spacing w:line="360" w:lineRule="auto"/>
        <w:rPr>
          <w:rStyle w:val="Strong"/>
          <w:rFonts w:ascii="Times New Roman" w:hAnsi="Times New Roman" w:cs="Times New Roman"/>
          <w:b w:val="0"/>
          <w:bCs w:val="0"/>
          <w:color w:val="000000" w:themeColor="text1"/>
        </w:rPr>
      </w:pPr>
      <w:r w:rsidRPr="00311F89">
        <w:rPr>
          <w:rFonts w:ascii="Times New Roman" w:hAnsi="Times New Roman" w:cs="Times New Roman"/>
          <w:noProof/>
          <w:color w:val="000000" w:themeColor="text1"/>
          <w14:ligatures w14:val="standardContextual"/>
        </w:rPr>
        <w:pict w14:anchorId="7CAD5E24">
          <v:rect id="_x0000_i1027" alt="" style="width:451.3pt;height:.05pt;mso-width-percent:0;mso-height-percent:0;mso-width-percent:0;mso-height-percent:0" o:hralign="center" o:hrstd="t" o:hr="t" fillcolor="#a0a0a0" stroked="f"/>
        </w:pict>
      </w:r>
    </w:p>
    <w:p w14:paraId="67FD4FC3" w14:textId="095604AF" w:rsidR="00182525" w:rsidRPr="00487994" w:rsidRDefault="00182525" w:rsidP="00B5270C">
      <w:pPr>
        <w:pStyle w:val="Heading4"/>
        <w:spacing w:line="360" w:lineRule="auto"/>
        <w:rPr>
          <w:rFonts w:ascii="Times New Roman" w:hAnsi="Times New Roman" w:cs="Times New Roman"/>
          <w:i w:val="0"/>
          <w:iCs w:val="0"/>
          <w:color w:val="000000" w:themeColor="text1"/>
          <w:lang w:val="en-HK"/>
        </w:rPr>
      </w:pPr>
      <w:r w:rsidRPr="00487994">
        <w:rPr>
          <w:rStyle w:val="Strong"/>
          <w:rFonts w:ascii="Times New Roman" w:hAnsi="Times New Roman" w:cs="Times New Roman"/>
          <w:i w:val="0"/>
          <w:iCs w:val="0"/>
          <w:color w:val="000000" w:themeColor="text1"/>
        </w:rPr>
        <w:t>4</w:t>
      </w:r>
      <w:r w:rsidRPr="00487994">
        <w:rPr>
          <w:rStyle w:val="Strong"/>
          <w:rFonts w:ascii="Times New Roman" w:hAnsi="Times New Roman" w:cs="Times New Roman"/>
          <w:i w:val="0"/>
          <w:iCs w:val="0"/>
          <w:color w:val="000000" w:themeColor="text1"/>
        </w:rPr>
        <w:t>. Legislative and Policy Critique</w:t>
      </w:r>
    </w:p>
    <w:p w14:paraId="7BE9CD78" w14:textId="77777777" w:rsidR="00182525" w:rsidRPr="00B5270C" w:rsidRDefault="00182525" w:rsidP="00B5270C">
      <w:pPr>
        <w:pStyle w:val="NormalWeb"/>
        <w:spacing w:line="360" w:lineRule="auto"/>
        <w:rPr>
          <w:color w:val="000000" w:themeColor="text1"/>
        </w:rPr>
      </w:pPr>
      <w:proofErr w:type="spellStart"/>
      <w:r w:rsidRPr="00B5270C">
        <w:rPr>
          <w:color w:val="000000" w:themeColor="text1"/>
        </w:rPr>
        <w:t>Thornely</w:t>
      </w:r>
      <w:proofErr w:type="spellEnd"/>
      <w:r w:rsidRPr="00B5270C">
        <w:rPr>
          <w:color w:val="000000" w:themeColor="text1"/>
        </w:rPr>
        <w:t xml:space="preserve"> critiques the overlapping and inconsistent statutory provisions between the SGA and Factors Act. The partial duplication of Factors Act provisions in the SGA creates confusion. Additionally, the outdated definition of "mercantile agent" under Section 2(1) of the Factors Act complicates modern applications.</w:t>
      </w:r>
    </w:p>
    <w:p w14:paraId="537C686F" w14:textId="77777777" w:rsidR="00182525" w:rsidRPr="00B5270C" w:rsidRDefault="00311F89" w:rsidP="00B5270C">
      <w:pPr>
        <w:spacing w:line="360" w:lineRule="auto"/>
        <w:rPr>
          <w:rFonts w:ascii="Times New Roman" w:hAnsi="Times New Roman"/>
          <w:color w:val="000000" w:themeColor="text1"/>
        </w:rPr>
      </w:pPr>
      <w:r w:rsidRPr="00311F89">
        <w:rPr>
          <w:rFonts w:ascii="Times New Roman" w:hAnsi="Times New Roman"/>
          <w:noProof/>
          <w:color w:val="000000" w:themeColor="text1"/>
          <w14:ligatures w14:val="standardContextual"/>
        </w:rPr>
        <w:pict w14:anchorId="15B37FEB">
          <v:rect id="_x0000_i1026" alt="" style="width:451.3pt;height:.05pt;mso-width-percent:0;mso-height-percent:0;mso-width-percent:0;mso-height-percent:0" o:hralign="center" o:hrstd="t" o:hr="t" fillcolor="#a0a0a0" stroked="f"/>
        </w:pict>
      </w:r>
    </w:p>
    <w:p w14:paraId="66BF3D1E" w14:textId="0F31B4AB" w:rsidR="00182525" w:rsidRPr="00487994" w:rsidRDefault="00182525" w:rsidP="00B5270C">
      <w:pPr>
        <w:pStyle w:val="Heading4"/>
        <w:spacing w:line="360" w:lineRule="auto"/>
        <w:rPr>
          <w:rFonts w:ascii="Times New Roman" w:hAnsi="Times New Roman" w:cs="Times New Roman"/>
          <w:i w:val="0"/>
          <w:iCs w:val="0"/>
          <w:color w:val="000000" w:themeColor="text1"/>
        </w:rPr>
      </w:pPr>
      <w:r w:rsidRPr="00487994">
        <w:rPr>
          <w:rStyle w:val="Strong"/>
          <w:rFonts w:ascii="Times New Roman" w:hAnsi="Times New Roman" w:cs="Times New Roman"/>
          <w:i w:val="0"/>
          <w:iCs w:val="0"/>
          <w:color w:val="000000" w:themeColor="text1"/>
        </w:rPr>
        <w:t>5</w:t>
      </w:r>
      <w:r w:rsidRPr="00487994">
        <w:rPr>
          <w:rStyle w:val="Strong"/>
          <w:rFonts w:ascii="Times New Roman" w:hAnsi="Times New Roman" w:cs="Times New Roman"/>
          <w:i w:val="0"/>
          <w:iCs w:val="0"/>
          <w:color w:val="000000" w:themeColor="text1"/>
        </w:rPr>
        <w:t>. Call for Reform</w:t>
      </w:r>
    </w:p>
    <w:p w14:paraId="51989D16" w14:textId="77777777" w:rsidR="00182525" w:rsidRPr="00B5270C" w:rsidRDefault="00182525" w:rsidP="00B5270C">
      <w:pPr>
        <w:pStyle w:val="NormalWeb"/>
        <w:spacing w:line="360" w:lineRule="auto"/>
        <w:rPr>
          <w:color w:val="000000" w:themeColor="text1"/>
        </w:rPr>
      </w:pPr>
      <w:proofErr w:type="spellStart"/>
      <w:r w:rsidRPr="00B5270C">
        <w:rPr>
          <w:color w:val="000000" w:themeColor="text1"/>
        </w:rPr>
        <w:t>Thornely</w:t>
      </w:r>
      <w:proofErr w:type="spellEnd"/>
      <w:r w:rsidRPr="00B5270C">
        <w:rPr>
          <w:color w:val="000000" w:themeColor="text1"/>
        </w:rPr>
        <w:t xml:space="preserve"> calls for comprehensive reform to align the statutory framework with modern commercial practices. He suggests unifying the SGA and Factors Act to reduce confusion and align with international standards, as seen in U.S. commercial law. He also advocates for pragmatic statutory interpretation to balance fairness with commercial certainty.</w:t>
      </w:r>
    </w:p>
    <w:p w14:paraId="66CF3220" w14:textId="77777777" w:rsidR="00182525" w:rsidRPr="00B5270C" w:rsidRDefault="00311F89" w:rsidP="00B5270C">
      <w:pPr>
        <w:spacing w:line="360" w:lineRule="auto"/>
        <w:rPr>
          <w:rFonts w:ascii="Times New Roman" w:hAnsi="Times New Roman"/>
          <w:color w:val="000000" w:themeColor="text1"/>
        </w:rPr>
      </w:pPr>
      <w:r w:rsidRPr="00311F89">
        <w:rPr>
          <w:rFonts w:ascii="Times New Roman" w:hAnsi="Times New Roman"/>
          <w:noProof/>
          <w:color w:val="000000" w:themeColor="text1"/>
          <w14:ligatures w14:val="standardContextual"/>
        </w:rPr>
        <w:pict w14:anchorId="223F0DB3">
          <v:rect id="_x0000_i1025" alt="" style="width:451.3pt;height:.05pt;mso-width-percent:0;mso-height-percent:0;mso-width-percent:0;mso-height-percent:0" o:hralign="center" o:hrstd="t" o:hr="t" fillcolor="#a0a0a0" stroked="f"/>
        </w:pict>
      </w:r>
    </w:p>
    <w:p w14:paraId="35C2ED5D" w14:textId="14439AA5" w:rsidR="00182525" w:rsidRPr="003A71DB" w:rsidRDefault="00182525" w:rsidP="00B5270C">
      <w:pPr>
        <w:pStyle w:val="Heading4"/>
        <w:spacing w:line="360" w:lineRule="auto"/>
        <w:rPr>
          <w:rFonts w:ascii="Times New Roman" w:hAnsi="Times New Roman" w:cs="Times New Roman"/>
          <w:i w:val="0"/>
          <w:iCs w:val="0"/>
          <w:color w:val="000000" w:themeColor="text1"/>
        </w:rPr>
      </w:pPr>
      <w:r w:rsidRPr="003A71DB">
        <w:rPr>
          <w:rStyle w:val="Strong"/>
          <w:rFonts w:ascii="Times New Roman" w:hAnsi="Times New Roman" w:cs="Times New Roman"/>
          <w:i w:val="0"/>
          <w:iCs w:val="0"/>
          <w:color w:val="000000" w:themeColor="text1"/>
        </w:rPr>
        <w:lastRenderedPageBreak/>
        <w:t>6</w:t>
      </w:r>
      <w:r w:rsidRPr="003A71DB">
        <w:rPr>
          <w:rStyle w:val="Strong"/>
          <w:rFonts w:ascii="Times New Roman" w:hAnsi="Times New Roman" w:cs="Times New Roman"/>
          <w:i w:val="0"/>
          <w:iCs w:val="0"/>
          <w:color w:val="000000" w:themeColor="text1"/>
        </w:rPr>
        <w:t>. Conclusion</w:t>
      </w:r>
    </w:p>
    <w:p w14:paraId="1218C64E" w14:textId="77777777" w:rsidR="00182525" w:rsidRPr="00B5270C" w:rsidRDefault="00182525" w:rsidP="00B5270C">
      <w:pPr>
        <w:pStyle w:val="NormalWeb"/>
        <w:spacing w:line="360" w:lineRule="auto"/>
        <w:rPr>
          <w:color w:val="000000" w:themeColor="text1"/>
        </w:rPr>
      </w:pPr>
      <w:r w:rsidRPr="00B5270C">
        <w:rPr>
          <w:color w:val="000000" w:themeColor="text1"/>
        </w:rPr>
        <w:t xml:space="preserve">The article concludes that the nemo </w:t>
      </w:r>
      <w:proofErr w:type="spellStart"/>
      <w:r w:rsidRPr="00B5270C">
        <w:rPr>
          <w:color w:val="000000" w:themeColor="text1"/>
        </w:rPr>
        <w:t>dat</w:t>
      </w:r>
      <w:proofErr w:type="spellEnd"/>
      <w:r w:rsidRPr="00B5270C">
        <w:rPr>
          <w:color w:val="000000" w:themeColor="text1"/>
        </w:rPr>
        <w:t xml:space="preserve"> rule and its exceptions </w:t>
      </w:r>
      <w:r w:rsidRPr="00B5270C">
        <w:rPr>
          <w:b/>
          <w:bCs/>
          <w:color w:val="000000" w:themeColor="text1"/>
        </w:rPr>
        <w:t xml:space="preserve">fail to strike a consistent balance between true owners and good faith purchasers. </w:t>
      </w:r>
      <w:r w:rsidRPr="00B5270C">
        <w:rPr>
          <w:color w:val="000000" w:themeColor="text1"/>
        </w:rPr>
        <w:t xml:space="preserve">While protecting true ownership, the law often leaves good faith purchasers vulnerable, creating an urgent need for legislative modernization. </w:t>
      </w:r>
      <w:proofErr w:type="spellStart"/>
      <w:r w:rsidRPr="00B5270C">
        <w:rPr>
          <w:color w:val="000000" w:themeColor="text1"/>
        </w:rPr>
        <w:t>Thornely</w:t>
      </w:r>
      <w:proofErr w:type="spellEnd"/>
      <w:r w:rsidRPr="00B5270C">
        <w:rPr>
          <w:color w:val="000000" w:themeColor="text1"/>
        </w:rPr>
        <w:t xml:space="preserve"> questions why English law lags in updating this critical area, emphasizing the need for harmonized and equitable solutions.</w:t>
      </w:r>
    </w:p>
    <w:p w14:paraId="21A89BBA" w14:textId="739132DC" w:rsidR="00CD39F1" w:rsidRPr="00B5270C" w:rsidRDefault="00CD39F1" w:rsidP="00B5270C">
      <w:pPr>
        <w:spacing w:line="360" w:lineRule="auto"/>
        <w:rPr>
          <w:rFonts w:ascii="Times New Roman" w:hAnsi="Times New Roman"/>
          <w:color w:val="000000" w:themeColor="text1"/>
        </w:rPr>
      </w:pPr>
    </w:p>
    <w:sectPr w:rsidR="00CD39F1" w:rsidRPr="00B527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F6E14"/>
    <w:multiLevelType w:val="multilevel"/>
    <w:tmpl w:val="9ECA4FC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C670BDB"/>
    <w:multiLevelType w:val="multilevel"/>
    <w:tmpl w:val="29DAE3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8E96A86"/>
    <w:multiLevelType w:val="multilevel"/>
    <w:tmpl w:val="ED904B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F901525"/>
    <w:multiLevelType w:val="multilevel"/>
    <w:tmpl w:val="E7EE331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2B4700D"/>
    <w:multiLevelType w:val="multilevel"/>
    <w:tmpl w:val="03CCF4D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957063B"/>
    <w:multiLevelType w:val="multilevel"/>
    <w:tmpl w:val="625CCB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1687CAC"/>
    <w:multiLevelType w:val="multilevel"/>
    <w:tmpl w:val="44AE20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86459FC"/>
    <w:multiLevelType w:val="multilevel"/>
    <w:tmpl w:val="E4C85B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E265AA9"/>
    <w:multiLevelType w:val="multilevel"/>
    <w:tmpl w:val="08422FB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786"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4620BC9"/>
    <w:multiLevelType w:val="multilevel"/>
    <w:tmpl w:val="A7E6B4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61C2C29"/>
    <w:multiLevelType w:val="multilevel"/>
    <w:tmpl w:val="972271C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62873163"/>
    <w:multiLevelType w:val="multilevel"/>
    <w:tmpl w:val="C084FC3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69407D19"/>
    <w:multiLevelType w:val="multilevel"/>
    <w:tmpl w:val="EEDACC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6C5247BE"/>
    <w:multiLevelType w:val="multilevel"/>
    <w:tmpl w:val="026EA6B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751901686">
    <w:abstractNumId w:val="4"/>
  </w:num>
  <w:num w:numId="2" w16cid:durableId="1940597155">
    <w:abstractNumId w:val="11"/>
  </w:num>
  <w:num w:numId="3" w16cid:durableId="80491164">
    <w:abstractNumId w:val="2"/>
  </w:num>
  <w:num w:numId="4" w16cid:durableId="664090062">
    <w:abstractNumId w:val="6"/>
  </w:num>
  <w:num w:numId="5" w16cid:durableId="1230967627">
    <w:abstractNumId w:val="1"/>
  </w:num>
  <w:num w:numId="6" w16cid:durableId="1654405842">
    <w:abstractNumId w:val="3"/>
  </w:num>
  <w:num w:numId="7" w16cid:durableId="1041443628">
    <w:abstractNumId w:val="9"/>
  </w:num>
  <w:num w:numId="8" w16cid:durableId="1757089899">
    <w:abstractNumId w:val="13"/>
  </w:num>
  <w:num w:numId="9" w16cid:durableId="1497569786">
    <w:abstractNumId w:val="0"/>
  </w:num>
  <w:num w:numId="10" w16cid:durableId="1089352183">
    <w:abstractNumId w:val="12"/>
  </w:num>
  <w:num w:numId="11" w16cid:durableId="2132085217">
    <w:abstractNumId w:val="7"/>
  </w:num>
  <w:num w:numId="12" w16cid:durableId="387269007">
    <w:abstractNumId w:val="5"/>
  </w:num>
  <w:num w:numId="13" w16cid:durableId="109862970">
    <w:abstractNumId w:val="8"/>
  </w:num>
  <w:num w:numId="14" w16cid:durableId="10274123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BBD"/>
    <w:rsid w:val="00012117"/>
    <w:rsid w:val="000147A9"/>
    <w:rsid w:val="00042755"/>
    <w:rsid w:val="0006107D"/>
    <w:rsid w:val="000623A3"/>
    <w:rsid w:val="000719DA"/>
    <w:rsid w:val="00094D65"/>
    <w:rsid w:val="000A2074"/>
    <w:rsid w:val="000A3F4D"/>
    <w:rsid w:val="000A64DA"/>
    <w:rsid w:val="000C4ABC"/>
    <w:rsid w:val="000C58D7"/>
    <w:rsid w:val="000E15ED"/>
    <w:rsid w:val="00101CCF"/>
    <w:rsid w:val="001372F7"/>
    <w:rsid w:val="00175AB8"/>
    <w:rsid w:val="00182525"/>
    <w:rsid w:val="0019260C"/>
    <w:rsid w:val="001A41D2"/>
    <w:rsid w:val="001B0E31"/>
    <w:rsid w:val="001D360C"/>
    <w:rsid w:val="001E2584"/>
    <w:rsid w:val="002033A2"/>
    <w:rsid w:val="00223837"/>
    <w:rsid w:val="00235BBD"/>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1F89"/>
    <w:rsid w:val="0031474F"/>
    <w:rsid w:val="00315815"/>
    <w:rsid w:val="003278F5"/>
    <w:rsid w:val="00330665"/>
    <w:rsid w:val="00342A18"/>
    <w:rsid w:val="00361975"/>
    <w:rsid w:val="00376E23"/>
    <w:rsid w:val="0039416B"/>
    <w:rsid w:val="003A1271"/>
    <w:rsid w:val="003A5DF7"/>
    <w:rsid w:val="003A71DB"/>
    <w:rsid w:val="003B3510"/>
    <w:rsid w:val="003C116C"/>
    <w:rsid w:val="003D0CDD"/>
    <w:rsid w:val="003E1CAA"/>
    <w:rsid w:val="0040210F"/>
    <w:rsid w:val="004222FD"/>
    <w:rsid w:val="004319FA"/>
    <w:rsid w:val="00442F56"/>
    <w:rsid w:val="0044616D"/>
    <w:rsid w:val="00474DD1"/>
    <w:rsid w:val="004751B5"/>
    <w:rsid w:val="0048097D"/>
    <w:rsid w:val="0048175B"/>
    <w:rsid w:val="004845CE"/>
    <w:rsid w:val="00487994"/>
    <w:rsid w:val="004A553E"/>
    <w:rsid w:val="004B1048"/>
    <w:rsid w:val="004D01FE"/>
    <w:rsid w:val="004D582C"/>
    <w:rsid w:val="004D5B1A"/>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270C"/>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3357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C9E60"/>
  <w15:chartTrackingRefBased/>
  <w15:docId w15:val="{E36E6635-D711-744A-A26D-0C9916422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235B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5B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35BB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35BB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35BB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35BB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35BB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5BB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35BB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BBD"/>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235BBD"/>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235BBD"/>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235BBD"/>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235BBD"/>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235BBD"/>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235BBD"/>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235BBD"/>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235BBD"/>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235B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BBD"/>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235BB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BBD"/>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235B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5BBD"/>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235BBD"/>
    <w:pPr>
      <w:ind w:left="720"/>
      <w:contextualSpacing/>
    </w:pPr>
  </w:style>
  <w:style w:type="character" w:styleId="IntenseEmphasis">
    <w:name w:val="Intense Emphasis"/>
    <w:basedOn w:val="DefaultParagraphFont"/>
    <w:uiPriority w:val="21"/>
    <w:qFormat/>
    <w:rsid w:val="00235BBD"/>
    <w:rPr>
      <w:i/>
      <w:iCs/>
      <w:color w:val="2F5496" w:themeColor="accent1" w:themeShade="BF"/>
    </w:rPr>
  </w:style>
  <w:style w:type="paragraph" w:styleId="IntenseQuote">
    <w:name w:val="Intense Quote"/>
    <w:basedOn w:val="Normal"/>
    <w:next w:val="Normal"/>
    <w:link w:val="IntenseQuoteChar"/>
    <w:uiPriority w:val="30"/>
    <w:qFormat/>
    <w:rsid w:val="00235B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BBD"/>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235BBD"/>
    <w:rPr>
      <w:b/>
      <w:bCs/>
      <w:smallCaps/>
      <w:color w:val="2F5496" w:themeColor="accent1" w:themeShade="BF"/>
      <w:spacing w:val="5"/>
    </w:rPr>
  </w:style>
  <w:style w:type="character" w:styleId="Strong">
    <w:name w:val="Strong"/>
    <w:basedOn w:val="DefaultParagraphFont"/>
    <w:uiPriority w:val="22"/>
    <w:qFormat/>
    <w:rsid w:val="00182525"/>
    <w:rPr>
      <w:b/>
      <w:bCs/>
    </w:rPr>
  </w:style>
  <w:style w:type="paragraph" w:styleId="NormalWeb">
    <w:name w:val="Normal (Web)"/>
    <w:basedOn w:val="Normal"/>
    <w:uiPriority w:val="99"/>
    <w:unhideWhenUsed/>
    <w:rsid w:val="00182525"/>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1825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9236995">
      <w:bodyDiv w:val="1"/>
      <w:marLeft w:val="0"/>
      <w:marRight w:val="0"/>
      <w:marTop w:val="0"/>
      <w:marBottom w:val="0"/>
      <w:divBdr>
        <w:top w:val="none" w:sz="0" w:space="0" w:color="auto"/>
        <w:left w:val="none" w:sz="0" w:space="0" w:color="auto"/>
        <w:bottom w:val="none" w:sz="0" w:space="0" w:color="auto"/>
        <w:right w:val="none" w:sz="0" w:space="0" w:color="auto"/>
      </w:divBdr>
      <w:divsChild>
        <w:div w:id="1774011206">
          <w:blockQuote w:val="1"/>
          <w:marLeft w:val="720"/>
          <w:marRight w:val="720"/>
          <w:marTop w:val="100"/>
          <w:marBottom w:val="100"/>
          <w:divBdr>
            <w:top w:val="none" w:sz="0" w:space="0" w:color="auto"/>
            <w:left w:val="none" w:sz="0" w:space="0" w:color="auto"/>
            <w:bottom w:val="none" w:sz="0" w:space="0" w:color="auto"/>
            <w:right w:val="none" w:sz="0" w:space="0" w:color="auto"/>
          </w:divBdr>
        </w:div>
        <w:div w:id="22177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306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076659">
      <w:bodyDiv w:val="1"/>
      <w:marLeft w:val="0"/>
      <w:marRight w:val="0"/>
      <w:marTop w:val="0"/>
      <w:marBottom w:val="0"/>
      <w:divBdr>
        <w:top w:val="none" w:sz="0" w:space="0" w:color="auto"/>
        <w:left w:val="none" w:sz="0" w:space="0" w:color="auto"/>
        <w:bottom w:val="none" w:sz="0" w:space="0" w:color="auto"/>
        <w:right w:val="none" w:sz="0" w:space="0" w:color="auto"/>
      </w:divBdr>
      <w:divsChild>
        <w:div w:id="1253469554">
          <w:blockQuote w:val="1"/>
          <w:marLeft w:val="720"/>
          <w:marRight w:val="720"/>
          <w:marTop w:val="100"/>
          <w:marBottom w:val="100"/>
          <w:divBdr>
            <w:top w:val="none" w:sz="0" w:space="0" w:color="auto"/>
            <w:left w:val="none" w:sz="0" w:space="0" w:color="auto"/>
            <w:bottom w:val="none" w:sz="0" w:space="0" w:color="auto"/>
            <w:right w:val="none" w:sz="0" w:space="0" w:color="auto"/>
          </w:divBdr>
        </w:div>
        <w:div w:id="243154176">
          <w:blockQuote w:val="1"/>
          <w:marLeft w:val="720"/>
          <w:marRight w:val="720"/>
          <w:marTop w:val="100"/>
          <w:marBottom w:val="100"/>
          <w:divBdr>
            <w:top w:val="none" w:sz="0" w:space="0" w:color="auto"/>
            <w:left w:val="none" w:sz="0" w:space="0" w:color="auto"/>
            <w:bottom w:val="none" w:sz="0" w:space="0" w:color="auto"/>
            <w:right w:val="none" w:sz="0" w:space="0" w:color="auto"/>
          </w:divBdr>
        </w:div>
        <w:div w:id="833447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2467387">
      <w:bodyDiv w:val="1"/>
      <w:marLeft w:val="0"/>
      <w:marRight w:val="0"/>
      <w:marTop w:val="0"/>
      <w:marBottom w:val="0"/>
      <w:divBdr>
        <w:top w:val="none" w:sz="0" w:space="0" w:color="auto"/>
        <w:left w:val="none" w:sz="0" w:space="0" w:color="auto"/>
        <w:bottom w:val="none" w:sz="0" w:space="0" w:color="auto"/>
        <w:right w:val="none" w:sz="0" w:space="0" w:color="auto"/>
      </w:divBdr>
    </w:div>
    <w:div w:id="1809932819">
      <w:bodyDiv w:val="1"/>
      <w:marLeft w:val="0"/>
      <w:marRight w:val="0"/>
      <w:marTop w:val="0"/>
      <w:marBottom w:val="0"/>
      <w:divBdr>
        <w:top w:val="none" w:sz="0" w:space="0" w:color="auto"/>
        <w:left w:val="none" w:sz="0" w:space="0" w:color="auto"/>
        <w:bottom w:val="none" w:sz="0" w:space="0" w:color="auto"/>
        <w:right w:val="none" w:sz="0" w:space="0" w:color="auto"/>
      </w:divBdr>
    </w:div>
    <w:div w:id="206185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2185</Words>
  <Characters>12458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2025-01-18T18:38:00Z</dcterms:created>
  <dcterms:modified xsi:type="dcterms:W3CDTF">2025-01-19T21:52:00Z</dcterms:modified>
</cp:coreProperties>
</file>