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224F8B" w14:textId="77777777" w:rsidR="007A4C6B" w:rsidRPr="007A4C6B" w:rsidRDefault="007A4C6B" w:rsidP="007A4C6B">
      <w:pPr>
        <w:spacing w:before="100" w:beforeAutospacing="1" w:after="100" w:afterAutospacing="1" w:line="360" w:lineRule="auto"/>
        <w:outlineLvl w:val="2"/>
        <w:rPr>
          <w:rFonts w:ascii="Times New Roman" w:hAnsi="Times New Roman"/>
          <w:b/>
          <w:bCs/>
          <w:color w:val="FF0000"/>
          <w:lang w:val="en-HK"/>
        </w:rPr>
      </w:pPr>
      <w:r w:rsidRPr="007A4C6B">
        <w:rPr>
          <w:rFonts w:ascii="Times New Roman" w:hAnsi="Times New Roman"/>
          <w:b/>
          <w:bCs/>
          <w:color w:val="FF0000"/>
          <w:lang w:val="en-HK"/>
        </w:rPr>
        <w:t>1. Statutory Exceptions</w:t>
      </w:r>
    </w:p>
    <w:p w14:paraId="65527F87" w14:textId="77777777" w:rsidR="007A4C6B" w:rsidRPr="007A4C6B" w:rsidRDefault="007A4C6B" w:rsidP="007A4C6B">
      <w:pPr>
        <w:spacing w:before="100" w:beforeAutospacing="1" w:after="100" w:afterAutospacing="1" w:line="360" w:lineRule="auto"/>
        <w:outlineLvl w:val="3"/>
        <w:rPr>
          <w:rFonts w:ascii="Times New Roman" w:hAnsi="Times New Roman"/>
          <w:b/>
          <w:bCs/>
          <w:lang w:val="en-HK"/>
        </w:rPr>
      </w:pPr>
      <w:r w:rsidRPr="007A4C6B">
        <w:rPr>
          <w:rFonts w:ascii="Times New Roman" w:hAnsi="Times New Roman"/>
          <w:b/>
          <w:bCs/>
          <w:lang w:val="en-HK"/>
        </w:rPr>
        <w:t>a. Factors Act 1889</w:t>
      </w:r>
    </w:p>
    <w:p w14:paraId="28F35DCC"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w:t>
      </w:r>
      <w:r w:rsidRPr="007A4C6B">
        <w:rPr>
          <w:rFonts w:ascii="Times New Roman" w:hAnsi="Times New Roman"/>
          <w:b/>
          <w:bCs/>
          <w:lang w:val="en-HK"/>
        </w:rPr>
        <w:t>Factors Act 1889</w:t>
      </w:r>
      <w:r w:rsidRPr="007A4C6B">
        <w:rPr>
          <w:rFonts w:ascii="Times New Roman" w:hAnsi="Times New Roman"/>
          <w:lang w:val="en-HK"/>
        </w:rPr>
        <w:t xml:space="preserve"> provides exceptions where a mercantile agent, entrusted with possession of goods, disposes of them in the ordinary course of business:</w:t>
      </w:r>
    </w:p>
    <w:p w14:paraId="1B622956" w14:textId="77777777" w:rsidR="007A4C6B" w:rsidRPr="007A4C6B" w:rsidRDefault="007A4C6B" w:rsidP="007A4C6B">
      <w:pPr>
        <w:numPr>
          <w:ilvl w:val="0"/>
          <w:numId w:val="7"/>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Section 2(1)</w:t>
      </w:r>
      <w:r w:rsidRPr="007A4C6B">
        <w:rPr>
          <w:rFonts w:ascii="Times New Roman" w:hAnsi="Times New Roman"/>
          <w:lang w:val="en-HK"/>
        </w:rPr>
        <w:t>: A mercantile agent acting with authority can transfer good title if:</w:t>
      </w:r>
    </w:p>
    <w:p w14:paraId="1FD893FF" w14:textId="77777777" w:rsidR="007A4C6B" w:rsidRPr="007A4C6B" w:rsidRDefault="007A4C6B" w:rsidP="007A4C6B">
      <w:pPr>
        <w:numPr>
          <w:ilvl w:val="1"/>
          <w:numId w:val="7"/>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goods are in their possession.</w:t>
      </w:r>
    </w:p>
    <w:p w14:paraId="52B2699D" w14:textId="77777777" w:rsidR="007A4C6B" w:rsidRPr="007A4C6B" w:rsidRDefault="007A4C6B" w:rsidP="007A4C6B">
      <w:pPr>
        <w:numPr>
          <w:ilvl w:val="1"/>
          <w:numId w:val="7"/>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sale occurs in the ordinary course of their business.</w:t>
      </w:r>
    </w:p>
    <w:p w14:paraId="218A8CEB" w14:textId="77777777" w:rsidR="007A4C6B" w:rsidRPr="007A4C6B" w:rsidRDefault="007A4C6B" w:rsidP="007A4C6B">
      <w:pPr>
        <w:numPr>
          <w:ilvl w:val="0"/>
          <w:numId w:val="7"/>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Case Law</w:t>
      </w:r>
      <w:r w:rsidRPr="007A4C6B">
        <w:rPr>
          <w:rFonts w:ascii="Times New Roman" w:hAnsi="Times New Roman"/>
          <w:lang w:val="en-HK"/>
        </w:rPr>
        <w:t>:</w:t>
      </w:r>
    </w:p>
    <w:p w14:paraId="5B4CE7E4"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Pearson v. Rose and Young Ltd [1951] 1 KB 275</w:t>
      </w:r>
      <w:r w:rsidRPr="007A4C6B">
        <w:rPr>
          <w:rFonts w:ascii="Times New Roman" w:hAnsi="Times New Roman"/>
          <w:lang w:val="en-HK"/>
        </w:rPr>
        <w:t>:</w:t>
      </w:r>
    </w:p>
    <w:p w14:paraId="3068EB79"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Court of Appeal held that a mercantile agent who had possession of a car but not its logbook could not transfer good title because possession of the logbook was also required.</w:t>
      </w:r>
    </w:p>
    <w:p w14:paraId="441E4C09"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Astley Industrial Trust Ltd v. Miller [1968] 2 All ER 36</w:t>
      </w:r>
      <w:r w:rsidRPr="007A4C6B">
        <w:rPr>
          <w:rFonts w:ascii="Times New Roman" w:hAnsi="Times New Roman"/>
          <w:lang w:val="en-HK"/>
        </w:rPr>
        <w:t>:</w:t>
      </w:r>
    </w:p>
    <w:p w14:paraId="5957CF42"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A rental company receiving vehicles for hire was not considered a mercantile agent under </w:t>
      </w:r>
      <w:r w:rsidRPr="007A4C6B">
        <w:rPr>
          <w:rFonts w:ascii="Times New Roman" w:hAnsi="Times New Roman"/>
          <w:b/>
          <w:bCs/>
          <w:lang w:val="en-HK"/>
        </w:rPr>
        <w:t>Section 1(1)</w:t>
      </w:r>
      <w:r w:rsidRPr="007A4C6B">
        <w:rPr>
          <w:rFonts w:ascii="Times New Roman" w:hAnsi="Times New Roman"/>
          <w:lang w:val="en-HK"/>
        </w:rPr>
        <w:t xml:space="preserve"> of the Factors Act, as hiring out is not an ordinary function of a mercantile agent.</w:t>
      </w:r>
    </w:p>
    <w:p w14:paraId="18B6F696" w14:textId="77777777" w:rsidR="007A4C6B" w:rsidRPr="007A4C6B" w:rsidRDefault="007A4C6B" w:rsidP="007A4C6B">
      <w:pPr>
        <w:spacing w:before="100" w:beforeAutospacing="1" w:after="100" w:afterAutospacing="1" w:line="360" w:lineRule="auto"/>
        <w:outlineLvl w:val="3"/>
        <w:rPr>
          <w:rFonts w:ascii="Times New Roman" w:hAnsi="Times New Roman"/>
          <w:b/>
          <w:bCs/>
          <w:lang w:val="en-HK"/>
        </w:rPr>
      </w:pPr>
      <w:r w:rsidRPr="007A4C6B">
        <w:rPr>
          <w:rFonts w:ascii="Times New Roman" w:hAnsi="Times New Roman"/>
          <w:b/>
          <w:bCs/>
          <w:lang w:val="en-HK"/>
        </w:rPr>
        <w:t>b. Sale of Goods Act 1979</w:t>
      </w:r>
    </w:p>
    <w:p w14:paraId="3E1EA9A4"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w:t>
      </w:r>
      <w:r w:rsidRPr="007A4C6B">
        <w:rPr>
          <w:rFonts w:ascii="Times New Roman" w:hAnsi="Times New Roman"/>
          <w:b/>
          <w:bCs/>
          <w:lang w:val="en-HK"/>
        </w:rPr>
        <w:t>Sale of Goods Act 1979</w:t>
      </w:r>
      <w:r w:rsidRPr="007A4C6B">
        <w:rPr>
          <w:rFonts w:ascii="Times New Roman" w:hAnsi="Times New Roman"/>
          <w:lang w:val="en-HK"/>
        </w:rPr>
        <w:t xml:space="preserve"> codifies several exceptions:</w:t>
      </w:r>
    </w:p>
    <w:p w14:paraId="395EC78E"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Seller in Possession (Section 24)</w:t>
      </w:r>
      <w:r w:rsidRPr="007A4C6B">
        <w:rPr>
          <w:rFonts w:ascii="Times New Roman" w:hAnsi="Times New Roman"/>
          <w:lang w:val="en-HK"/>
        </w:rPr>
        <w:t>:</w:t>
      </w:r>
    </w:p>
    <w:p w14:paraId="041A574D"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If a seller retains possession of goods after the sale, they can transfer good title to a subsequent purchaser in good faith and without notice of the original sale.</w:t>
      </w:r>
    </w:p>
    <w:p w14:paraId="0193C7BE"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Buyer in Possession (Section 25)</w:t>
      </w:r>
      <w:r w:rsidRPr="007A4C6B">
        <w:rPr>
          <w:rFonts w:ascii="Times New Roman" w:hAnsi="Times New Roman"/>
          <w:lang w:val="en-HK"/>
        </w:rPr>
        <w:t>:</w:t>
      </w:r>
    </w:p>
    <w:p w14:paraId="1D62824B"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If a buyer obtains possession of goods with the seller’s consent but has not acquired full title, they can transfer good title to a subsequent purchaser acting in good faith.</w:t>
      </w:r>
    </w:p>
    <w:p w14:paraId="672D288C" w14:textId="77777777" w:rsidR="007A4C6B" w:rsidRPr="007A4C6B" w:rsidRDefault="007A4C6B" w:rsidP="007A4C6B">
      <w:pPr>
        <w:spacing w:before="100" w:beforeAutospacing="1" w:after="100" w:afterAutospacing="1" w:line="360" w:lineRule="auto"/>
        <w:outlineLvl w:val="3"/>
        <w:rPr>
          <w:rFonts w:ascii="Times New Roman" w:hAnsi="Times New Roman"/>
          <w:b/>
          <w:bCs/>
          <w:lang w:val="en-HK"/>
        </w:rPr>
      </w:pPr>
      <w:r w:rsidRPr="007A4C6B">
        <w:rPr>
          <w:rFonts w:ascii="Times New Roman" w:hAnsi="Times New Roman"/>
          <w:b/>
          <w:bCs/>
          <w:highlight w:val="yellow"/>
          <w:lang w:val="en-HK"/>
        </w:rPr>
        <w:t>c. Hire Purchase Act 1964 (as amended by the Consumer Credit Act 1974)</w:t>
      </w:r>
    </w:p>
    <w:p w14:paraId="4A797C21"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lastRenderedPageBreak/>
        <w:t>Part III of the Hire Purchase Act 1964</w:t>
      </w:r>
      <w:r w:rsidRPr="007A4C6B">
        <w:rPr>
          <w:rFonts w:ascii="Times New Roman" w:hAnsi="Times New Roman"/>
          <w:lang w:val="en-HK"/>
        </w:rPr>
        <w:t>:</w:t>
      </w:r>
    </w:p>
    <w:p w14:paraId="319BEA7C" w14:textId="77777777" w:rsidR="007A4C6B" w:rsidRPr="007A4C6B" w:rsidRDefault="007A4C6B" w:rsidP="007A4C6B">
      <w:pPr>
        <w:spacing w:before="100" w:beforeAutospacing="1" w:after="100" w:afterAutospacing="1" w:line="360" w:lineRule="auto"/>
        <w:rPr>
          <w:rFonts w:ascii="Times New Roman" w:hAnsi="Times New Roman"/>
          <w:b/>
          <w:bCs/>
          <w:lang w:val="en-HK"/>
        </w:rPr>
      </w:pPr>
      <w:r w:rsidRPr="007A4C6B">
        <w:rPr>
          <w:rFonts w:ascii="Times New Roman" w:hAnsi="Times New Roman"/>
          <w:b/>
          <w:bCs/>
          <w:lang w:val="en-HK"/>
        </w:rPr>
        <w:t>Protects private purchasers acting in good faith and without notice of hire purchase or conditional sale agreements.</w:t>
      </w:r>
    </w:p>
    <w:p w14:paraId="457F717C"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private purchaser acquires good title even if the seller lacks ownership rights.</w:t>
      </w:r>
    </w:p>
    <w:p w14:paraId="4531851A"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Limitations:</w:t>
      </w:r>
    </w:p>
    <w:p w14:paraId="17CC153B" w14:textId="77777777" w:rsidR="007A4C6B" w:rsidRPr="007A4C6B" w:rsidRDefault="007A4C6B" w:rsidP="007A4C6B">
      <w:pPr>
        <w:numPr>
          <w:ilvl w:val="2"/>
          <w:numId w:val="9"/>
        </w:numPr>
        <w:spacing w:before="100" w:beforeAutospacing="1" w:after="100" w:afterAutospacing="1" w:line="360" w:lineRule="auto"/>
        <w:rPr>
          <w:rFonts w:ascii="Times New Roman" w:hAnsi="Times New Roman"/>
          <w:color w:val="FF0000"/>
          <w:lang w:val="en-HK"/>
        </w:rPr>
      </w:pPr>
      <w:r w:rsidRPr="007A4C6B">
        <w:rPr>
          <w:rFonts w:ascii="Times New Roman" w:hAnsi="Times New Roman"/>
          <w:color w:val="FF0000"/>
          <w:lang w:val="en-HK"/>
        </w:rPr>
        <w:t>Applies only to motor vehicles.</w:t>
      </w:r>
    </w:p>
    <w:p w14:paraId="0B5749A9" w14:textId="77777777" w:rsidR="007A4C6B" w:rsidRPr="007A4C6B" w:rsidRDefault="007A4C6B" w:rsidP="007A4C6B">
      <w:pPr>
        <w:numPr>
          <w:ilvl w:val="2"/>
          <w:numId w:val="9"/>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Excludes dispositions under other financing arrangements, such as finance leases or contract hire.</w:t>
      </w:r>
    </w:p>
    <w:p w14:paraId="2EB187FA" w14:textId="77777777" w:rsidR="007A4C6B" w:rsidRPr="007A4C6B" w:rsidRDefault="007A4C6B" w:rsidP="007A4C6B">
      <w:pPr>
        <w:spacing w:before="100" w:beforeAutospacing="1" w:after="100" w:afterAutospacing="1" w:line="360" w:lineRule="auto"/>
        <w:outlineLvl w:val="3"/>
        <w:rPr>
          <w:rFonts w:ascii="Times New Roman" w:hAnsi="Times New Roman"/>
          <w:b/>
          <w:bCs/>
          <w:lang w:val="en-HK"/>
        </w:rPr>
      </w:pPr>
      <w:r w:rsidRPr="007A4C6B">
        <w:rPr>
          <w:rFonts w:ascii="Times New Roman" w:hAnsi="Times New Roman"/>
          <w:b/>
          <w:bCs/>
          <w:highlight w:val="yellow"/>
          <w:lang w:val="en-HK"/>
        </w:rPr>
        <w:t>d. Estoppel (Section 21(1) Sale of Goods Act 1979)</w:t>
      </w:r>
    </w:p>
    <w:p w14:paraId="6BBA4268" w14:textId="77777777" w:rsidR="007A4C6B" w:rsidRPr="007A4C6B" w:rsidRDefault="007A4C6B" w:rsidP="007A4C6B">
      <w:pPr>
        <w:spacing w:before="100" w:beforeAutospacing="1" w:after="100" w:afterAutospacing="1" w:line="360" w:lineRule="auto"/>
        <w:rPr>
          <w:rFonts w:ascii="Times New Roman" w:hAnsi="Times New Roman"/>
          <w:b/>
          <w:bCs/>
          <w:lang w:val="en-HK"/>
        </w:rPr>
      </w:pPr>
      <w:r w:rsidRPr="007A4C6B">
        <w:rPr>
          <w:rFonts w:ascii="Times New Roman" w:hAnsi="Times New Roman"/>
          <w:lang w:val="en-HK"/>
        </w:rPr>
        <w:t xml:space="preserve">If the </w:t>
      </w:r>
      <w:r w:rsidRPr="007A4C6B">
        <w:rPr>
          <w:rFonts w:ascii="Times New Roman" w:hAnsi="Times New Roman"/>
          <w:b/>
          <w:bCs/>
          <w:lang w:val="en-HK"/>
        </w:rPr>
        <w:t>true owner’s conduct leads a purchaser to reasonably believe that the seller has authority to sell, the owner may be estopped from denying the seller’s authority.</w:t>
      </w:r>
    </w:p>
    <w:p w14:paraId="63927FA6"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Case Law</w:t>
      </w:r>
      <w:r w:rsidRPr="007A4C6B">
        <w:rPr>
          <w:rFonts w:ascii="Times New Roman" w:hAnsi="Times New Roman"/>
          <w:lang w:val="en-HK"/>
        </w:rPr>
        <w:t>:</w:t>
      </w:r>
    </w:p>
    <w:p w14:paraId="0637E47E"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Mercantile Credit Co Ltd v. Hamblin [1965] 2 QB 242</w:t>
      </w:r>
      <w:r w:rsidRPr="007A4C6B">
        <w:rPr>
          <w:rFonts w:ascii="Times New Roman" w:hAnsi="Times New Roman"/>
          <w:lang w:val="en-HK"/>
        </w:rPr>
        <w:t>:</w:t>
      </w:r>
    </w:p>
    <w:p w14:paraId="29455971" w14:textId="77777777" w:rsidR="007A4C6B" w:rsidRPr="007A4C6B" w:rsidRDefault="007A4C6B" w:rsidP="007A4C6B">
      <w:pPr>
        <w:spacing w:before="100" w:beforeAutospacing="1" w:after="100" w:afterAutospacing="1" w:line="360" w:lineRule="auto"/>
        <w:rPr>
          <w:rFonts w:ascii="Times New Roman" w:hAnsi="Times New Roman"/>
          <w:b/>
          <w:bCs/>
          <w:lang w:val="en-HK"/>
        </w:rPr>
      </w:pPr>
      <w:r w:rsidRPr="007A4C6B">
        <w:rPr>
          <w:rFonts w:ascii="Times New Roman" w:hAnsi="Times New Roman"/>
          <w:lang w:val="en-HK"/>
        </w:rPr>
        <w:t xml:space="preserve">Estoppel </w:t>
      </w:r>
      <w:r w:rsidRPr="007A4C6B">
        <w:rPr>
          <w:rFonts w:ascii="Times New Roman" w:hAnsi="Times New Roman"/>
          <w:b/>
          <w:bCs/>
          <w:lang w:val="en-HK"/>
        </w:rPr>
        <w:t>requires clear representation by words or conduct that the seller had authority to sell.</w:t>
      </w:r>
    </w:p>
    <w:p w14:paraId="64850935" w14:textId="77777777" w:rsidR="007A4C6B" w:rsidRPr="007A4C6B" w:rsidRDefault="00782954" w:rsidP="007A4C6B">
      <w:pPr>
        <w:spacing w:line="360" w:lineRule="auto"/>
        <w:rPr>
          <w:rFonts w:ascii="Times New Roman" w:hAnsi="Times New Roman"/>
          <w:lang w:val="en-HK"/>
        </w:rPr>
      </w:pPr>
      <w:r w:rsidRPr="00782954">
        <w:rPr>
          <w:rFonts w:ascii="Times New Roman" w:hAnsi="Times New Roman"/>
          <w:noProof/>
          <w:lang w:val="en-HK"/>
          <w14:ligatures w14:val="standardContextual"/>
        </w:rPr>
        <w:pict w14:anchorId="713A5FA6">
          <v:rect id="_x0000_i1034" alt="" style="width:451.3pt;height:.05pt;mso-width-percent:0;mso-height-percent:0;mso-width-percent:0;mso-height-percent:0" o:hralign="center" o:hrstd="t" o:hr="t" fillcolor="#a0a0a0" stroked="f"/>
        </w:pict>
      </w:r>
    </w:p>
    <w:p w14:paraId="5EBF2931" w14:textId="77777777" w:rsidR="007A4C6B" w:rsidRPr="007A4C6B" w:rsidRDefault="007A4C6B" w:rsidP="007A4C6B">
      <w:pPr>
        <w:spacing w:before="100" w:beforeAutospacing="1" w:after="100" w:afterAutospacing="1" w:line="360" w:lineRule="auto"/>
        <w:outlineLvl w:val="2"/>
        <w:rPr>
          <w:rFonts w:ascii="Times New Roman" w:hAnsi="Times New Roman"/>
          <w:b/>
          <w:bCs/>
          <w:color w:val="FF0000"/>
          <w:lang w:val="en-HK"/>
        </w:rPr>
      </w:pPr>
      <w:r w:rsidRPr="007A4C6B">
        <w:rPr>
          <w:rFonts w:ascii="Times New Roman" w:hAnsi="Times New Roman"/>
          <w:b/>
          <w:bCs/>
          <w:color w:val="FF0000"/>
          <w:lang w:val="en-HK"/>
        </w:rPr>
        <w:t>2. Common Law Exceptions</w:t>
      </w:r>
    </w:p>
    <w:p w14:paraId="669C2F10" w14:textId="77777777" w:rsidR="007A4C6B" w:rsidRPr="007A4C6B" w:rsidRDefault="007A4C6B" w:rsidP="007A4C6B">
      <w:pPr>
        <w:spacing w:before="100" w:beforeAutospacing="1" w:after="100" w:afterAutospacing="1" w:line="360" w:lineRule="auto"/>
        <w:outlineLvl w:val="3"/>
        <w:rPr>
          <w:rFonts w:ascii="Times New Roman" w:hAnsi="Times New Roman"/>
          <w:b/>
          <w:bCs/>
          <w:lang w:val="en-HK"/>
        </w:rPr>
      </w:pPr>
      <w:r w:rsidRPr="007A4C6B">
        <w:rPr>
          <w:rFonts w:ascii="Times New Roman" w:hAnsi="Times New Roman"/>
          <w:b/>
          <w:bCs/>
          <w:lang w:val="en-HK"/>
        </w:rPr>
        <w:t>a. Voidable Titles</w:t>
      </w:r>
    </w:p>
    <w:p w14:paraId="10C67918" w14:textId="77777777" w:rsidR="007A4C6B" w:rsidRPr="007A4C6B" w:rsidRDefault="007A4C6B" w:rsidP="007A4C6B">
      <w:pPr>
        <w:numPr>
          <w:ilvl w:val="0"/>
          <w:numId w:val="11"/>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A buyer acquires good title if they purchase goods in good faith before the original owner avoids a voidable title.</w:t>
      </w:r>
    </w:p>
    <w:p w14:paraId="29203FFF" w14:textId="77777777" w:rsidR="007A4C6B" w:rsidRPr="007A4C6B" w:rsidRDefault="007A4C6B" w:rsidP="007A4C6B">
      <w:pPr>
        <w:numPr>
          <w:ilvl w:val="0"/>
          <w:numId w:val="1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Section 23 of the Sale of Goods Act 1979</w:t>
      </w:r>
      <w:r w:rsidRPr="007A4C6B">
        <w:rPr>
          <w:rFonts w:ascii="Times New Roman" w:hAnsi="Times New Roman"/>
          <w:lang w:val="en-HK"/>
        </w:rPr>
        <w:t xml:space="preserve"> codifies this rule.</w:t>
      </w:r>
    </w:p>
    <w:p w14:paraId="5543EEE7" w14:textId="77777777" w:rsidR="007A4C6B" w:rsidRPr="007A4C6B" w:rsidRDefault="007A4C6B" w:rsidP="007A4C6B">
      <w:pPr>
        <w:numPr>
          <w:ilvl w:val="0"/>
          <w:numId w:val="1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Case Law</w:t>
      </w:r>
      <w:r w:rsidRPr="007A4C6B">
        <w:rPr>
          <w:rFonts w:ascii="Times New Roman" w:hAnsi="Times New Roman"/>
          <w:lang w:val="en-HK"/>
        </w:rPr>
        <w:t>:</w:t>
      </w:r>
    </w:p>
    <w:p w14:paraId="2A3108E2"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Car and Universal Finance Co Ltd v. Caldwell [1965] 1 QB 525</w:t>
      </w:r>
      <w:r w:rsidRPr="007A4C6B">
        <w:rPr>
          <w:rFonts w:ascii="Times New Roman" w:hAnsi="Times New Roman"/>
          <w:lang w:val="en-HK"/>
        </w:rPr>
        <w:t>:</w:t>
      </w:r>
    </w:p>
    <w:p w14:paraId="362E8E55"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lastRenderedPageBreak/>
        <w:t>The seller’s act of notifying the police and a motorist organization constituted sufficient avoidance of the voidable title.</w:t>
      </w:r>
    </w:p>
    <w:p w14:paraId="3317309E" w14:textId="77777777" w:rsidR="007A4C6B" w:rsidRPr="007A4C6B" w:rsidRDefault="007A4C6B" w:rsidP="007A4C6B">
      <w:pPr>
        <w:spacing w:before="100" w:beforeAutospacing="1" w:after="100" w:afterAutospacing="1" w:line="360" w:lineRule="auto"/>
        <w:outlineLvl w:val="3"/>
        <w:rPr>
          <w:rFonts w:ascii="Times New Roman" w:hAnsi="Times New Roman"/>
          <w:b/>
          <w:bCs/>
          <w:lang w:val="en-HK"/>
        </w:rPr>
      </w:pPr>
      <w:r w:rsidRPr="007A4C6B">
        <w:rPr>
          <w:rFonts w:ascii="Times New Roman" w:hAnsi="Times New Roman"/>
          <w:b/>
          <w:bCs/>
          <w:lang w:val="en-HK"/>
        </w:rPr>
        <w:t>b. Judicial Intervention and Balancing Interests</w:t>
      </w:r>
    </w:p>
    <w:p w14:paraId="1BB0D9CB"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Courts often grapple with balancing the rights of innocent purchasers and owners. In cases involving fraud, courts may lean toward protecting purchasers who acted in good faith:</w:t>
      </w:r>
    </w:p>
    <w:p w14:paraId="6AA003A8"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National Employers Mutual General Insurance Association Ltd v. Jones [1990] 1 AC 24</w:t>
      </w:r>
      <w:r w:rsidRPr="007A4C6B">
        <w:rPr>
          <w:rFonts w:ascii="Times New Roman" w:hAnsi="Times New Roman"/>
          <w:lang w:val="en-HK"/>
        </w:rPr>
        <w:t>:</w:t>
      </w:r>
    </w:p>
    <w:p w14:paraId="17B925BE"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A thief cannot pass good title, emphasizing the rule’s application in cases of theft versus contractual fraud.</w:t>
      </w:r>
    </w:p>
    <w:p w14:paraId="34E9981B" w14:textId="77777777" w:rsidR="007A4C6B" w:rsidRPr="007A4C6B" w:rsidRDefault="00782954" w:rsidP="007A4C6B">
      <w:pPr>
        <w:spacing w:line="360" w:lineRule="auto"/>
        <w:rPr>
          <w:rFonts w:ascii="Times New Roman" w:hAnsi="Times New Roman"/>
          <w:lang w:val="en-HK"/>
        </w:rPr>
      </w:pPr>
      <w:r w:rsidRPr="00782954">
        <w:rPr>
          <w:rFonts w:ascii="Times New Roman" w:hAnsi="Times New Roman"/>
          <w:noProof/>
          <w:lang w:val="en-HK"/>
          <w14:ligatures w14:val="standardContextual"/>
        </w:rPr>
        <w:pict w14:anchorId="677466A7">
          <v:rect id="_x0000_i1033" alt="" style="width:451.3pt;height:.05pt;mso-width-percent:0;mso-height-percent:0;mso-width-percent:0;mso-height-percent:0" o:hralign="center" o:hrstd="t" o:hr="t" fillcolor="#a0a0a0" stroked="f"/>
        </w:pict>
      </w:r>
    </w:p>
    <w:p w14:paraId="007D127D" w14:textId="77777777" w:rsidR="007A4C6B" w:rsidRPr="007A4C6B" w:rsidRDefault="007A4C6B" w:rsidP="007A4C6B">
      <w:pPr>
        <w:spacing w:before="100" w:beforeAutospacing="1" w:after="100" w:afterAutospacing="1" w:line="360" w:lineRule="auto"/>
        <w:outlineLvl w:val="2"/>
        <w:rPr>
          <w:rFonts w:ascii="Times New Roman" w:hAnsi="Times New Roman"/>
          <w:b/>
          <w:bCs/>
          <w:lang w:val="en-HK"/>
        </w:rPr>
      </w:pPr>
      <w:r w:rsidRPr="007A4C6B">
        <w:rPr>
          <w:rFonts w:ascii="Times New Roman" w:hAnsi="Times New Roman"/>
          <w:b/>
          <w:bCs/>
          <w:lang w:val="en-HK"/>
        </w:rPr>
        <w:t>3. Policy Considerations and Judicial Commentary</w:t>
      </w:r>
    </w:p>
    <w:p w14:paraId="593AEE3F" w14:textId="77777777" w:rsidR="007A4C6B" w:rsidRPr="007A4C6B" w:rsidRDefault="007A4C6B" w:rsidP="007A4C6B">
      <w:pPr>
        <w:numPr>
          <w:ilvl w:val="0"/>
          <w:numId w:val="13"/>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Lord Denning in </w:t>
      </w:r>
      <w:r w:rsidRPr="007A4C6B">
        <w:rPr>
          <w:rFonts w:ascii="Times New Roman" w:hAnsi="Times New Roman"/>
          <w:b/>
          <w:bCs/>
          <w:lang w:val="en-HK"/>
        </w:rPr>
        <w:t>Stevenson v. Beverley Bentinck Ltd [1976] 1 WLR 483</w:t>
      </w:r>
      <w:r w:rsidRPr="007A4C6B">
        <w:rPr>
          <w:rFonts w:ascii="Times New Roman" w:hAnsi="Times New Roman"/>
          <w:lang w:val="en-HK"/>
        </w:rPr>
        <w:t xml:space="preserve"> acknowledged the need to balance competing interests in motor vehicle transactions:</w:t>
      </w:r>
    </w:p>
    <w:p w14:paraId="44D2C081" w14:textId="77777777" w:rsidR="007A4C6B" w:rsidRPr="007A4C6B" w:rsidRDefault="007A4C6B" w:rsidP="007A4C6B">
      <w:pPr>
        <w:spacing w:beforeAutospacing="1" w:afterAutospacing="1" w:line="360" w:lineRule="auto"/>
        <w:rPr>
          <w:rFonts w:ascii="Times New Roman" w:hAnsi="Times New Roman"/>
          <w:lang w:val="en-HK"/>
        </w:rPr>
      </w:pPr>
      <w:r w:rsidRPr="007A4C6B">
        <w:rPr>
          <w:rFonts w:ascii="Times New Roman" w:hAnsi="Times New Roman"/>
          <w:lang w:val="en-HK"/>
        </w:rPr>
        <w:t>"Ever since hire-purchase was invented... courts have to decide where, as between two wholly innocent parties, that loss should fall."</w:t>
      </w:r>
    </w:p>
    <w:p w14:paraId="642FDD18" w14:textId="77777777" w:rsidR="007A4C6B" w:rsidRPr="007A4C6B" w:rsidRDefault="007A4C6B" w:rsidP="007A4C6B">
      <w:pPr>
        <w:numPr>
          <w:ilvl w:val="0"/>
          <w:numId w:val="13"/>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law’s exceptions reflect the courts’ and legislators’ recognition that rigid application of nemo </w:t>
      </w:r>
      <w:proofErr w:type="spellStart"/>
      <w:r w:rsidRPr="007A4C6B">
        <w:rPr>
          <w:rFonts w:ascii="Times New Roman" w:hAnsi="Times New Roman"/>
          <w:lang w:val="en-HK"/>
        </w:rPr>
        <w:t>dat</w:t>
      </w:r>
      <w:proofErr w:type="spellEnd"/>
      <w:r w:rsidRPr="007A4C6B">
        <w:rPr>
          <w:rFonts w:ascii="Times New Roman" w:hAnsi="Times New Roman"/>
          <w:lang w:val="en-HK"/>
        </w:rPr>
        <w:t xml:space="preserve"> can stifle commerce and lead to inequitable outcomes in motor vehicle transactions.</w:t>
      </w:r>
    </w:p>
    <w:p w14:paraId="1B41BF75" w14:textId="77777777" w:rsidR="007A4C6B" w:rsidRPr="007A4C6B" w:rsidRDefault="00782954" w:rsidP="007A4C6B">
      <w:pPr>
        <w:spacing w:line="360" w:lineRule="auto"/>
        <w:rPr>
          <w:rFonts w:ascii="Times New Roman" w:hAnsi="Times New Roman"/>
          <w:lang w:val="en-HK"/>
        </w:rPr>
      </w:pPr>
      <w:r w:rsidRPr="00782954">
        <w:rPr>
          <w:rFonts w:ascii="Times New Roman" w:hAnsi="Times New Roman"/>
          <w:noProof/>
          <w:lang w:val="en-HK"/>
          <w14:ligatures w14:val="standardContextual"/>
        </w:rPr>
        <w:pict w14:anchorId="7792FE8A">
          <v:rect id="_x0000_i1032" alt="" style="width:451.3pt;height:.05pt;mso-width-percent:0;mso-height-percent:0;mso-width-percent:0;mso-height-percent:0" o:hralign="center" o:hrstd="t" o:hr="t" fillcolor="#a0a0a0" stroked="f"/>
        </w:pict>
      </w:r>
    </w:p>
    <w:p w14:paraId="445AA7E5" w14:textId="77777777" w:rsidR="007A4C6B" w:rsidRPr="007A4C6B" w:rsidRDefault="007A4C6B" w:rsidP="007A4C6B">
      <w:pPr>
        <w:spacing w:before="100" w:beforeAutospacing="1" w:after="100" w:afterAutospacing="1" w:line="360" w:lineRule="auto"/>
        <w:outlineLvl w:val="2"/>
        <w:rPr>
          <w:rFonts w:ascii="Times New Roman" w:hAnsi="Times New Roman"/>
          <w:b/>
          <w:bCs/>
          <w:lang w:val="en-HK"/>
        </w:rPr>
      </w:pPr>
      <w:r w:rsidRPr="007A4C6B">
        <w:rPr>
          <w:rFonts w:ascii="Times New Roman" w:hAnsi="Times New Roman"/>
          <w:b/>
          <w:bCs/>
          <w:lang w:val="en-HK"/>
        </w:rPr>
        <w:t>4. Criticism of Current Exceptions</w:t>
      </w:r>
    </w:p>
    <w:p w14:paraId="64E7E577"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While these exceptions address some gaps, they are criticized for their </w:t>
      </w:r>
      <w:r w:rsidRPr="007A4C6B">
        <w:rPr>
          <w:rFonts w:ascii="Times New Roman" w:hAnsi="Times New Roman"/>
          <w:b/>
          <w:bCs/>
          <w:lang w:val="en-HK"/>
        </w:rPr>
        <w:t>piecemeal application</w:t>
      </w:r>
      <w:r w:rsidRPr="007A4C6B">
        <w:rPr>
          <w:rFonts w:ascii="Times New Roman" w:hAnsi="Times New Roman"/>
          <w:lang w:val="en-HK"/>
        </w:rPr>
        <w:t>:</w:t>
      </w:r>
    </w:p>
    <w:p w14:paraId="2F5AE7F0" w14:textId="77777777" w:rsidR="007A4C6B" w:rsidRPr="007A4C6B" w:rsidRDefault="007A4C6B" w:rsidP="007A4C6B">
      <w:pPr>
        <w:numPr>
          <w:ilvl w:val="0"/>
          <w:numId w:val="14"/>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w:t>
      </w:r>
      <w:r w:rsidRPr="007A4C6B">
        <w:rPr>
          <w:rFonts w:ascii="Times New Roman" w:hAnsi="Times New Roman"/>
          <w:b/>
          <w:bCs/>
          <w:lang w:val="en-HK"/>
        </w:rPr>
        <w:t>Hire Purchase Act 1964</w:t>
      </w:r>
      <w:r w:rsidRPr="007A4C6B">
        <w:rPr>
          <w:rFonts w:ascii="Times New Roman" w:hAnsi="Times New Roman"/>
          <w:lang w:val="en-HK"/>
        </w:rPr>
        <w:t xml:space="preserve"> applies only to private purchasers and motor vehicles, excluding caravans, boats, and other high-value goods.</w:t>
      </w:r>
    </w:p>
    <w:p w14:paraId="4D80B6A2" w14:textId="77777777" w:rsidR="007A4C6B" w:rsidRPr="007A4C6B" w:rsidRDefault="007A4C6B" w:rsidP="007A4C6B">
      <w:pPr>
        <w:numPr>
          <w:ilvl w:val="0"/>
          <w:numId w:val="14"/>
        </w:numPr>
        <w:spacing w:before="100" w:beforeAutospacing="1" w:after="100" w:afterAutospacing="1" w:line="360" w:lineRule="auto"/>
        <w:rPr>
          <w:rFonts w:ascii="Times New Roman" w:hAnsi="Times New Roman"/>
          <w:b/>
          <w:bCs/>
          <w:lang w:val="en-HK"/>
        </w:rPr>
      </w:pPr>
      <w:r w:rsidRPr="007A4C6B">
        <w:rPr>
          <w:rFonts w:ascii="Times New Roman" w:hAnsi="Times New Roman"/>
          <w:lang w:val="en-HK"/>
        </w:rPr>
        <w:lastRenderedPageBreak/>
        <w:t xml:space="preserve">Reliance on </w:t>
      </w:r>
      <w:r w:rsidRPr="007A4C6B">
        <w:rPr>
          <w:rFonts w:ascii="Times New Roman" w:hAnsi="Times New Roman"/>
          <w:b/>
          <w:bCs/>
          <w:lang w:val="en-HK"/>
        </w:rPr>
        <w:t>actual notice</w:t>
      </w:r>
      <w:r w:rsidRPr="007A4C6B">
        <w:rPr>
          <w:rFonts w:ascii="Times New Roman" w:hAnsi="Times New Roman"/>
          <w:lang w:val="en-HK"/>
        </w:rPr>
        <w:t xml:space="preserve"> (as opposed to constructive notice) often makes wrongful dispositions </w:t>
      </w:r>
      <w:r w:rsidRPr="007A4C6B">
        <w:rPr>
          <w:rFonts w:ascii="Times New Roman" w:hAnsi="Times New Roman"/>
          <w:b/>
          <w:bCs/>
          <w:lang w:val="en-HK"/>
        </w:rPr>
        <w:t>too easy for fraudulent sellers and too safe for buyers acting imprudently.</w:t>
      </w:r>
    </w:p>
    <w:p w14:paraId="5DEB3386" w14:textId="77777777" w:rsidR="007A4C6B" w:rsidRPr="007A4C6B" w:rsidRDefault="00782954" w:rsidP="007A4C6B">
      <w:pPr>
        <w:spacing w:line="360" w:lineRule="auto"/>
        <w:rPr>
          <w:rFonts w:ascii="Times New Roman" w:hAnsi="Times New Roman"/>
          <w:lang w:val="en-HK"/>
        </w:rPr>
      </w:pPr>
      <w:r w:rsidRPr="00782954">
        <w:rPr>
          <w:rFonts w:ascii="Times New Roman" w:hAnsi="Times New Roman"/>
          <w:noProof/>
          <w:lang w:val="en-HK"/>
          <w14:ligatures w14:val="standardContextual"/>
        </w:rPr>
        <w:pict w14:anchorId="5D3BE739">
          <v:rect id="_x0000_i1031" alt="" style="width:451.3pt;height:.05pt;mso-width-percent:0;mso-height-percent:0;mso-width-percent:0;mso-height-percent:0" o:hralign="center" o:hrstd="t" o:hr="t" fillcolor="#a0a0a0" stroked="f"/>
        </w:pict>
      </w:r>
    </w:p>
    <w:p w14:paraId="2324913F" w14:textId="77777777" w:rsidR="007A4C6B" w:rsidRPr="007A4C6B" w:rsidRDefault="007A4C6B" w:rsidP="007A4C6B">
      <w:pPr>
        <w:spacing w:before="100" w:beforeAutospacing="1" w:after="100" w:afterAutospacing="1" w:line="360" w:lineRule="auto"/>
        <w:outlineLvl w:val="2"/>
        <w:rPr>
          <w:rFonts w:ascii="Times New Roman" w:hAnsi="Times New Roman"/>
          <w:b/>
          <w:bCs/>
          <w:lang w:val="en-HK"/>
        </w:rPr>
      </w:pPr>
      <w:r w:rsidRPr="007A4C6B">
        <w:rPr>
          <w:rFonts w:ascii="Times New Roman" w:hAnsi="Times New Roman"/>
          <w:b/>
          <w:bCs/>
          <w:lang w:val="en-HK"/>
        </w:rPr>
        <w:t>5. Proposed Reforms for Exceptions</w:t>
      </w:r>
    </w:p>
    <w:p w14:paraId="4CE4D123"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text advocates for a </w:t>
      </w:r>
      <w:r w:rsidRPr="007A4C6B">
        <w:rPr>
          <w:rFonts w:ascii="Times New Roman" w:hAnsi="Times New Roman"/>
          <w:b/>
          <w:bCs/>
          <w:lang w:val="en-HK"/>
        </w:rPr>
        <w:t>compulsory registration system</w:t>
      </w:r>
      <w:r w:rsidRPr="007A4C6B">
        <w:rPr>
          <w:rFonts w:ascii="Times New Roman" w:hAnsi="Times New Roman"/>
          <w:lang w:val="en-HK"/>
        </w:rPr>
        <w:t xml:space="preserve"> to address deficiencies in current exceptions:</w:t>
      </w:r>
    </w:p>
    <w:p w14:paraId="01380ED9" w14:textId="77777777" w:rsidR="007A4C6B" w:rsidRPr="007A4C6B" w:rsidRDefault="007A4C6B" w:rsidP="007A4C6B">
      <w:pPr>
        <w:numPr>
          <w:ilvl w:val="0"/>
          <w:numId w:val="15"/>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Extinguishment of Title</w:t>
      </w:r>
      <w:r w:rsidRPr="007A4C6B">
        <w:rPr>
          <w:rFonts w:ascii="Times New Roman" w:hAnsi="Times New Roman"/>
          <w:lang w:val="en-HK"/>
        </w:rPr>
        <w:t>:</w:t>
      </w:r>
    </w:p>
    <w:p w14:paraId="5E9E5A38" w14:textId="57FCF3CB"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Unregistered interests should be extinguished upon disposition</w:t>
      </w:r>
      <w:r>
        <w:rPr>
          <w:rFonts w:ascii="Times New Roman" w:hAnsi="Times New Roman"/>
          <w:b/>
          <w:bCs/>
          <w:lang w:val="en-HK"/>
        </w:rPr>
        <w:t xml:space="preserve"> </w:t>
      </w:r>
      <w:r>
        <w:rPr>
          <w:rFonts w:ascii="Microsoft JhengHei" w:eastAsia="Microsoft JhengHei" w:hAnsi="Microsoft JhengHei" w:hint="eastAsia"/>
          <w:color w:val="000000"/>
          <w:sz w:val="18"/>
          <w:szCs w:val="18"/>
          <w:shd w:val="clear" w:color="auto" w:fill="EFF6FF"/>
        </w:rPr>
        <w:t>未登記的利益應在處置時消滅</w:t>
      </w:r>
      <w:r w:rsidRPr="007A4C6B">
        <w:rPr>
          <w:rFonts w:ascii="Times New Roman" w:hAnsi="Times New Roman"/>
          <w:lang w:val="en-HK"/>
        </w:rPr>
        <w:t>, providing greater certainty for innocent purchasers.</w:t>
      </w:r>
    </w:p>
    <w:p w14:paraId="7BF809CE"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Open Access to Information</w:t>
      </w:r>
      <w:r w:rsidRPr="007A4C6B">
        <w:rPr>
          <w:rFonts w:ascii="Times New Roman" w:hAnsi="Times New Roman"/>
          <w:lang w:val="en-HK"/>
        </w:rPr>
        <w:t>:</w:t>
      </w:r>
    </w:p>
    <w:p w14:paraId="759D2BFA" w14:textId="77777777" w:rsidR="007A4C6B" w:rsidRPr="007A4C6B" w:rsidRDefault="007A4C6B"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Registration linked to VINs would facilitate real-time checks, preventing disputes over ostensible ownership.</w:t>
      </w:r>
    </w:p>
    <w:p w14:paraId="3A398462" w14:textId="6EBFEFFC" w:rsidR="007A4C6B" w:rsidRPr="007A4C6B" w:rsidRDefault="00782954" w:rsidP="007A4C6B">
      <w:pPr>
        <w:spacing w:before="100" w:beforeAutospacing="1" w:after="100" w:afterAutospacing="1" w:line="360" w:lineRule="auto"/>
        <w:outlineLvl w:val="2"/>
        <w:rPr>
          <w:rFonts w:ascii="Times New Roman" w:hAnsi="Times New Roman"/>
          <w:b/>
          <w:bCs/>
          <w:lang w:val="en-HK"/>
        </w:rPr>
      </w:pPr>
      <w:r w:rsidRPr="00782954">
        <w:rPr>
          <w:rFonts w:ascii="Times New Roman" w:hAnsi="Times New Roman"/>
          <w:noProof/>
          <w:lang w:val="en-HK"/>
          <w14:ligatures w14:val="standardContextual"/>
        </w:rPr>
        <w:pict w14:anchorId="546689B6">
          <v:rect id="_x0000_i1030" alt="" style="width:451.3pt;height:.05pt;mso-width-percent:0;mso-height-percent:0;mso-width-percent:0;mso-height-percent:0" o:hralign="center" o:hrstd="t" o:hr="t" fillcolor="#a0a0a0" stroked="f"/>
        </w:pict>
      </w:r>
    </w:p>
    <w:p w14:paraId="152896F8" w14:textId="55CD260C" w:rsidR="004602FF" w:rsidRPr="007A4C6B" w:rsidRDefault="00F40330" w:rsidP="007A4C6B">
      <w:pPr>
        <w:spacing w:before="100" w:beforeAutospacing="1" w:after="100" w:afterAutospacing="1" w:line="360" w:lineRule="auto"/>
        <w:outlineLvl w:val="2"/>
        <w:rPr>
          <w:rFonts w:ascii="Times New Roman" w:hAnsi="Times New Roman"/>
          <w:b/>
          <w:bCs/>
          <w:lang w:val="en-HK"/>
        </w:rPr>
      </w:pPr>
      <w:r w:rsidRPr="007A4C6B">
        <w:rPr>
          <w:rFonts w:ascii="Times New Roman" w:hAnsi="Times New Roman"/>
          <w:b/>
          <w:bCs/>
          <w:lang w:val="en-HK"/>
        </w:rPr>
        <w:t xml:space="preserve">I. </w:t>
      </w:r>
      <w:r w:rsidR="004602FF" w:rsidRPr="007A4C6B">
        <w:rPr>
          <w:rFonts w:ascii="Times New Roman" w:hAnsi="Times New Roman"/>
          <w:b/>
          <w:bCs/>
          <w:lang w:val="en-HK"/>
        </w:rPr>
        <w:t>Introduction: The Ostensible Ownership Problem</w:t>
      </w:r>
    </w:p>
    <w:p w14:paraId="51345D5E" w14:textId="77777777" w:rsidR="004602FF" w:rsidRPr="007A4C6B" w:rsidRDefault="004602FF" w:rsidP="007A4C6B">
      <w:pPr>
        <w:numPr>
          <w:ilvl w:val="0"/>
          <w:numId w:val="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Key Characteristics of Motor Vehicles</w:t>
      </w:r>
      <w:r w:rsidRPr="007A4C6B">
        <w:rPr>
          <w:rFonts w:ascii="Times New Roman" w:hAnsi="Times New Roman"/>
          <w:lang w:val="en-HK"/>
        </w:rPr>
        <w:t>:</w:t>
      </w:r>
    </w:p>
    <w:p w14:paraId="60EEBE9B"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Motor vehicles are inherently distinct from other goods due to their mobility, value, and the practicalities of their use. They are:</w:t>
      </w:r>
    </w:p>
    <w:p w14:paraId="421329E2" w14:textId="77777777" w:rsidR="004602FF" w:rsidRPr="007A4C6B" w:rsidRDefault="004602FF" w:rsidP="007A4C6B">
      <w:pPr>
        <w:numPr>
          <w:ilvl w:val="2"/>
          <w:numId w:val="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Highly mobile</w:t>
      </w:r>
      <w:r w:rsidRPr="007A4C6B">
        <w:rPr>
          <w:rFonts w:ascii="Times New Roman" w:hAnsi="Times New Roman"/>
          <w:lang w:val="en-HK"/>
        </w:rPr>
        <w:t>: Vehicles can easily be transported, making them attractive targets for theft or fraud.</w:t>
      </w:r>
    </w:p>
    <w:p w14:paraId="743A9A51" w14:textId="77777777" w:rsidR="004602FF" w:rsidRPr="007A4C6B" w:rsidRDefault="004602FF" w:rsidP="007A4C6B">
      <w:pPr>
        <w:numPr>
          <w:ilvl w:val="2"/>
          <w:numId w:val="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Accessible</w:t>
      </w:r>
      <w:r w:rsidRPr="007A4C6B">
        <w:rPr>
          <w:rFonts w:ascii="Times New Roman" w:hAnsi="Times New Roman"/>
          <w:lang w:val="en-HK"/>
        </w:rPr>
        <w:t>: Frequently left unattended for long periods on public streets, creating opportunities for wrongful disposition.</w:t>
      </w:r>
    </w:p>
    <w:p w14:paraId="073EFFC1" w14:textId="77777777" w:rsidR="004602FF" w:rsidRPr="007A4C6B" w:rsidRDefault="004602FF" w:rsidP="007A4C6B">
      <w:pPr>
        <w:numPr>
          <w:ilvl w:val="2"/>
          <w:numId w:val="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Marketable</w:t>
      </w:r>
      <w:r w:rsidRPr="007A4C6B">
        <w:rPr>
          <w:rFonts w:ascii="Times New Roman" w:hAnsi="Times New Roman"/>
          <w:lang w:val="en-HK"/>
        </w:rPr>
        <w:t>: A thriving second-hand market exists, which facilitates the ease of fraudulent transactions.</w:t>
      </w:r>
    </w:p>
    <w:p w14:paraId="16E63900" w14:textId="77777777" w:rsidR="004602FF" w:rsidRPr="007A4C6B" w:rsidRDefault="004602FF" w:rsidP="007A4C6B">
      <w:pPr>
        <w:numPr>
          <w:ilvl w:val="2"/>
          <w:numId w:val="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Valuable chattels</w:t>
      </w:r>
      <w:r w:rsidRPr="007A4C6B">
        <w:rPr>
          <w:rFonts w:ascii="Times New Roman" w:hAnsi="Times New Roman"/>
          <w:lang w:val="en-HK"/>
        </w:rPr>
        <w:t>: For many, motor vehicles are the most expensive items they own, amplifying the consequences of fraudulent dealings.</w:t>
      </w:r>
    </w:p>
    <w:p w14:paraId="19257D15"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lastRenderedPageBreak/>
        <w:t>These factors place motor vehicles in a unique category of personal property, where ownership and possession often diverge.</w:t>
      </w:r>
    </w:p>
    <w:p w14:paraId="4E3C5E6D" w14:textId="77777777" w:rsidR="004602FF" w:rsidRPr="007A4C6B" w:rsidRDefault="004602FF" w:rsidP="007A4C6B">
      <w:pPr>
        <w:numPr>
          <w:ilvl w:val="0"/>
          <w:numId w:val="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Policy Dilemma</w:t>
      </w:r>
      <w:r w:rsidRPr="007A4C6B">
        <w:rPr>
          <w:rFonts w:ascii="Times New Roman" w:hAnsi="Times New Roman"/>
          <w:lang w:val="en-HK"/>
        </w:rPr>
        <w:t>:</w:t>
      </w:r>
    </w:p>
    <w:p w14:paraId="7CFF6698"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issue often arises when an individual in possession of a vehicle wrongfully disposes of it to an innocent third party. The law must allocate losses between two innocent parties because the fraudulent party is either insolvent or beyond reach.</w:t>
      </w:r>
    </w:p>
    <w:p w14:paraId="6D0FBDBE"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As Roskill LJ noted in </w:t>
      </w:r>
      <w:r w:rsidRPr="007A4C6B">
        <w:rPr>
          <w:rFonts w:ascii="Times New Roman" w:hAnsi="Times New Roman"/>
          <w:b/>
          <w:bCs/>
          <w:lang w:val="en-HK"/>
        </w:rPr>
        <w:t>Stevenson v. Beverley Bentinck Ltd [1976] 1 WLR 483</w:t>
      </w:r>
      <w:r w:rsidRPr="007A4C6B">
        <w:rPr>
          <w:rFonts w:ascii="Times New Roman" w:hAnsi="Times New Roman"/>
          <w:lang w:val="en-HK"/>
        </w:rPr>
        <w:t>:</w:t>
      </w:r>
    </w:p>
    <w:p w14:paraId="0FEF0ADA" w14:textId="77777777" w:rsidR="004602FF" w:rsidRPr="007A4C6B" w:rsidRDefault="004602FF" w:rsidP="007A4C6B">
      <w:pPr>
        <w:spacing w:beforeAutospacing="1" w:afterAutospacing="1" w:line="360" w:lineRule="auto"/>
        <w:rPr>
          <w:rFonts w:ascii="Times New Roman" w:hAnsi="Times New Roman"/>
          <w:lang w:val="en-HK"/>
        </w:rPr>
      </w:pPr>
      <w:r w:rsidRPr="007A4C6B">
        <w:rPr>
          <w:rFonts w:ascii="Times New Roman" w:hAnsi="Times New Roman"/>
          <w:lang w:val="en-HK"/>
        </w:rPr>
        <w:t>"Courts have to decide where, as between two wholly innocent parties, that loss should fall… particularly in the case of motor cars because persons who hire motor cars… persist in selling them or purporting to sell them, to innocent purchasers."</w:t>
      </w:r>
    </w:p>
    <w:p w14:paraId="6080052A"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policy focus is on balancing the rights of owners (or financiers) with the protection of innocent purchasers.</w:t>
      </w:r>
    </w:p>
    <w:p w14:paraId="2A531066" w14:textId="77777777" w:rsidR="004602FF" w:rsidRPr="007A4C6B" w:rsidRDefault="004602FF" w:rsidP="007A4C6B">
      <w:pPr>
        <w:numPr>
          <w:ilvl w:val="0"/>
          <w:numId w:val="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Modern Financing Techniques</w:t>
      </w:r>
      <w:r w:rsidRPr="007A4C6B">
        <w:rPr>
          <w:rFonts w:ascii="Times New Roman" w:hAnsi="Times New Roman"/>
          <w:lang w:val="en-HK"/>
        </w:rPr>
        <w:t>:</w:t>
      </w:r>
    </w:p>
    <w:p w14:paraId="4FA8E15C"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Financing has shifted towards funding the </w:t>
      </w:r>
      <w:r w:rsidRPr="007A4C6B">
        <w:rPr>
          <w:rFonts w:ascii="Times New Roman" w:hAnsi="Times New Roman"/>
          <w:b/>
          <w:bCs/>
          <w:lang w:val="en-HK"/>
        </w:rPr>
        <w:t>depreciation</w:t>
      </w:r>
      <w:r w:rsidRPr="007A4C6B">
        <w:rPr>
          <w:rFonts w:ascii="Times New Roman" w:hAnsi="Times New Roman"/>
          <w:lang w:val="en-HK"/>
        </w:rPr>
        <w:t xml:space="preserve"> rather than ownership of vehicles. Examples include hire purchase agreements and lease agreements with no intent to transfer ownership.</w:t>
      </w:r>
    </w:p>
    <w:p w14:paraId="1CDA6B21"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divergence between possession and ownership exacerbates the problem of ostensible ownership, raising complex questions of legal protection for innocent purchasers.</w:t>
      </w:r>
    </w:p>
    <w:p w14:paraId="024C8943" w14:textId="77777777" w:rsidR="004602FF" w:rsidRPr="007A4C6B" w:rsidRDefault="004602FF" w:rsidP="007A4C6B">
      <w:pPr>
        <w:numPr>
          <w:ilvl w:val="0"/>
          <w:numId w:val="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Statutory Framework</w:t>
      </w:r>
      <w:r w:rsidRPr="007A4C6B">
        <w:rPr>
          <w:rFonts w:ascii="Times New Roman" w:hAnsi="Times New Roman"/>
          <w:lang w:val="en-HK"/>
        </w:rPr>
        <w:t>:</w:t>
      </w:r>
    </w:p>
    <w:p w14:paraId="4D3A92A0"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principle of </w:t>
      </w:r>
      <w:r w:rsidRPr="007A4C6B">
        <w:rPr>
          <w:rFonts w:ascii="Times New Roman" w:hAnsi="Times New Roman"/>
          <w:b/>
          <w:bCs/>
          <w:lang w:val="en-HK"/>
        </w:rPr>
        <w:t xml:space="preserve">nemo </w:t>
      </w:r>
      <w:proofErr w:type="spellStart"/>
      <w:r w:rsidRPr="007A4C6B">
        <w:rPr>
          <w:rFonts w:ascii="Times New Roman" w:hAnsi="Times New Roman"/>
          <w:b/>
          <w:bCs/>
          <w:lang w:val="en-HK"/>
        </w:rPr>
        <w:t>dat</w:t>
      </w:r>
      <w:proofErr w:type="spellEnd"/>
      <w:r w:rsidRPr="007A4C6B">
        <w:rPr>
          <w:rFonts w:ascii="Times New Roman" w:hAnsi="Times New Roman"/>
          <w:b/>
          <w:bCs/>
          <w:lang w:val="en-HK"/>
        </w:rPr>
        <w:t xml:space="preserve"> quod non </w:t>
      </w:r>
      <w:proofErr w:type="spellStart"/>
      <w:r w:rsidRPr="007A4C6B">
        <w:rPr>
          <w:rFonts w:ascii="Times New Roman" w:hAnsi="Times New Roman"/>
          <w:b/>
          <w:bCs/>
          <w:lang w:val="en-HK"/>
        </w:rPr>
        <w:t>habet</w:t>
      </w:r>
      <w:proofErr w:type="spellEnd"/>
      <w:r w:rsidRPr="007A4C6B">
        <w:rPr>
          <w:rFonts w:ascii="Times New Roman" w:hAnsi="Times New Roman"/>
          <w:lang w:val="en-HK"/>
        </w:rPr>
        <w:t xml:space="preserve"> codified in Section 21(1) of the </w:t>
      </w:r>
      <w:r w:rsidRPr="007A4C6B">
        <w:rPr>
          <w:rFonts w:ascii="Times New Roman" w:hAnsi="Times New Roman"/>
          <w:b/>
          <w:bCs/>
          <w:lang w:val="en-HK"/>
        </w:rPr>
        <w:t>Sale of Goods Act 1979</w:t>
      </w:r>
      <w:r w:rsidRPr="007A4C6B">
        <w:rPr>
          <w:rFonts w:ascii="Times New Roman" w:hAnsi="Times New Roman"/>
          <w:lang w:val="en-HK"/>
        </w:rPr>
        <w:t xml:space="preserve"> provides:</w:t>
      </w:r>
    </w:p>
    <w:p w14:paraId="5B17E250" w14:textId="77777777" w:rsidR="004602FF" w:rsidRPr="007A4C6B" w:rsidRDefault="004602FF" w:rsidP="007A4C6B">
      <w:pPr>
        <w:spacing w:beforeAutospacing="1" w:afterAutospacing="1" w:line="360" w:lineRule="auto"/>
        <w:rPr>
          <w:rFonts w:ascii="Times New Roman" w:hAnsi="Times New Roman"/>
          <w:lang w:val="en-HK"/>
        </w:rPr>
      </w:pPr>
      <w:r w:rsidRPr="007A4C6B">
        <w:rPr>
          <w:rFonts w:ascii="Times New Roman" w:hAnsi="Times New Roman"/>
          <w:lang w:val="en-HK"/>
        </w:rPr>
        <w:t>“Subject to this Act, where goods are sold by a person who is not their owner and who does not sell them under the authority or with the consent of the owner, the buyer acquires no better title to the goods than the seller had.”</w:t>
      </w:r>
    </w:p>
    <w:p w14:paraId="3E51EDE8"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lastRenderedPageBreak/>
        <w:t>This principle underscores the traditional protection of ownership. However, exceptions exist, such as:</w:t>
      </w:r>
    </w:p>
    <w:p w14:paraId="6820A4C3" w14:textId="77777777" w:rsidR="004602FF" w:rsidRPr="007A4C6B" w:rsidRDefault="004602FF" w:rsidP="007A4C6B">
      <w:pPr>
        <w:numPr>
          <w:ilvl w:val="2"/>
          <w:numId w:val="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Mercantile agents</w:t>
      </w:r>
      <w:r w:rsidRPr="007A4C6B">
        <w:rPr>
          <w:rFonts w:ascii="Times New Roman" w:hAnsi="Times New Roman"/>
          <w:lang w:val="en-HK"/>
        </w:rPr>
        <w:t xml:space="preserve"> acting under the </w:t>
      </w:r>
      <w:r w:rsidRPr="007A4C6B">
        <w:rPr>
          <w:rFonts w:ascii="Times New Roman" w:hAnsi="Times New Roman"/>
          <w:b/>
          <w:bCs/>
          <w:lang w:val="en-HK"/>
        </w:rPr>
        <w:t>Factors Act 1889</w:t>
      </w:r>
      <w:r w:rsidRPr="007A4C6B">
        <w:rPr>
          <w:rFonts w:ascii="Times New Roman" w:hAnsi="Times New Roman"/>
          <w:lang w:val="en-HK"/>
        </w:rPr>
        <w:t>, provided they act within the "ordinary course of business."</w:t>
      </w:r>
    </w:p>
    <w:p w14:paraId="475DB19E" w14:textId="77777777" w:rsidR="004602FF" w:rsidRPr="007A4C6B" w:rsidRDefault="004602FF" w:rsidP="007A4C6B">
      <w:pPr>
        <w:numPr>
          <w:ilvl w:val="2"/>
          <w:numId w:val="1"/>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Estoppel</w:t>
      </w:r>
      <w:r w:rsidRPr="007A4C6B">
        <w:rPr>
          <w:rFonts w:ascii="Times New Roman" w:hAnsi="Times New Roman"/>
          <w:lang w:val="en-HK"/>
        </w:rPr>
        <w:t xml:space="preserve"> and other exceptions introduced by statute and case law.</w:t>
      </w:r>
    </w:p>
    <w:p w14:paraId="7073E000" w14:textId="77777777" w:rsidR="004602FF" w:rsidRPr="007A4C6B" w:rsidRDefault="004602FF" w:rsidP="007A4C6B">
      <w:pPr>
        <w:numPr>
          <w:ilvl w:val="1"/>
          <w:numId w:val="1"/>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These exceptions demonstrate the law’s attempt to balance competing interests, but significant gaps remain in the statutory framework.</w:t>
      </w:r>
    </w:p>
    <w:p w14:paraId="28654588" w14:textId="77777777" w:rsidR="004602FF" w:rsidRPr="007A4C6B" w:rsidRDefault="00782954" w:rsidP="007A4C6B">
      <w:pPr>
        <w:spacing w:line="360" w:lineRule="auto"/>
        <w:rPr>
          <w:rFonts w:ascii="Times New Roman" w:hAnsi="Times New Roman"/>
          <w:lang w:val="en-HK"/>
        </w:rPr>
      </w:pPr>
      <w:r w:rsidRPr="00782954">
        <w:rPr>
          <w:rFonts w:ascii="Times New Roman" w:hAnsi="Times New Roman"/>
          <w:noProof/>
          <w:lang w:val="en-HK"/>
          <w14:ligatures w14:val="standardContextual"/>
        </w:rPr>
        <w:pict w14:anchorId="5CF7E28B">
          <v:rect id="_x0000_i1029" alt="" style="width:451.3pt;height:.05pt;mso-width-percent:0;mso-height-percent:0;mso-width-percent:0;mso-height-percent:0" o:hralign="center" o:hrstd="t" o:hr="t" fillcolor="#a0a0a0" stroked="f"/>
        </w:pict>
      </w:r>
    </w:p>
    <w:p w14:paraId="50292AAD" w14:textId="62F535F0" w:rsidR="004602FF" w:rsidRPr="007A4C6B" w:rsidRDefault="00F40330" w:rsidP="007A4C6B">
      <w:pPr>
        <w:spacing w:before="100" w:beforeAutospacing="1" w:after="100" w:afterAutospacing="1" w:line="360" w:lineRule="auto"/>
        <w:outlineLvl w:val="2"/>
        <w:rPr>
          <w:rFonts w:ascii="Times New Roman" w:hAnsi="Times New Roman"/>
          <w:b/>
          <w:bCs/>
          <w:lang w:val="en-HK"/>
        </w:rPr>
      </w:pPr>
      <w:r w:rsidRPr="007A4C6B">
        <w:rPr>
          <w:rFonts w:ascii="Times New Roman" w:hAnsi="Times New Roman"/>
          <w:b/>
          <w:bCs/>
          <w:lang w:val="en-HK"/>
        </w:rPr>
        <w:t xml:space="preserve">II. </w:t>
      </w:r>
      <w:r w:rsidR="004602FF" w:rsidRPr="007A4C6B">
        <w:rPr>
          <w:rFonts w:ascii="Times New Roman" w:hAnsi="Times New Roman"/>
          <w:b/>
          <w:bCs/>
          <w:lang w:val="en-HK"/>
        </w:rPr>
        <w:t>Common Law: A Form Over Substance Approach</w:t>
      </w:r>
    </w:p>
    <w:p w14:paraId="5657187F" w14:textId="77777777" w:rsidR="004602FF" w:rsidRPr="007A4C6B" w:rsidRDefault="004602FF" w:rsidP="007A4C6B">
      <w:pPr>
        <w:numPr>
          <w:ilvl w:val="0"/>
          <w:numId w:val="2"/>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Nemo Dat Principle</w:t>
      </w:r>
      <w:r w:rsidRPr="007A4C6B">
        <w:rPr>
          <w:rFonts w:ascii="Times New Roman" w:hAnsi="Times New Roman"/>
          <w:lang w:val="en-HK"/>
        </w:rPr>
        <w:t>:</w:t>
      </w:r>
    </w:p>
    <w:p w14:paraId="66539E52"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At its core, the </w:t>
      </w:r>
      <w:r w:rsidRPr="007A4C6B">
        <w:rPr>
          <w:rFonts w:ascii="Times New Roman" w:hAnsi="Times New Roman"/>
          <w:b/>
          <w:bCs/>
          <w:lang w:val="en-HK"/>
        </w:rPr>
        <w:t xml:space="preserve">nemo </w:t>
      </w:r>
      <w:proofErr w:type="spellStart"/>
      <w:r w:rsidRPr="007A4C6B">
        <w:rPr>
          <w:rFonts w:ascii="Times New Roman" w:hAnsi="Times New Roman"/>
          <w:b/>
          <w:bCs/>
          <w:lang w:val="en-HK"/>
        </w:rPr>
        <w:t>dat</w:t>
      </w:r>
      <w:proofErr w:type="spellEnd"/>
      <w:r w:rsidRPr="007A4C6B">
        <w:rPr>
          <w:rFonts w:ascii="Times New Roman" w:hAnsi="Times New Roman"/>
          <w:lang w:val="en-HK"/>
        </w:rPr>
        <w:t xml:space="preserve"> rule reflects the principle that possession alone does not confer ownership. This rule protects the original owner from wrongful disposition by a person in mere possession.</w:t>
      </w:r>
    </w:p>
    <w:p w14:paraId="30ED95FE"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principle is foundational to English property law and is described by Lord Westbury in </w:t>
      </w:r>
      <w:r w:rsidRPr="007A4C6B">
        <w:rPr>
          <w:rFonts w:ascii="Times New Roman" w:hAnsi="Times New Roman"/>
          <w:b/>
          <w:bCs/>
          <w:lang w:val="en-HK"/>
        </w:rPr>
        <w:t>Phillips v. Phillips (1861) 4 De GF &amp; J 268</w:t>
      </w:r>
      <w:r w:rsidRPr="007A4C6B">
        <w:rPr>
          <w:rFonts w:ascii="Times New Roman" w:hAnsi="Times New Roman"/>
          <w:lang w:val="en-HK"/>
        </w:rPr>
        <w:t>:</w:t>
      </w:r>
    </w:p>
    <w:p w14:paraId="25A001D3" w14:textId="77777777" w:rsidR="004602FF" w:rsidRPr="007A4C6B" w:rsidRDefault="004602FF" w:rsidP="007A4C6B">
      <w:pPr>
        <w:spacing w:beforeAutospacing="1" w:afterAutospacing="1" w:line="360" w:lineRule="auto"/>
        <w:rPr>
          <w:rFonts w:ascii="Times New Roman" w:hAnsi="Times New Roman"/>
          <w:lang w:val="en-HK"/>
        </w:rPr>
      </w:pPr>
      <w:r w:rsidRPr="007A4C6B">
        <w:rPr>
          <w:rFonts w:ascii="Times New Roman" w:hAnsi="Times New Roman"/>
          <w:lang w:val="en-HK"/>
        </w:rPr>
        <w:t>“The transferor disposes of only that to which he is justly entitled.”</w:t>
      </w:r>
    </w:p>
    <w:p w14:paraId="0672B93F" w14:textId="77777777" w:rsidR="004602FF" w:rsidRPr="007A4C6B" w:rsidRDefault="004602FF" w:rsidP="007A4C6B">
      <w:pPr>
        <w:numPr>
          <w:ilvl w:val="0"/>
          <w:numId w:val="2"/>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Case Law Interpretation</w:t>
      </w:r>
      <w:r w:rsidRPr="007A4C6B">
        <w:rPr>
          <w:rFonts w:ascii="Times New Roman" w:hAnsi="Times New Roman"/>
          <w:lang w:val="en-HK"/>
        </w:rPr>
        <w:t>:</w:t>
      </w:r>
    </w:p>
    <w:p w14:paraId="7A396533"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In </w:t>
      </w:r>
      <w:proofErr w:type="spellStart"/>
      <w:r w:rsidRPr="007A4C6B">
        <w:rPr>
          <w:rFonts w:ascii="Times New Roman" w:hAnsi="Times New Roman"/>
          <w:b/>
          <w:bCs/>
          <w:lang w:val="en-HK"/>
        </w:rPr>
        <w:t>Helby</w:t>
      </w:r>
      <w:proofErr w:type="spellEnd"/>
      <w:r w:rsidRPr="007A4C6B">
        <w:rPr>
          <w:rFonts w:ascii="Times New Roman" w:hAnsi="Times New Roman"/>
          <w:b/>
          <w:bCs/>
          <w:lang w:val="en-HK"/>
        </w:rPr>
        <w:t xml:space="preserve"> v. Matthews [1895] AC 471</w:t>
      </w:r>
      <w:r w:rsidRPr="007A4C6B">
        <w:rPr>
          <w:rFonts w:ascii="Times New Roman" w:hAnsi="Times New Roman"/>
          <w:lang w:val="en-HK"/>
        </w:rPr>
        <w:t>, the House of Lords held:</w:t>
      </w:r>
    </w:p>
    <w:p w14:paraId="06EC4207"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A hirer under an option-to-purchase agreement cannot pass a good title because they do not have ownership but merely possession. This decision reinforced the nemo </w:t>
      </w:r>
      <w:proofErr w:type="spellStart"/>
      <w:r w:rsidRPr="007A4C6B">
        <w:rPr>
          <w:rFonts w:ascii="Times New Roman" w:hAnsi="Times New Roman"/>
          <w:lang w:val="en-HK"/>
        </w:rPr>
        <w:t>dat</w:t>
      </w:r>
      <w:proofErr w:type="spellEnd"/>
      <w:r w:rsidRPr="007A4C6B">
        <w:rPr>
          <w:rFonts w:ascii="Times New Roman" w:hAnsi="Times New Roman"/>
          <w:lang w:val="en-HK"/>
        </w:rPr>
        <w:t xml:space="preserve"> principle in the context of motor vehicle financing.</w:t>
      </w:r>
    </w:p>
    <w:p w14:paraId="30ADBA9F"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Pearson v. Rose and Young Ltd [1951] 1 KB 275</w:t>
      </w:r>
      <w:r w:rsidRPr="007A4C6B">
        <w:rPr>
          <w:rFonts w:ascii="Times New Roman" w:hAnsi="Times New Roman"/>
          <w:lang w:val="en-HK"/>
        </w:rPr>
        <w:t>:</w:t>
      </w:r>
    </w:p>
    <w:p w14:paraId="13DD2275"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court held that a disposition of a car by a mercantile agent was invalid because the agent lacked possession of the logbook. Although the agent had possession of the car, the absence </w:t>
      </w:r>
      <w:r w:rsidRPr="007A4C6B">
        <w:rPr>
          <w:rFonts w:ascii="Times New Roman" w:hAnsi="Times New Roman"/>
          <w:lang w:val="en-HK"/>
        </w:rPr>
        <w:lastRenderedPageBreak/>
        <w:t>of the logbook indicated a lack of authority to transfer ownership. The decision emphasized that possession alone is insufficient without other indicia of ownership.</w:t>
      </w:r>
    </w:p>
    <w:p w14:paraId="257F9AED" w14:textId="77777777" w:rsidR="004602FF" w:rsidRPr="007A4C6B" w:rsidRDefault="004602FF" w:rsidP="007A4C6B">
      <w:pPr>
        <w:numPr>
          <w:ilvl w:val="0"/>
          <w:numId w:val="2"/>
        </w:numPr>
        <w:spacing w:before="100" w:beforeAutospacing="1" w:after="100" w:afterAutospacing="1" w:line="360" w:lineRule="auto"/>
        <w:rPr>
          <w:rFonts w:ascii="Times New Roman" w:hAnsi="Times New Roman"/>
          <w:highlight w:val="yellow"/>
          <w:lang w:val="en-HK"/>
        </w:rPr>
      </w:pPr>
      <w:r w:rsidRPr="007A4C6B">
        <w:rPr>
          <w:rFonts w:ascii="Times New Roman" w:hAnsi="Times New Roman"/>
          <w:b/>
          <w:bCs/>
          <w:highlight w:val="yellow"/>
          <w:lang w:val="en-HK"/>
        </w:rPr>
        <w:t>Factors Act 1889</w:t>
      </w:r>
      <w:r w:rsidRPr="007A4C6B">
        <w:rPr>
          <w:rFonts w:ascii="Times New Roman" w:hAnsi="Times New Roman"/>
          <w:highlight w:val="yellow"/>
          <w:lang w:val="en-HK"/>
        </w:rPr>
        <w:t>:</w:t>
      </w:r>
    </w:p>
    <w:p w14:paraId="2B674752"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Section 2(1) allows a mercantile agent to pass good title if acting within the ordinary course of business:</w:t>
      </w:r>
    </w:p>
    <w:p w14:paraId="3427EABC" w14:textId="77777777" w:rsidR="004602FF" w:rsidRPr="007A4C6B" w:rsidRDefault="004602FF" w:rsidP="007A4C6B">
      <w:pPr>
        <w:spacing w:beforeAutospacing="1" w:afterAutospacing="1" w:line="360" w:lineRule="auto"/>
        <w:rPr>
          <w:rFonts w:ascii="Times New Roman" w:hAnsi="Times New Roman"/>
          <w:b/>
          <w:bCs/>
          <w:lang w:val="en-HK"/>
        </w:rPr>
      </w:pPr>
      <w:r w:rsidRPr="007A4C6B">
        <w:rPr>
          <w:rFonts w:ascii="Times New Roman" w:hAnsi="Times New Roman"/>
          <w:lang w:val="en-HK"/>
        </w:rPr>
        <w:t>“</w:t>
      </w:r>
      <w:r w:rsidRPr="007A4C6B">
        <w:rPr>
          <w:rFonts w:ascii="Times New Roman" w:hAnsi="Times New Roman"/>
          <w:b/>
          <w:bCs/>
          <w:highlight w:val="yellow"/>
          <w:lang w:val="en-HK"/>
        </w:rPr>
        <w:t>Where a mercantile agent is… in possession of the goods… with the consent of the owner, any sale… made by him,</w:t>
      </w:r>
      <w:r w:rsidRPr="007A4C6B">
        <w:rPr>
          <w:rFonts w:ascii="Times New Roman" w:hAnsi="Times New Roman"/>
          <w:b/>
          <w:bCs/>
          <w:lang w:val="en-HK"/>
        </w:rPr>
        <w:t xml:space="preserve"> when acting in the ordinary course of business of a mercantile agent, shall… be as valid as if he were expressly authorized by the owner of the goods to make the same.”</w:t>
      </w:r>
    </w:p>
    <w:p w14:paraId="7A64EEE2"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courts have imposed limitations on the interpretation of "ordinary course of business." For instance:</w:t>
      </w:r>
    </w:p>
    <w:p w14:paraId="0D2D43F9"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In </w:t>
      </w:r>
      <w:r w:rsidRPr="007A4C6B">
        <w:rPr>
          <w:rFonts w:ascii="Times New Roman" w:hAnsi="Times New Roman"/>
          <w:b/>
          <w:bCs/>
          <w:lang w:val="en-HK"/>
        </w:rPr>
        <w:t>Stadium Finance Ltd v. Robbins [1962] 2 QB 664</w:t>
      </w:r>
      <w:r w:rsidRPr="007A4C6B">
        <w:rPr>
          <w:rFonts w:ascii="Times New Roman" w:hAnsi="Times New Roman"/>
          <w:lang w:val="en-HK"/>
        </w:rPr>
        <w:t>, the court clarified that the ordinary course of business must align with the agent’s intended role (e.g., selling goods rather than renting them out).</w:t>
      </w:r>
    </w:p>
    <w:p w14:paraId="1C956247" w14:textId="56B70CB0" w:rsidR="004602FF" w:rsidRPr="007A4C6B" w:rsidRDefault="004602FF" w:rsidP="007A4C6B">
      <w:pPr>
        <w:numPr>
          <w:ilvl w:val="0"/>
          <w:numId w:val="2"/>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Entrustment Concept</w:t>
      </w:r>
      <w:r w:rsidRPr="007A4C6B">
        <w:rPr>
          <w:rFonts w:ascii="Times New Roman" w:hAnsi="Times New Roman"/>
          <w:lang w:val="en-HK"/>
        </w:rPr>
        <w:t>:</w:t>
      </w:r>
      <w:r w:rsidR="008E23F4" w:rsidRPr="007A4C6B">
        <w:rPr>
          <w:rFonts w:ascii="Microsoft JhengHei" w:eastAsia="Microsoft JhengHei" w:hAnsi="Microsoft JhengHei" w:hint="eastAsia"/>
          <w:color w:val="000000"/>
          <w:shd w:val="clear" w:color="auto" w:fill="EFF6FF"/>
        </w:rPr>
        <w:t xml:space="preserve"> 委託理念</w:t>
      </w:r>
    </w:p>
    <w:p w14:paraId="29E807D3"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English common law diverged from the civilian concept of </w:t>
      </w:r>
      <w:r w:rsidRPr="007A4C6B">
        <w:rPr>
          <w:rFonts w:ascii="Times New Roman" w:hAnsi="Times New Roman"/>
          <w:b/>
          <w:bCs/>
          <w:lang w:val="en-HK"/>
        </w:rPr>
        <w:t xml:space="preserve">possession </w:t>
      </w:r>
      <w:proofErr w:type="spellStart"/>
      <w:r w:rsidRPr="007A4C6B">
        <w:rPr>
          <w:rFonts w:ascii="Times New Roman" w:hAnsi="Times New Roman"/>
          <w:b/>
          <w:bCs/>
          <w:lang w:val="en-HK"/>
        </w:rPr>
        <w:t>vaut</w:t>
      </w:r>
      <w:proofErr w:type="spellEnd"/>
      <w:r w:rsidRPr="007A4C6B">
        <w:rPr>
          <w:rFonts w:ascii="Times New Roman" w:hAnsi="Times New Roman"/>
          <w:b/>
          <w:bCs/>
          <w:lang w:val="en-HK"/>
        </w:rPr>
        <w:t xml:space="preserve"> titre</w:t>
      </w:r>
      <w:r w:rsidRPr="007A4C6B">
        <w:rPr>
          <w:rFonts w:ascii="Times New Roman" w:hAnsi="Times New Roman"/>
          <w:lang w:val="en-HK"/>
        </w:rPr>
        <w:t xml:space="preserve"> (possession confers ownership) by emphasizing </w:t>
      </w:r>
      <w:r w:rsidRPr="007A4C6B">
        <w:rPr>
          <w:rFonts w:ascii="Times New Roman" w:hAnsi="Times New Roman"/>
          <w:b/>
          <w:bCs/>
          <w:lang w:val="en-HK"/>
        </w:rPr>
        <w:t>entrustment</w:t>
      </w:r>
      <w:r w:rsidRPr="007A4C6B">
        <w:rPr>
          <w:rFonts w:ascii="Times New Roman" w:hAnsi="Times New Roman"/>
          <w:lang w:val="en-HK"/>
        </w:rPr>
        <w:t xml:space="preserve"> instead. This is evident in the </w:t>
      </w:r>
      <w:r w:rsidRPr="007A4C6B">
        <w:rPr>
          <w:rFonts w:ascii="Times New Roman" w:hAnsi="Times New Roman"/>
          <w:b/>
          <w:bCs/>
          <w:lang w:val="en-HK"/>
        </w:rPr>
        <w:t>Factors Act 1889</w:t>
      </w:r>
      <w:r w:rsidRPr="007A4C6B">
        <w:rPr>
          <w:rFonts w:ascii="Times New Roman" w:hAnsi="Times New Roman"/>
          <w:lang w:val="en-HK"/>
        </w:rPr>
        <w:t>, which bases property transferability on the agent’s authority rather than mere possession.</w:t>
      </w:r>
    </w:p>
    <w:p w14:paraId="4580EED0" w14:textId="77777777" w:rsidR="004602FF" w:rsidRPr="007A4C6B" w:rsidRDefault="004602FF" w:rsidP="007A4C6B">
      <w:pPr>
        <w:numPr>
          <w:ilvl w:val="0"/>
          <w:numId w:val="2"/>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Economic Considerations</w:t>
      </w:r>
      <w:r w:rsidRPr="007A4C6B">
        <w:rPr>
          <w:rFonts w:ascii="Times New Roman" w:hAnsi="Times New Roman"/>
          <w:lang w:val="en-HK"/>
        </w:rPr>
        <w:t>:</w:t>
      </w:r>
    </w:p>
    <w:p w14:paraId="7E566E23"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Courts argue that financiers, as commercial entities, are better equipped to monitor risks and bear losses. This aligns with economic theories of risk allocation, where the party with greater monitoring capacity absorbs the costs of fraud prevention.</w:t>
      </w:r>
    </w:p>
    <w:p w14:paraId="54CC26FB"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case for risk allocation is supported by </w:t>
      </w:r>
      <w:proofErr w:type="spellStart"/>
      <w:r w:rsidRPr="007A4C6B">
        <w:rPr>
          <w:rFonts w:ascii="Times New Roman" w:hAnsi="Times New Roman"/>
          <w:lang w:val="en-HK"/>
        </w:rPr>
        <w:t>Alchian</w:t>
      </w:r>
      <w:proofErr w:type="spellEnd"/>
      <w:r w:rsidRPr="007A4C6B">
        <w:rPr>
          <w:rFonts w:ascii="Times New Roman" w:hAnsi="Times New Roman"/>
          <w:lang w:val="en-HK"/>
        </w:rPr>
        <w:t xml:space="preserve"> and </w:t>
      </w:r>
      <w:proofErr w:type="spellStart"/>
      <w:r w:rsidRPr="007A4C6B">
        <w:rPr>
          <w:rFonts w:ascii="Times New Roman" w:hAnsi="Times New Roman"/>
          <w:lang w:val="en-HK"/>
        </w:rPr>
        <w:t>Demsetz’s</w:t>
      </w:r>
      <w:proofErr w:type="spellEnd"/>
      <w:r w:rsidRPr="007A4C6B">
        <w:rPr>
          <w:rFonts w:ascii="Times New Roman" w:hAnsi="Times New Roman"/>
          <w:lang w:val="en-HK"/>
        </w:rPr>
        <w:t xml:space="preserve"> theory in </w:t>
      </w:r>
      <w:r w:rsidRPr="007A4C6B">
        <w:rPr>
          <w:rFonts w:ascii="Times New Roman" w:hAnsi="Times New Roman"/>
          <w:b/>
          <w:bCs/>
          <w:lang w:val="en-HK"/>
        </w:rPr>
        <w:t>Production, Information Costs, and Economic Organisation (1972)</w:t>
      </w:r>
      <w:r w:rsidRPr="007A4C6B">
        <w:rPr>
          <w:rFonts w:ascii="Times New Roman" w:hAnsi="Times New Roman"/>
          <w:lang w:val="en-HK"/>
        </w:rPr>
        <w:t>, which emphasizes balancing the costs of monitoring with the benefits of fraud detection.</w:t>
      </w:r>
    </w:p>
    <w:p w14:paraId="3700452C" w14:textId="77777777" w:rsidR="004602FF" w:rsidRPr="007A4C6B" w:rsidRDefault="004602FF" w:rsidP="007A4C6B">
      <w:pPr>
        <w:numPr>
          <w:ilvl w:val="0"/>
          <w:numId w:val="2"/>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lastRenderedPageBreak/>
        <w:t>Policy Limitations</w:t>
      </w:r>
      <w:r w:rsidRPr="007A4C6B">
        <w:rPr>
          <w:rFonts w:ascii="Times New Roman" w:hAnsi="Times New Roman"/>
          <w:lang w:val="en-HK"/>
        </w:rPr>
        <w:t>:</w:t>
      </w:r>
    </w:p>
    <w:p w14:paraId="206A8898"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estoppel exception under Section 21(1) of the </w:t>
      </w:r>
      <w:r w:rsidRPr="007A4C6B">
        <w:rPr>
          <w:rFonts w:ascii="Times New Roman" w:hAnsi="Times New Roman"/>
          <w:b/>
          <w:bCs/>
          <w:lang w:val="en-HK"/>
        </w:rPr>
        <w:t>Sale of Goods Act 1979</w:t>
      </w:r>
      <w:r w:rsidRPr="007A4C6B">
        <w:rPr>
          <w:rFonts w:ascii="Times New Roman" w:hAnsi="Times New Roman"/>
          <w:lang w:val="en-HK"/>
        </w:rPr>
        <w:t xml:space="preserve"> has limited application. Courts require clear representation by the owner to invoke estoppel, as illustrated in </w:t>
      </w:r>
      <w:r w:rsidRPr="007A4C6B">
        <w:rPr>
          <w:rFonts w:ascii="Times New Roman" w:hAnsi="Times New Roman"/>
          <w:b/>
          <w:bCs/>
          <w:lang w:val="en-HK"/>
        </w:rPr>
        <w:t>Farquharson Bros &amp; Co. v. King &amp; Co. [1902] AC 325</w:t>
      </w:r>
      <w:r w:rsidRPr="007A4C6B">
        <w:rPr>
          <w:rFonts w:ascii="Times New Roman" w:hAnsi="Times New Roman"/>
          <w:lang w:val="en-HK"/>
        </w:rPr>
        <w:t>, where estoppel was denied because the owner made no representation to the buyer.</w:t>
      </w:r>
    </w:p>
    <w:p w14:paraId="3207005E" w14:textId="77777777" w:rsidR="004602FF" w:rsidRPr="007A4C6B" w:rsidRDefault="004602FF" w:rsidP="007A4C6B">
      <w:pPr>
        <w:numPr>
          <w:ilvl w:val="0"/>
          <w:numId w:val="2"/>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Judicial Critique</w:t>
      </w:r>
      <w:r w:rsidRPr="007A4C6B">
        <w:rPr>
          <w:rFonts w:ascii="Times New Roman" w:hAnsi="Times New Roman"/>
          <w:lang w:val="en-HK"/>
        </w:rPr>
        <w:t>:</w:t>
      </w:r>
    </w:p>
    <w:p w14:paraId="51A5E51F" w14:textId="77777777" w:rsidR="004602FF" w:rsidRPr="007A4C6B" w:rsidRDefault="004602FF"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piecemeal development of common law solutions to ostensible ownership has drawn criticism for its lack of coherence. Roskill LJ in </w:t>
      </w:r>
      <w:r w:rsidRPr="007A4C6B">
        <w:rPr>
          <w:rFonts w:ascii="Times New Roman" w:hAnsi="Times New Roman"/>
          <w:b/>
          <w:bCs/>
          <w:lang w:val="en-HK"/>
        </w:rPr>
        <w:t>Stevenson v. Beverley Bentinck Ltd [1976] 1 WLR 483</w:t>
      </w:r>
      <w:r w:rsidRPr="007A4C6B">
        <w:rPr>
          <w:rFonts w:ascii="Times New Roman" w:hAnsi="Times New Roman"/>
          <w:lang w:val="en-HK"/>
        </w:rPr>
        <w:t xml:space="preserve"> highlighted Parliament’s role in addressing the gaps left by the common law:</w:t>
      </w:r>
    </w:p>
    <w:p w14:paraId="6453C155" w14:textId="77777777" w:rsidR="004602FF" w:rsidRPr="007A4C6B" w:rsidRDefault="004602FF" w:rsidP="007A4C6B">
      <w:pPr>
        <w:spacing w:beforeAutospacing="1" w:afterAutospacing="1" w:line="360" w:lineRule="auto"/>
        <w:rPr>
          <w:rFonts w:ascii="Times New Roman" w:hAnsi="Times New Roman"/>
          <w:lang w:val="en-HK"/>
        </w:rPr>
      </w:pPr>
      <w:r w:rsidRPr="007A4C6B">
        <w:rPr>
          <w:rFonts w:ascii="Times New Roman" w:hAnsi="Times New Roman"/>
          <w:lang w:val="en-HK"/>
        </w:rPr>
        <w:t>"Parliament thought it necessary to alter the common law position and to give limited protection to those who bought vehicles… under circumstances where the strict common law would leave them with nothing."</w:t>
      </w:r>
    </w:p>
    <w:p w14:paraId="7C2CC95E" w14:textId="77777777" w:rsidR="004602FF" w:rsidRPr="007A4C6B" w:rsidRDefault="00782954" w:rsidP="007A4C6B">
      <w:pPr>
        <w:spacing w:line="360" w:lineRule="auto"/>
        <w:rPr>
          <w:rFonts w:ascii="Times New Roman" w:hAnsi="Times New Roman"/>
          <w:lang w:val="en-HK"/>
        </w:rPr>
      </w:pPr>
      <w:r w:rsidRPr="00782954">
        <w:rPr>
          <w:rFonts w:ascii="Times New Roman" w:hAnsi="Times New Roman"/>
          <w:noProof/>
          <w:lang w:val="en-HK"/>
          <w14:ligatures w14:val="standardContextual"/>
        </w:rPr>
        <w:pict w14:anchorId="2CBACBC9">
          <v:rect id="_x0000_i1028" alt="" style="width:451.3pt;height:.05pt;mso-width-percent:0;mso-height-percent:0;mso-width-percent:0;mso-height-percent:0" o:hralign="center" o:hrstd="t" o:hr="t" fillcolor="#a0a0a0" stroked="f"/>
        </w:pict>
      </w:r>
    </w:p>
    <w:p w14:paraId="088D2125" w14:textId="75E7A64C" w:rsidR="00F40330" w:rsidRPr="007A4C6B" w:rsidRDefault="00F40330" w:rsidP="007A4C6B">
      <w:pPr>
        <w:spacing w:before="100" w:beforeAutospacing="1" w:after="100" w:afterAutospacing="1" w:line="360" w:lineRule="auto"/>
        <w:outlineLvl w:val="2"/>
        <w:rPr>
          <w:rFonts w:ascii="Times New Roman" w:hAnsi="Times New Roman"/>
          <w:b/>
          <w:bCs/>
          <w:lang w:val="en-HK"/>
        </w:rPr>
      </w:pPr>
      <w:r w:rsidRPr="007A4C6B">
        <w:rPr>
          <w:rFonts w:ascii="Times New Roman" w:hAnsi="Times New Roman"/>
          <w:b/>
          <w:bCs/>
          <w:lang w:val="en-HK"/>
        </w:rPr>
        <w:t>III. Notice and Registration</w:t>
      </w:r>
    </w:p>
    <w:p w14:paraId="293D3E51" w14:textId="77777777" w:rsidR="00F40330" w:rsidRPr="007A4C6B" w:rsidRDefault="00F40330" w:rsidP="007A4C6B">
      <w:pPr>
        <w:numPr>
          <w:ilvl w:val="0"/>
          <w:numId w:val="3"/>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Significance of Notice and Registration in Motor Vehicle Transactions</w:t>
      </w:r>
      <w:r w:rsidRPr="007A4C6B">
        <w:rPr>
          <w:rFonts w:ascii="Times New Roman" w:hAnsi="Times New Roman"/>
          <w:lang w:val="en-HK"/>
        </w:rPr>
        <w:t>:</w:t>
      </w:r>
    </w:p>
    <w:p w14:paraId="2D8C73E8"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absence of an efficient notification or registration system for encumbrances on motor vehicles has resulted in legal dilemmas, particularly for innocent purchasers unaware of prior interests.</w:t>
      </w:r>
    </w:p>
    <w:p w14:paraId="004753E4"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courts have examined whether vehicle registration certificates (logbooks) can serve as notice mechanisms. However, while they are not considered </w:t>
      </w:r>
      <w:r w:rsidRPr="007A4C6B">
        <w:rPr>
          <w:rFonts w:ascii="Times New Roman" w:hAnsi="Times New Roman"/>
          <w:b/>
          <w:bCs/>
          <w:lang w:val="en-HK"/>
        </w:rPr>
        <w:t>documents of title</w:t>
      </w:r>
      <w:r w:rsidRPr="007A4C6B">
        <w:rPr>
          <w:rFonts w:ascii="Times New Roman" w:hAnsi="Times New Roman"/>
          <w:lang w:val="en-HK"/>
        </w:rPr>
        <w:t xml:space="preserve">, they may influence a buyer's perception of ownership, creating potential estoppel under Section 21(1) of the </w:t>
      </w:r>
      <w:r w:rsidRPr="007A4C6B">
        <w:rPr>
          <w:rFonts w:ascii="Times New Roman" w:hAnsi="Times New Roman"/>
          <w:b/>
          <w:bCs/>
          <w:lang w:val="en-HK"/>
        </w:rPr>
        <w:t>Sale of Goods Act 1979</w:t>
      </w:r>
      <w:r w:rsidRPr="007A4C6B">
        <w:rPr>
          <w:rFonts w:ascii="Times New Roman" w:hAnsi="Times New Roman"/>
          <w:lang w:val="en-HK"/>
        </w:rPr>
        <w:t>.</w:t>
      </w:r>
    </w:p>
    <w:p w14:paraId="4B6A05AE" w14:textId="77777777" w:rsidR="00F40330" w:rsidRPr="007A4C6B" w:rsidRDefault="00F40330" w:rsidP="007A4C6B">
      <w:pPr>
        <w:numPr>
          <w:ilvl w:val="0"/>
          <w:numId w:val="3"/>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Vehicle Registration Certificates</w:t>
      </w:r>
      <w:r w:rsidRPr="007A4C6B">
        <w:rPr>
          <w:rFonts w:ascii="Times New Roman" w:hAnsi="Times New Roman"/>
          <w:lang w:val="en-HK"/>
        </w:rPr>
        <w:t>:</w:t>
      </w:r>
    </w:p>
    <w:p w14:paraId="3D68B25D" w14:textId="77777777" w:rsidR="00F40330" w:rsidRPr="007A4C6B" w:rsidRDefault="00F40330" w:rsidP="007A4C6B">
      <w:pPr>
        <w:spacing w:before="100" w:beforeAutospacing="1" w:after="100" w:afterAutospacing="1" w:line="360" w:lineRule="auto"/>
        <w:rPr>
          <w:rFonts w:ascii="Times New Roman" w:hAnsi="Times New Roman"/>
          <w:b/>
          <w:bCs/>
          <w:lang w:val="en-HK"/>
        </w:rPr>
      </w:pPr>
      <w:r w:rsidRPr="007A4C6B">
        <w:rPr>
          <w:rFonts w:ascii="Times New Roman" w:hAnsi="Times New Roman"/>
          <w:b/>
          <w:bCs/>
          <w:lang w:val="en-HK"/>
        </w:rPr>
        <w:t>Vehicle registration certificates have been inconsistently treated by courts:</w:t>
      </w:r>
    </w:p>
    <w:p w14:paraId="748F6CF4" w14:textId="77777777" w:rsidR="00F40330" w:rsidRPr="007A4C6B" w:rsidRDefault="00F40330" w:rsidP="007A4C6B">
      <w:pPr>
        <w:numPr>
          <w:ilvl w:val="2"/>
          <w:numId w:val="3"/>
        </w:numPr>
        <w:spacing w:before="100" w:beforeAutospacing="1" w:after="100" w:afterAutospacing="1" w:line="360" w:lineRule="auto"/>
        <w:rPr>
          <w:rFonts w:ascii="Times New Roman" w:hAnsi="Times New Roman"/>
          <w:b/>
          <w:bCs/>
          <w:highlight w:val="yellow"/>
          <w:lang w:val="en-HK"/>
        </w:rPr>
      </w:pPr>
      <w:r w:rsidRPr="007A4C6B">
        <w:rPr>
          <w:rFonts w:ascii="Times New Roman" w:hAnsi="Times New Roman"/>
          <w:lang w:val="en-HK"/>
        </w:rPr>
        <w:lastRenderedPageBreak/>
        <w:t xml:space="preserve">In </w:t>
      </w:r>
      <w:r w:rsidRPr="007A4C6B">
        <w:rPr>
          <w:rFonts w:ascii="Times New Roman" w:hAnsi="Times New Roman"/>
          <w:b/>
          <w:bCs/>
          <w:lang w:val="en-HK"/>
        </w:rPr>
        <w:t>Norman v. Pitt (1948) 98 LJ 413</w:t>
      </w:r>
      <w:r w:rsidRPr="007A4C6B">
        <w:rPr>
          <w:rFonts w:ascii="Times New Roman" w:hAnsi="Times New Roman"/>
          <w:lang w:val="en-HK"/>
        </w:rPr>
        <w:t xml:space="preserve">, Scott LJ suggested that the </w:t>
      </w:r>
      <w:r w:rsidRPr="007A4C6B">
        <w:rPr>
          <w:rFonts w:ascii="Times New Roman" w:hAnsi="Times New Roman"/>
          <w:b/>
          <w:bCs/>
          <w:highlight w:val="yellow"/>
          <w:lang w:val="en-HK"/>
        </w:rPr>
        <w:t>registration book could disclose encumbrances like hire purchase agreements, potentially functioning as a notice mechanism.</w:t>
      </w:r>
    </w:p>
    <w:p w14:paraId="3D53BE4F" w14:textId="77777777" w:rsidR="00F40330" w:rsidRPr="007A4C6B" w:rsidRDefault="00F40330" w:rsidP="007A4C6B">
      <w:pPr>
        <w:numPr>
          <w:ilvl w:val="2"/>
          <w:numId w:val="3"/>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Conversely, in </w:t>
      </w:r>
      <w:proofErr w:type="spellStart"/>
      <w:r w:rsidRPr="007A4C6B">
        <w:rPr>
          <w:rFonts w:ascii="Times New Roman" w:hAnsi="Times New Roman"/>
          <w:b/>
          <w:bCs/>
          <w:lang w:val="en-HK"/>
        </w:rPr>
        <w:t>Joblin</w:t>
      </w:r>
      <w:proofErr w:type="spellEnd"/>
      <w:r w:rsidRPr="007A4C6B">
        <w:rPr>
          <w:rFonts w:ascii="Times New Roman" w:hAnsi="Times New Roman"/>
          <w:b/>
          <w:bCs/>
          <w:lang w:val="en-HK"/>
        </w:rPr>
        <w:t xml:space="preserve"> v. Watkins (1948) 6 CL 361</w:t>
      </w:r>
      <w:r w:rsidRPr="007A4C6B">
        <w:rPr>
          <w:rFonts w:ascii="Times New Roman" w:hAnsi="Times New Roman"/>
          <w:lang w:val="en-HK"/>
        </w:rPr>
        <w:t>, Croom-Johnson J emphasized that the logbook’s purpose was limited to taxation and licensing, not ownership notification.</w:t>
      </w:r>
    </w:p>
    <w:p w14:paraId="50B8A54E"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While a missing logbook might raise suspicion, its absence does not automatically indicate bad faith. For instance, in the sale of new vehicles, registration certificates are often delayed or processed by the dealership, reducing their evidentiary value.</w:t>
      </w:r>
    </w:p>
    <w:p w14:paraId="56AA7B8C" w14:textId="77777777" w:rsidR="00F40330" w:rsidRPr="007A4C6B" w:rsidRDefault="00F40330" w:rsidP="007A4C6B">
      <w:pPr>
        <w:numPr>
          <w:ilvl w:val="0"/>
          <w:numId w:val="3"/>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Challenges with Logbooks as Notification Mechanisms</w:t>
      </w:r>
      <w:r w:rsidRPr="007A4C6B">
        <w:rPr>
          <w:rFonts w:ascii="Times New Roman" w:hAnsi="Times New Roman"/>
          <w:lang w:val="en-HK"/>
        </w:rPr>
        <w:t>:</w:t>
      </w:r>
    </w:p>
    <w:p w14:paraId="65529E5F"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There are several objections to using logbooks as tools for notifying encumbrances:</w:t>
      </w:r>
    </w:p>
    <w:p w14:paraId="2D928DA9" w14:textId="77777777" w:rsidR="00F40330" w:rsidRPr="007A4C6B" w:rsidRDefault="00F40330" w:rsidP="007A4C6B">
      <w:pPr>
        <w:numPr>
          <w:ilvl w:val="2"/>
          <w:numId w:val="3"/>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Regulatory Confusion</w:t>
      </w:r>
      <w:r w:rsidRPr="007A4C6B">
        <w:rPr>
          <w:rFonts w:ascii="Times New Roman" w:hAnsi="Times New Roman"/>
          <w:lang w:val="en-HK"/>
        </w:rPr>
        <w:t xml:space="preserve">: Using registration certificates for encumbrance notification could compromise their primary licensing functions, as defined under the </w:t>
      </w:r>
      <w:r w:rsidRPr="007A4C6B">
        <w:rPr>
          <w:rFonts w:ascii="Times New Roman" w:hAnsi="Times New Roman"/>
          <w:b/>
          <w:bCs/>
          <w:lang w:val="en-HK"/>
        </w:rPr>
        <w:t>Vehicle Excise and Registration Act 1994</w:t>
      </w:r>
      <w:r w:rsidRPr="007A4C6B">
        <w:rPr>
          <w:rFonts w:ascii="Times New Roman" w:hAnsi="Times New Roman"/>
          <w:lang w:val="en-HK"/>
        </w:rPr>
        <w:t>.</w:t>
      </w:r>
    </w:p>
    <w:p w14:paraId="6A515C7E" w14:textId="77777777" w:rsidR="00F40330" w:rsidRPr="007A4C6B" w:rsidRDefault="00F40330" w:rsidP="007A4C6B">
      <w:pPr>
        <w:numPr>
          <w:ilvl w:val="2"/>
          <w:numId w:val="3"/>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Volume of Transactions</w:t>
      </w:r>
      <w:r w:rsidRPr="007A4C6B">
        <w:rPr>
          <w:rFonts w:ascii="Times New Roman" w:hAnsi="Times New Roman"/>
          <w:lang w:val="en-HK"/>
        </w:rPr>
        <w:t>: With over 11 million vehicle registration transactions annually, integrating notice functions would overburden the system.</w:t>
      </w:r>
    </w:p>
    <w:p w14:paraId="4E562E48" w14:textId="77777777" w:rsidR="00F40330" w:rsidRPr="007A4C6B" w:rsidRDefault="00F40330" w:rsidP="007A4C6B">
      <w:pPr>
        <w:numPr>
          <w:ilvl w:val="2"/>
          <w:numId w:val="3"/>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Fraud Risks</w:t>
      </w:r>
      <w:r w:rsidRPr="007A4C6B">
        <w:rPr>
          <w:rFonts w:ascii="Times New Roman" w:hAnsi="Times New Roman"/>
          <w:lang w:val="en-HK"/>
        </w:rPr>
        <w:t>: Logbooks are vulnerable to forgery or counterfeiting, as demonstrated in cases of cherished registration plate transfers being misused for fraudulent purposes.</w:t>
      </w:r>
    </w:p>
    <w:p w14:paraId="5B3A5832" w14:textId="77777777" w:rsidR="00F40330" w:rsidRPr="007A4C6B" w:rsidRDefault="00F40330" w:rsidP="007A4C6B">
      <w:pPr>
        <w:numPr>
          <w:ilvl w:val="0"/>
          <w:numId w:val="3"/>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International Comparisons</w:t>
      </w:r>
      <w:r w:rsidRPr="007A4C6B">
        <w:rPr>
          <w:rFonts w:ascii="Times New Roman" w:hAnsi="Times New Roman"/>
          <w:lang w:val="en-HK"/>
        </w:rPr>
        <w:t>:</w:t>
      </w:r>
    </w:p>
    <w:p w14:paraId="68566069"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U.S. and Germany have introduced systems to centralize ownership and encumbrance records:</w:t>
      </w:r>
    </w:p>
    <w:p w14:paraId="54BD8BB6"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United States</w:t>
      </w:r>
      <w:r w:rsidRPr="007A4C6B">
        <w:rPr>
          <w:rFonts w:ascii="Times New Roman" w:hAnsi="Times New Roman"/>
          <w:lang w:val="en-HK"/>
        </w:rPr>
        <w:t>: Certificate of title systems involve central registration of encumbrances and ownership transfers. For example:</w:t>
      </w:r>
    </w:p>
    <w:p w14:paraId="06A5B0B8" w14:textId="77777777" w:rsidR="00F40330" w:rsidRPr="007A4C6B" w:rsidRDefault="00F40330" w:rsidP="007A4C6B">
      <w:pPr>
        <w:numPr>
          <w:ilvl w:val="3"/>
          <w:numId w:val="3"/>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Sellers transfer the title certificate to the buyer, who submits it to a state agency, which issues a new certificate. This creates a continuous ownership record.</w:t>
      </w:r>
    </w:p>
    <w:p w14:paraId="1D793007" w14:textId="77777777" w:rsidR="00F40330" w:rsidRPr="007A4C6B" w:rsidRDefault="00F40330" w:rsidP="007A4C6B">
      <w:pPr>
        <w:numPr>
          <w:ilvl w:val="3"/>
          <w:numId w:val="3"/>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However, counterfeit titles remain a significant challenge.</w:t>
      </w:r>
    </w:p>
    <w:p w14:paraId="4D344453" w14:textId="5AE42ED4"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Germany</w:t>
      </w:r>
      <w:r w:rsidRPr="007A4C6B">
        <w:rPr>
          <w:rFonts w:ascii="Times New Roman" w:hAnsi="Times New Roman"/>
          <w:lang w:val="en-HK"/>
        </w:rPr>
        <w:t xml:space="preserve">: The </w:t>
      </w:r>
      <w:proofErr w:type="spellStart"/>
      <w:r w:rsidRPr="007A4C6B">
        <w:rPr>
          <w:rFonts w:ascii="Times New Roman" w:hAnsi="Times New Roman"/>
          <w:b/>
          <w:bCs/>
          <w:lang w:val="en-HK"/>
        </w:rPr>
        <w:t>Kraftfahrzeugbrief</w:t>
      </w:r>
      <w:proofErr w:type="spellEnd"/>
      <w:r w:rsidRPr="007A4C6B">
        <w:rPr>
          <w:rFonts w:ascii="Times New Roman" w:hAnsi="Times New Roman"/>
          <w:lang w:val="en-HK"/>
        </w:rPr>
        <w:t xml:space="preserve"> (title document) is issued by manufacturers or administrative authorities. It acts as a document of title and is often retained by financiers. While this mitigates fraud risks, its absence can complicate legitimate transactions.</w:t>
      </w:r>
    </w:p>
    <w:p w14:paraId="692DFE70" w14:textId="77777777" w:rsidR="00F40330" w:rsidRPr="007A4C6B" w:rsidRDefault="00F40330" w:rsidP="007A4C6B">
      <w:pPr>
        <w:numPr>
          <w:ilvl w:val="0"/>
          <w:numId w:val="3"/>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lastRenderedPageBreak/>
        <w:t>Role of Hire Purchase Information Ltd (HPI)</w:t>
      </w:r>
      <w:r w:rsidRPr="007A4C6B">
        <w:rPr>
          <w:rFonts w:ascii="Times New Roman" w:hAnsi="Times New Roman"/>
          <w:lang w:val="en-HK"/>
        </w:rPr>
        <w:t>:</w:t>
      </w:r>
    </w:p>
    <w:p w14:paraId="24870A2C"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HPI serves as a voluntary trade register for recording hire purchase agreements. Its key features include:</w:t>
      </w:r>
    </w:p>
    <w:p w14:paraId="6B9DFAA5" w14:textId="77777777" w:rsidR="00F40330" w:rsidRPr="007A4C6B" w:rsidRDefault="00F40330" w:rsidP="007A4C6B">
      <w:pPr>
        <w:numPr>
          <w:ilvl w:val="2"/>
          <w:numId w:val="3"/>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Facilitating checks on vehicle encumbrances for dealers and private buyers.</w:t>
      </w:r>
    </w:p>
    <w:p w14:paraId="26A582C8" w14:textId="77777777" w:rsidR="00F40330" w:rsidRPr="007A4C6B" w:rsidRDefault="00F40330" w:rsidP="007A4C6B">
      <w:pPr>
        <w:numPr>
          <w:ilvl w:val="2"/>
          <w:numId w:val="3"/>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Enhancing transparency in motor vehicle transactions.</w:t>
      </w:r>
    </w:p>
    <w:p w14:paraId="3696E948"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In </w:t>
      </w:r>
      <w:r w:rsidRPr="007A4C6B">
        <w:rPr>
          <w:rFonts w:ascii="Times New Roman" w:hAnsi="Times New Roman"/>
          <w:b/>
          <w:bCs/>
          <w:lang w:val="en-HK"/>
        </w:rPr>
        <w:t xml:space="preserve">Moorgate Mercantile Co Ltd v. </w:t>
      </w:r>
      <w:proofErr w:type="spellStart"/>
      <w:r w:rsidRPr="007A4C6B">
        <w:rPr>
          <w:rFonts w:ascii="Times New Roman" w:hAnsi="Times New Roman"/>
          <w:b/>
          <w:bCs/>
          <w:lang w:val="en-HK"/>
        </w:rPr>
        <w:t>Twitchings</w:t>
      </w:r>
      <w:proofErr w:type="spellEnd"/>
      <w:r w:rsidRPr="007A4C6B">
        <w:rPr>
          <w:rFonts w:ascii="Times New Roman" w:hAnsi="Times New Roman"/>
          <w:b/>
          <w:bCs/>
          <w:lang w:val="en-HK"/>
        </w:rPr>
        <w:t xml:space="preserve"> [1977] AC 890</w:t>
      </w:r>
      <w:r w:rsidRPr="007A4C6B">
        <w:rPr>
          <w:rFonts w:ascii="Times New Roman" w:hAnsi="Times New Roman"/>
          <w:lang w:val="en-HK"/>
        </w:rPr>
        <w:t>, the House of Lords addressed the consequences of failing to register with HPI. The court rejected the imposition of a duty to register, with Lord Fraser noting:</w:t>
      </w:r>
    </w:p>
    <w:p w14:paraId="56803297" w14:textId="77777777" w:rsidR="00F40330" w:rsidRPr="007A4C6B" w:rsidRDefault="00F40330" w:rsidP="007A4C6B">
      <w:pPr>
        <w:spacing w:beforeAutospacing="1" w:afterAutospacing="1" w:line="360" w:lineRule="auto"/>
        <w:rPr>
          <w:rFonts w:ascii="Times New Roman" w:hAnsi="Times New Roman"/>
          <w:lang w:val="en-HK"/>
        </w:rPr>
      </w:pPr>
      <w:r w:rsidRPr="007A4C6B">
        <w:rPr>
          <w:rFonts w:ascii="Times New Roman" w:hAnsi="Times New Roman"/>
          <w:lang w:val="en-HK"/>
        </w:rPr>
        <w:t>“If a duty to register agreements is owed by Moorgate, it would be owed not only to subscribers… but to every member of the public.”</w:t>
      </w:r>
    </w:p>
    <w:p w14:paraId="0F21B6FB"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court highlighted the need for legislative action to impose mandatory registration requirements.</w:t>
      </w:r>
    </w:p>
    <w:p w14:paraId="1B7572C8" w14:textId="77777777" w:rsidR="00F40330" w:rsidRPr="007A4C6B" w:rsidRDefault="00782954" w:rsidP="007A4C6B">
      <w:pPr>
        <w:spacing w:line="360" w:lineRule="auto"/>
        <w:rPr>
          <w:rFonts w:ascii="Times New Roman" w:hAnsi="Times New Roman"/>
          <w:lang w:val="en-HK"/>
        </w:rPr>
      </w:pPr>
      <w:r w:rsidRPr="00782954">
        <w:rPr>
          <w:rFonts w:ascii="Times New Roman" w:hAnsi="Times New Roman"/>
          <w:noProof/>
          <w:lang w:val="en-HK"/>
          <w14:ligatures w14:val="standardContextual"/>
        </w:rPr>
        <w:pict w14:anchorId="5D8D1982">
          <v:rect id="_x0000_i1027" alt="" style="width:451.3pt;height:.05pt;mso-width-percent:0;mso-height-percent:0;mso-width-percent:0;mso-height-percent:0" o:hralign="center" o:hrstd="t" o:hr="t" fillcolor="#a0a0a0" stroked="f"/>
        </w:pict>
      </w:r>
    </w:p>
    <w:p w14:paraId="03C133F5" w14:textId="0883513A" w:rsidR="00F40330" w:rsidRPr="007A4C6B" w:rsidRDefault="00F40330" w:rsidP="007A4C6B">
      <w:pPr>
        <w:spacing w:before="100" w:beforeAutospacing="1" w:after="100" w:afterAutospacing="1" w:line="360" w:lineRule="auto"/>
        <w:outlineLvl w:val="2"/>
        <w:rPr>
          <w:rFonts w:ascii="Times New Roman" w:hAnsi="Times New Roman"/>
          <w:b/>
          <w:bCs/>
          <w:lang w:val="en-HK"/>
        </w:rPr>
      </w:pPr>
      <w:r w:rsidRPr="007A4C6B">
        <w:rPr>
          <w:rFonts w:ascii="Times New Roman" w:hAnsi="Times New Roman"/>
          <w:b/>
          <w:bCs/>
          <w:lang w:val="en-HK"/>
        </w:rPr>
        <w:t>IV. Legislative Interventions</w:t>
      </w:r>
    </w:p>
    <w:p w14:paraId="25F2F48E" w14:textId="77777777" w:rsidR="00F40330" w:rsidRPr="007A4C6B" w:rsidRDefault="00F40330" w:rsidP="007A4C6B">
      <w:pPr>
        <w:numPr>
          <w:ilvl w:val="0"/>
          <w:numId w:val="4"/>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Historical Context</w:t>
      </w:r>
      <w:r w:rsidRPr="007A4C6B">
        <w:rPr>
          <w:rFonts w:ascii="Times New Roman" w:hAnsi="Times New Roman"/>
          <w:lang w:val="en-HK"/>
        </w:rPr>
        <w:t>:</w:t>
      </w:r>
    </w:p>
    <w:p w14:paraId="749CA80D"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w:t>
      </w:r>
      <w:r w:rsidRPr="007A4C6B">
        <w:rPr>
          <w:rFonts w:ascii="Times New Roman" w:hAnsi="Times New Roman"/>
          <w:b/>
          <w:bCs/>
          <w:lang w:val="en-HK"/>
        </w:rPr>
        <w:t>Hire Purchase Act 1964</w:t>
      </w:r>
      <w:r w:rsidRPr="007A4C6B">
        <w:rPr>
          <w:rFonts w:ascii="Times New Roman" w:hAnsi="Times New Roman"/>
          <w:lang w:val="en-HK"/>
        </w:rPr>
        <w:t xml:space="preserve">, later incorporated into the </w:t>
      </w:r>
      <w:r w:rsidRPr="007A4C6B">
        <w:rPr>
          <w:rFonts w:ascii="Times New Roman" w:hAnsi="Times New Roman"/>
          <w:b/>
          <w:bCs/>
          <w:lang w:val="en-HK"/>
        </w:rPr>
        <w:t>Consumer Credit Act 1974</w:t>
      </w:r>
      <w:r w:rsidRPr="007A4C6B">
        <w:rPr>
          <w:rFonts w:ascii="Times New Roman" w:hAnsi="Times New Roman"/>
          <w:lang w:val="en-HK"/>
        </w:rPr>
        <w:t xml:space="preserve">, introduced protections for innocent private purchasers, effectively reversing the </w:t>
      </w:r>
      <w:r w:rsidRPr="007A4C6B">
        <w:rPr>
          <w:rFonts w:ascii="Times New Roman" w:hAnsi="Times New Roman"/>
          <w:b/>
          <w:bCs/>
          <w:lang w:val="en-HK"/>
        </w:rPr>
        <w:t xml:space="preserve">nemo </w:t>
      </w:r>
      <w:proofErr w:type="spellStart"/>
      <w:r w:rsidRPr="007A4C6B">
        <w:rPr>
          <w:rFonts w:ascii="Times New Roman" w:hAnsi="Times New Roman"/>
          <w:b/>
          <w:bCs/>
          <w:lang w:val="en-HK"/>
        </w:rPr>
        <w:t>dat</w:t>
      </w:r>
      <w:proofErr w:type="spellEnd"/>
      <w:r w:rsidRPr="007A4C6B">
        <w:rPr>
          <w:rFonts w:ascii="Times New Roman" w:hAnsi="Times New Roman"/>
          <w:lang w:val="en-HK"/>
        </w:rPr>
        <w:t xml:space="preserve"> rule in certain circumstances.</w:t>
      </w:r>
    </w:p>
    <w:p w14:paraId="38E7EAF7"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However, these legislative efforts remain piecemeal and have failed to address broader issues in motor vehicle financing and wrongful dispositions.</w:t>
      </w:r>
    </w:p>
    <w:p w14:paraId="342DE351" w14:textId="77777777" w:rsidR="00F40330" w:rsidRPr="007A4C6B" w:rsidRDefault="00F40330" w:rsidP="007A4C6B">
      <w:pPr>
        <w:numPr>
          <w:ilvl w:val="0"/>
          <w:numId w:val="4"/>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Key Provisions of the Hire Purchase Act 1964</w:t>
      </w:r>
      <w:r w:rsidRPr="007A4C6B">
        <w:rPr>
          <w:rFonts w:ascii="Times New Roman" w:hAnsi="Times New Roman"/>
          <w:lang w:val="en-HK"/>
        </w:rPr>
        <w:t>:</w:t>
      </w:r>
    </w:p>
    <w:p w14:paraId="5F766F3E"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Part III of the Act protects private purchasers acting in </w:t>
      </w:r>
      <w:r w:rsidRPr="007A4C6B">
        <w:rPr>
          <w:rFonts w:ascii="Times New Roman" w:hAnsi="Times New Roman"/>
          <w:b/>
          <w:bCs/>
          <w:lang w:val="en-HK"/>
        </w:rPr>
        <w:t>good faith and without notice</w:t>
      </w:r>
      <w:r w:rsidRPr="007A4C6B">
        <w:rPr>
          <w:rFonts w:ascii="Times New Roman" w:hAnsi="Times New Roman"/>
          <w:lang w:val="en-HK"/>
        </w:rPr>
        <w:t xml:space="preserve"> of encumbrances. However:</w:t>
      </w:r>
    </w:p>
    <w:p w14:paraId="5D968F0A" w14:textId="77777777" w:rsidR="00F40330" w:rsidRPr="007A4C6B" w:rsidRDefault="00F40330" w:rsidP="007A4C6B">
      <w:pPr>
        <w:numPr>
          <w:ilvl w:val="2"/>
          <w:numId w:val="4"/>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It applies exclusively to motor vehicles, excluding caravans, boats, and other goods.</w:t>
      </w:r>
    </w:p>
    <w:p w14:paraId="73FA5396" w14:textId="77777777" w:rsidR="00F40330" w:rsidRPr="007A4C6B" w:rsidRDefault="00F40330" w:rsidP="007A4C6B">
      <w:pPr>
        <w:numPr>
          <w:ilvl w:val="2"/>
          <w:numId w:val="4"/>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It does not cover financing arrangements such as leases or contract hire.</w:t>
      </w:r>
    </w:p>
    <w:p w14:paraId="6565A357"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lastRenderedPageBreak/>
        <w:t>Section 29(1) defines "motor vehicle" as a "mechanically propelled vehicle intended or adapted for use on roads to which the public has access."</w:t>
      </w:r>
    </w:p>
    <w:p w14:paraId="07383892"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Act’s reliance on </w:t>
      </w:r>
      <w:r w:rsidRPr="007A4C6B">
        <w:rPr>
          <w:rFonts w:ascii="Times New Roman" w:hAnsi="Times New Roman"/>
          <w:b/>
          <w:bCs/>
          <w:lang w:val="en-HK"/>
        </w:rPr>
        <w:t>actual notice</w:t>
      </w:r>
      <w:r w:rsidRPr="007A4C6B">
        <w:rPr>
          <w:rFonts w:ascii="Times New Roman" w:hAnsi="Times New Roman"/>
          <w:lang w:val="en-HK"/>
        </w:rPr>
        <w:t>, rather than mere suspicion, has been criticized for making wrongful dispositions too easy for sellers and too safe for buyers.</w:t>
      </w:r>
    </w:p>
    <w:p w14:paraId="12DEE51A" w14:textId="77777777" w:rsidR="00F40330" w:rsidRPr="007A4C6B" w:rsidRDefault="00F40330" w:rsidP="007A4C6B">
      <w:pPr>
        <w:numPr>
          <w:ilvl w:val="0"/>
          <w:numId w:val="4"/>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Judicial Commentary</w:t>
      </w:r>
      <w:r w:rsidRPr="007A4C6B">
        <w:rPr>
          <w:rFonts w:ascii="Times New Roman" w:hAnsi="Times New Roman"/>
          <w:lang w:val="en-HK"/>
        </w:rPr>
        <w:t>:</w:t>
      </w:r>
    </w:p>
    <w:p w14:paraId="0C07C26F"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Lord Denning in </w:t>
      </w:r>
      <w:r w:rsidRPr="007A4C6B">
        <w:rPr>
          <w:rFonts w:ascii="Times New Roman" w:hAnsi="Times New Roman"/>
          <w:b/>
          <w:bCs/>
          <w:lang w:val="en-HK"/>
        </w:rPr>
        <w:t>Stevenson v. Beverley Bentinck Ltd [1976] 1 WLR 483</w:t>
      </w:r>
      <w:r w:rsidRPr="007A4C6B">
        <w:rPr>
          <w:rFonts w:ascii="Times New Roman" w:hAnsi="Times New Roman"/>
          <w:lang w:val="en-HK"/>
        </w:rPr>
        <w:t xml:space="preserve"> explained the exclusion of trade purchasers from statutory protection:</w:t>
      </w:r>
    </w:p>
    <w:p w14:paraId="20BAC157" w14:textId="77777777" w:rsidR="00F40330" w:rsidRPr="007A4C6B" w:rsidRDefault="00F40330" w:rsidP="007A4C6B">
      <w:pPr>
        <w:spacing w:beforeAutospacing="1" w:afterAutospacing="1" w:line="360" w:lineRule="auto"/>
        <w:rPr>
          <w:rFonts w:ascii="Times New Roman" w:hAnsi="Times New Roman"/>
          <w:lang w:val="en-HK"/>
        </w:rPr>
      </w:pPr>
      <w:r w:rsidRPr="007A4C6B">
        <w:rPr>
          <w:rFonts w:ascii="Times New Roman" w:hAnsi="Times New Roman"/>
          <w:lang w:val="en-HK"/>
        </w:rPr>
        <w:t>“No protection was given to trade or finance purchasers… Parliament thought they were able to take care of themselves.”</w:t>
      </w:r>
    </w:p>
    <w:p w14:paraId="3797F61B"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This reflects the assumption that commercial entities can utilize resources like HPI to mitigate risks.</w:t>
      </w:r>
    </w:p>
    <w:p w14:paraId="5BC938EE" w14:textId="77777777" w:rsidR="00F40330" w:rsidRPr="007A4C6B" w:rsidRDefault="00F40330" w:rsidP="007A4C6B">
      <w:pPr>
        <w:numPr>
          <w:ilvl w:val="0"/>
          <w:numId w:val="4"/>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Consumer Credit Act 1974</w:t>
      </w:r>
      <w:r w:rsidRPr="007A4C6B">
        <w:rPr>
          <w:rFonts w:ascii="Times New Roman" w:hAnsi="Times New Roman"/>
          <w:lang w:val="en-HK"/>
        </w:rPr>
        <w:t>:</w:t>
      </w:r>
    </w:p>
    <w:p w14:paraId="5199FB78"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1974 Act incorporated and expanded upon the 1964 provisions. However, its scope remains limited:</w:t>
      </w:r>
    </w:p>
    <w:p w14:paraId="1B5111D9" w14:textId="77777777" w:rsidR="00F40330" w:rsidRPr="007A4C6B" w:rsidRDefault="00F40330" w:rsidP="007A4C6B">
      <w:pPr>
        <w:numPr>
          <w:ilvl w:val="2"/>
          <w:numId w:val="4"/>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It excludes essential financing arrangements, such as high-residual-value lease agreements.</w:t>
      </w:r>
    </w:p>
    <w:p w14:paraId="102670DA" w14:textId="77777777" w:rsidR="00F40330" w:rsidRPr="007A4C6B" w:rsidRDefault="00F40330" w:rsidP="007A4C6B">
      <w:pPr>
        <w:numPr>
          <w:ilvl w:val="2"/>
          <w:numId w:val="4"/>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Act’s emphasis on protecting private purchasers has created ambiguities in defining the nature of the title passed to buyers.</w:t>
      </w:r>
    </w:p>
    <w:p w14:paraId="2DC40575" w14:textId="77777777" w:rsidR="00F40330" w:rsidRPr="007A4C6B" w:rsidRDefault="00F40330" w:rsidP="007A4C6B">
      <w:pPr>
        <w:numPr>
          <w:ilvl w:val="0"/>
          <w:numId w:val="4"/>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Criticism of Legislative Framework</w:t>
      </w:r>
      <w:r w:rsidRPr="007A4C6B">
        <w:rPr>
          <w:rFonts w:ascii="Times New Roman" w:hAnsi="Times New Roman"/>
          <w:lang w:val="en-HK"/>
        </w:rPr>
        <w:t>:</w:t>
      </w:r>
    </w:p>
    <w:p w14:paraId="54121E10"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Crowther Committee (1971) identified flaws in the 1964 Act, noting:</w:t>
      </w:r>
    </w:p>
    <w:p w14:paraId="56182D5E" w14:textId="77777777" w:rsidR="00F40330" w:rsidRPr="007A4C6B" w:rsidRDefault="00F40330" w:rsidP="007A4C6B">
      <w:pPr>
        <w:spacing w:beforeAutospacing="1" w:afterAutospacing="1" w:line="360" w:lineRule="auto"/>
        <w:rPr>
          <w:rFonts w:ascii="Times New Roman" w:hAnsi="Times New Roman"/>
          <w:lang w:val="en-HK"/>
        </w:rPr>
      </w:pPr>
      <w:r w:rsidRPr="007A4C6B">
        <w:rPr>
          <w:rFonts w:ascii="Times New Roman" w:hAnsi="Times New Roman"/>
          <w:lang w:val="en-HK"/>
        </w:rPr>
        <w:t>“The legislation disclosed unforeseen difficulties… significant conceptual and practical issues have emerged.”</w:t>
      </w:r>
    </w:p>
    <w:p w14:paraId="78915C04"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Dual asset financing has become problematic, with financiers reluctant to refinance vehicles subject to prior encumbrances, creating a "shadow on title."</w:t>
      </w:r>
    </w:p>
    <w:p w14:paraId="7B8402BB" w14:textId="77777777" w:rsidR="00F40330" w:rsidRPr="007A4C6B" w:rsidRDefault="00F40330" w:rsidP="007A4C6B">
      <w:pPr>
        <w:numPr>
          <w:ilvl w:val="0"/>
          <w:numId w:val="4"/>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Proposals for Reform</w:t>
      </w:r>
      <w:r w:rsidRPr="007A4C6B">
        <w:rPr>
          <w:rFonts w:ascii="Times New Roman" w:hAnsi="Times New Roman"/>
          <w:lang w:val="en-HK"/>
        </w:rPr>
        <w:t>:</w:t>
      </w:r>
    </w:p>
    <w:p w14:paraId="1269B4C0"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lastRenderedPageBreak/>
        <w:t xml:space="preserve">The current legislative framework is criticized as both </w:t>
      </w:r>
      <w:r w:rsidRPr="007A4C6B">
        <w:rPr>
          <w:rFonts w:ascii="Times New Roman" w:hAnsi="Times New Roman"/>
          <w:b/>
          <w:bCs/>
          <w:lang w:val="en-HK"/>
        </w:rPr>
        <w:t>too extensive</w:t>
      </w:r>
      <w:r w:rsidRPr="007A4C6B">
        <w:rPr>
          <w:rFonts w:ascii="Times New Roman" w:hAnsi="Times New Roman"/>
          <w:lang w:val="en-HK"/>
        </w:rPr>
        <w:t xml:space="preserve"> (by overprotecting certain buyers) and </w:t>
      </w:r>
      <w:r w:rsidRPr="007A4C6B">
        <w:rPr>
          <w:rFonts w:ascii="Times New Roman" w:hAnsi="Times New Roman"/>
          <w:b/>
          <w:bCs/>
          <w:lang w:val="en-HK"/>
        </w:rPr>
        <w:t>too restrictive</w:t>
      </w:r>
      <w:r w:rsidRPr="007A4C6B">
        <w:rPr>
          <w:rFonts w:ascii="Times New Roman" w:hAnsi="Times New Roman"/>
          <w:lang w:val="en-HK"/>
        </w:rPr>
        <w:t xml:space="preserve"> (by excluding key financing arrangements and trade purchasers).</w:t>
      </w:r>
    </w:p>
    <w:p w14:paraId="7C47E41E"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Scholars advocate for comprehensive reform, emphasizing the need for:</w:t>
      </w:r>
    </w:p>
    <w:p w14:paraId="6D073FD7" w14:textId="77777777" w:rsidR="00F40330" w:rsidRPr="007A4C6B" w:rsidRDefault="00F40330" w:rsidP="007A4C6B">
      <w:pPr>
        <w:numPr>
          <w:ilvl w:val="2"/>
          <w:numId w:val="4"/>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Compulsory Ownership Registration</w:t>
      </w:r>
      <w:r w:rsidRPr="007A4C6B">
        <w:rPr>
          <w:rFonts w:ascii="Times New Roman" w:hAnsi="Times New Roman"/>
          <w:lang w:val="en-HK"/>
        </w:rPr>
        <w:t>: Similar to land registration, this system would extinguish unregistered interests and provide greater certainty.</w:t>
      </w:r>
    </w:p>
    <w:p w14:paraId="4A291F5B" w14:textId="77777777" w:rsidR="00F40330" w:rsidRPr="007A4C6B" w:rsidRDefault="00F40330" w:rsidP="007A4C6B">
      <w:pPr>
        <w:numPr>
          <w:ilvl w:val="2"/>
          <w:numId w:val="4"/>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Enhanced Consumer Protection</w:t>
      </w:r>
      <w:r w:rsidRPr="007A4C6B">
        <w:rPr>
          <w:rFonts w:ascii="Times New Roman" w:hAnsi="Times New Roman"/>
          <w:lang w:val="en-HK"/>
        </w:rPr>
        <w:t>: Linking registration to Vehicle Identification Numbers (VINs) would prevent fraud and facilitate accurate ownership records.</w:t>
      </w:r>
    </w:p>
    <w:p w14:paraId="26A4B077" w14:textId="77777777" w:rsidR="00F40330" w:rsidRPr="007A4C6B" w:rsidRDefault="00782954" w:rsidP="007A4C6B">
      <w:pPr>
        <w:spacing w:line="360" w:lineRule="auto"/>
        <w:rPr>
          <w:rFonts w:ascii="Times New Roman" w:hAnsi="Times New Roman"/>
          <w:lang w:val="en-HK"/>
        </w:rPr>
      </w:pPr>
      <w:r w:rsidRPr="00782954">
        <w:rPr>
          <w:rFonts w:ascii="Times New Roman" w:hAnsi="Times New Roman"/>
          <w:noProof/>
          <w:lang w:val="en-HK"/>
          <w14:ligatures w14:val="standardContextual"/>
        </w:rPr>
        <w:pict w14:anchorId="09186952">
          <v:rect id="_x0000_i1026" alt="" style="width:451.3pt;height:.05pt;mso-width-percent:0;mso-height-percent:0;mso-width-percent:0;mso-height-percent:0" o:hralign="center" o:hrstd="t" o:hr="t" fillcolor="#a0a0a0" stroked="f"/>
        </w:pict>
      </w:r>
    </w:p>
    <w:p w14:paraId="77EAA9F5" w14:textId="1B7C2339" w:rsidR="00F40330" w:rsidRPr="007A4C6B" w:rsidRDefault="00F40330" w:rsidP="007A4C6B">
      <w:pPr>
        <w:spacing w:before="100" w:beforeAutospacing="1" w:after="100" w:afterAutospacing="1" w:line="360" w:lineRule="auto"/>
        <w:outlineLvl w:val="2"/>
        <w:rPr>
          <w:rFonts w:ascii="Times New Roman" w:hAnsi="Times New Roman"/>
          <w:b/>
          <w:bCs/>
          <w:lang w:val="en-HK"/>
        </w:rPr>
      </w:pPr>
      <w:r w:rsidRPr="007A4C6B">
        <w:rPr>
          <w:rFonts w:ascii="Times New Roman" w:hAnsi="Times New Roman"/>
          <w:b/>
          <w:bCs/>
          <w:lang w:val="en-HK"/>
        </w:rPr>
        <w:t>V. Proposals for Reform</w:t>
      </w:r>
    </w:p>
    <w:p w14:paraId="00872487" w14:textId="77777777" w:rsidR="00F40330" w:rsidRPr="007A4C6B" w:rsidRDefault="00F40330" w:rsidP="007A4C6B">
      <w:pPr>
        <w:numPr>
          <w:ilvl w:val="0"/>
          <w:numId w:val="5"/>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Challenges in the Current Legislative Framework</w:t>
      </w:r>
      <w:r w:rsidRPr="007A4C6B">
        <w:rPr>
          <w:rFonts w:ascii="Times New Roman" w:hAnsi="Times New Roman"/>
          <w:lang w:val="en-HK"/>
        </w:rPr>
        <w:t>:</w:t>
      </w:r>
    </w:p>
    <w:p w14:paraId="5B910092"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w:t>
      </w:r>
      <w:r w:rsidRPr="007A4C6B">
        <w:rPr>
          <w:rFonts w:ascii="Times New Roman" w:hAnsi="Times New Roman"/>
          <w:b/>
          <w:bCs/>
          <w:lang w:val="en-HK"/>
        </w:rPr>
        <w:t>Hire Purchase Act 1964</w:t>
      </w:r>
      <w:r w:rsidRPr="007A4C6B">
        <w:rPr>
          <w:rFonts w:ascii="Times New Roman" w:hAnsi="Times New Roman"/>
          <w:lang w:val="en-HK"/>
        </w:rPr>
        <w:t xml:space="preserve">, as amended by the </w:t>
      </w:r>
      <w:r w:rsidRPr="007A4C6B">
        <w:rPr>
          <w:rFonts w:ascii="Times New Roman" w:hAnsi="Times New Roman"/>
          <w:b/>
          <w:bCs/>
          <w:lang w:val="en-HK"/>
        </w:rPr>
        <w:t>Consumer Credit Act 1974</w:t>
      </w:r>
      <w:r w:rsidRPr="007A4C6B">
        <w:rPr>
          <w:rFonts w:ascii="Times New Roman" w:hAnsi="Times New Roman"/>
          <w:lang w:val="en-HK"/>
        </w:rPr>
        <w:t>, provides piecemeal solutions to the problem of wrongful dispositions. The legislation:</w:t>
      </w:r>
    </w:p>
    <w:p w14:paraId="64CFBD5A" w14:textId="77777777" w:rsidR="00F40330" w:rsidRPr="007A4C6B" w:rsidRDefault="00F40330" w:rsidP="007A4C6B">
      <w:pPr>
        <w:numPr>
          <w:ilvl w:val="2"/>
          <w:numId w:val="5"/>
        </w:numPr>
        <w:spacing w:before="100" w:beforeAutospacing="1" w:after="100" w:afterAutospacing="1" w:line="360" w:lineRule="auto"/>
        <w:rPr>
          <w:rFonts w:ascii="Times New Roman" w:hAnsi="Times New Roman"/>
          <w:u w:val="single"/>
          <w:lang w:val="en-HK"/>
        </w:rPr>
      </w:pPr>
      <w:r w:rsidRPr="007A4C6B">
        <w:rPr>
          <w:rFonts w:ascii="Times New Roman" w:hAnsi="Times New Roman"/>
          <w:b/>
          <w:bCs/>
          <w:u w:val="single"/>
          <w:lang w:val="en-HK"/>
        </w:rPr>
        <w:t>Overprotects private purchasers</w:t>
      </w:r>
      <w:r w:rsidRPr="007A4C6B">
        <w:rPr>
          <w:rFonts w:ascii="Times New Roman" w:hAnsi="Times New Roman"/>
          <w:u w:val="single"/>
          <w:lang w:val="en-HK"/>
        </w:rPr>
        <w:t xml:space="preserve"> by reversing the </w:t>
      </w:r>
      <w:r w:rsidRPr="007A4C6B">
        <w:rPr>
          <w:rFonts w:ascii="Times New Roman" w:hAnsi="Times New Roman"/>
          <w:b/>
          <w:bCs/>
          <w:u w:val="single"/>
          <w:lang w:val="en-HK"/>
        </w:rPr>
        <w:t xml:space="preserve">nemo </w:t>
      </w:r>
      <w:proofErr w:type="spellStart"/>
      <w:r w:rsidRPr="007A4C6B">
        <w:rPr>
          <w:rFonts w:ascii="Times New Roman" w:hAnsi="Times New Roman"/>
          <w:b/>
          <w:bCs/>
          <w:u w:val="single"/>
          <w:lang w:val="en-HK"/>
        </w:rPr>
        <w:t>dat</w:t>
      </w:r>
      <w:proofErr w:type="spellEnd"/>
      <w:r w:rsidRPr="007A4C6B">
        <w:rPr>
          <w:rFonts w:ascii="Times New Roman" w:hAnsi="Times New Roman"/>
          <w:u w:val="single"/>
          <w:lang w:val="en-HK"/>
        </w:rPr>
        <w:t xml:space="preserve"> principle under specific circumstances.</w:t>
      </w:r>
    </w:p>
    <w:p w14:paraId="10A0029C" w14:textId="77777777" w:rsidR="00F40330" w:rsidRPr="007A4C6B" w:rsidRDefault="00F40330" w:rsidP="007A4C6B">
      <w:pPr>
        <w:numPr>
          <w:ilvl w:val="2"/>
          <w:numId w:val="5"/>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Excludes key financing arrangements</w:t>
      </w:r>
      <w:r w:rsidRPr="007A4C6B">
        <w:rPr>
          <w:rFonts w:ascii="Times New Roman" w:hAnsi="Times New Roman"/>
          <w:lang w:val="en-HK"/>
        </w:rPr>
        <w:t>, such as contract hire, finance leases, and other innovative mechanisms that dominate modern motor vehicle financing.</w:t>
      </w:r>
    </w:p>
    <w:p w14:paraId="6590D723" w14:textId="77777777" w:rsidR="00F40330" w:rsidRPr="007A4C6B" w:rsidRDefault="00F40330" w:rsidP="007A4C6B">
      <w:pPr>
        <w:numPr>
          <w:ilvl w:val="0"/>
          <w:numId w:val="5"/>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Key Problems Identified</w:t>
      </w:r>
      <w:r w:rsidRPr="007A4C6B">
        <w:rPr>
          <w:rFonts w:ascii="Times New Roman" w:hAnsi="Times New Roman"/>
          <w:lang w:val="en-HK"/>
        </w:rPr>
        <w:t>:</w:t>
      </w:r>
    </w:p>
    <w:p w14:paraId="009A49F6"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Scope of the Legislation</w:t>
      </w:r>
      <w:r w:rsidRPr="007A4C6B">
        <w:rPr>
          <w:rFonts w:ascii="Times New Roman" w:hAnsi="Times New Roman"/>
          <w:lang w:val="en-HK"/>
        </w:rPr>
        <w:t>:</w:t>
      </w:r>
    </w:p>
    <w:p w14:paraId="3A141997" w14:textId="77777777" w:rsidR="00F40330" w:rsidRPr="007A4C6B" w:rsidRDefault="00F40330" w:rsidP="007A4C6B">
      <w:pPr>
        <w:numPr>
          <w:ilvl w:val="2"/>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Limited application to motor vehicles (as defined in Section 29(1) of the Hire Purchase Act 1964) excludes other high-value goods, such as caravans and boats.</w:t>
      </w:r>
    </w:p>
    <w:p w14:paraId="30268AAD" w14:textId="77777777" w:rsidR="00F40330" w:rsidRPr="007A4C6B" w:rsidRDefault="00F40330" w:rsidP="007A4C6B">
      <w:pPr>
        <w:numPr>
          <w:ilvl w:val="2"/>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Exclusion of dispositions made under arrangements other than hire purchase or conditional sale agreements creates significant gaps in protection.</w:t>
      </w:r>
    </w:p>
    <w:p w14:paraId="51A2E577"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Shadow on Title</w:t>
      </w:r>
      <w:r w:rsidRPr="007A4C6B">
        <w:rPr>
          <w:rFonts w:ascii="Times New Roman" w:hAnsi="Times New Roman"/>
          <w:lang w:val="en-HK"/>
        </w:rPr>
        <w:t>:</w:t>
      </w:r>
    </w:p>
    <w:p w14:paraId="7149DF2B" w14:textId="77777777" w:rsidR="00F40330" w:rsidRPr="007A4C6B" w:rsidRDefault="00F40330" w:rsidP="007A4C6B">
      <w:pPr>
        <w:numPr>
          <w:ilvl w:val="2"/>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lastRenderedPageBreak/>
        <w:t>The legislative focus on protecting private purchasers has created uncertainties in the market. Financiers are reluctant to refinance vehicles due to unresolved encumbrances revealed in Hire Purchase Information (HPI) searches, resulting in a "shadow on title."</w:t>
      </w:r>
    </w:p>
    <w:p w14:paraId="3A0365C3" w14:textId="77777777" w:rsidR="00F40330" w:rsidRPr="007A4C6B" w:rsidRDefault="00F40330" w:rsidP="007A4C6B">
      <w:pPr>
        <w:numPr>
          <w:ilvl w:val="2"/>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This problem was highlighted in the Crowther Committee’s 1971 report, which noted:</w:t>
      </w:r>
    </w:p>
    <w:p w14:paraId="2F63CE52" w14:textId="77777777" w:rsidR="00F40330" w:rsidRPr="007A4C6B" w:rsidRDefault="00F40330" w:rsidP="007A4C6B">
      <w:pPr>
        <w:spacing w:beforeAutospacing="1" w:afterAutospacing="1" w:line="360" w:lineRule="auto"/>
        <w:rPr>
          <w:rFonts w:ascii="Times New Roman" w:hAnsi="Times New Roman"/>
          <w:lang w:val="en-HK"/>
        </w:rPr>
      </w:pPr>
      <w:r w:rsidRPr="007A4C6B">
        <w:rPr>
          <w:rFonts w:ascii="Times New Roman" w:hAnsi="Times New Roman"/>
          <w:lang w:val="en-HK"/>
        </w:rPr>
        <w:t>“Certain unforeseen difficulties emerged… significant conceptual and practical issues remain unresolved.”</w:t>
      </w:r>
    </w:p>
    <w:p w14:paraId="22EEE985" w14:textId="77777777" w:rsidR="00F40330" w:rsidRPr="007A4C6B" w:rsidRDefault="00F40330" w:rsidP="007A4C6B">
      <w:pPr>
        <w:numPr>
          <w:ilvl w:val="0"/>
          <w:numId w:val="5"/>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Proposed Reforms</w:t>
      </w:r>
      <w:r w:rsidRPr="007A4C6B">
        <w:rPr>
          <w:rFonts w:ascii="Times New Roman" w:hAnsi="Times New Roman"/>
          <w:lang w:val="en-HK"/>
        </w:rPr>
        <w:t>:</w:t>
      </w:r>
    </w:p>
    <w:p w14:paraId="428162F7"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Compulsory Ownership Registration System</w:t>
      </w:r>
      <w:r w:rsidRPr="007A4C6B">
        <w:rPr>
          <w:rFonts w:ascii="Times New Roman" w:hAnsi="Times New Roman"/>
          <w:lang w:val="en-HK"/>
        </w:rPr>
        <w:t>:</w:t>
      </w:r>
    </w:p>
    <w:p w14:paraId="78BE7ACA"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text proposes a registration system similar to the </w:t>
      </w:r>
      <w:r w:rsidRPr="007A4C6B">
        <w:rPr>
          <w:rFonts w:ascii="Times New Roman" w:hAnsi="Times New Roman"/>
          <w:b/>
          <w:bCs/>
          <w:lang w:val="en-HK"/>
        </w:rPr>
        <w:t>Torrens system of land registration</w:t>
      </w:r>
      <w:r w:rsidRPr="007A4C6B">
        <w:rPr>
          <w:rFonts w:ascii="Times New Roman" w:hAnsi="Times New Roman"/>
          <w:lang w:val="en-HK"/>
        </w:rPr>
        <w:t>. This would establish a centralized ownership register, ensuring that:</w:t>
      </w:r>
    </w:p>
    <w:p w14:paraId="3E798826" w14:textId="77777777" w:rsidR="00F40330" w:rsidRPr="007A4C6B" w:rsidRDefault="00F40330" w:rsidP="007A4C6B">
      <w:pPr>
        <w:numPr>
          <w:ilvl w:val="3"/>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Any unregistered interest in a motor vehicle is extinguished following a valid disposition.</w:t>
      </w:r>
    </w:p>
    <w:p w14:paraId="576901E1" w14:textId="77777777" w:rsidR="00F40330" w:rsidRPr="007A4C6B" w:rsidRDefault="00F40330" w:rsidP="007A4C6B">
      <w:pPr>
        <w:numPr>
          <w:ilvl w:val="3"/>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Buyers could search the register to confirm the absence of encumbrances or ownership disputes.</w:t>
      </w:r>
    </w:p>
    <w:p w14:paraId="7279FA0A"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Benefits:</w:t>
      </w:r>
    </w:p>
    <w:p w14:paraId="4C7A41A6" w14:textId="77777777" w:rsidR="00F40330" w:rsidRPr="007A4C6B" w:rsidRDefault="00F40330" w:rsidP="007A4C6B">
      <w:pPr>
        <w:numPr>
          <w:ilvl w:val="3"/>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Resolves the issue of balancing interests between owners and purchasers, as disputes would be minimized by </w:t>
      </w:r>
      <w:proofErr w:type="spellStart"/>
      <w:r w:rsidRPr="007A4C6B">
        <w:rPr>
          <w:rFonts w:ascii="Times New Roman" w:hAnsi="Times New Roman"/>
          <w:lang w:val="en-HK"/>
        </w:rPr>
        <w:t>preemptive</w:t>
      </w:r>
      <w:proofErr w:type="spellEnd"/>
      <w:r w:rsidRPr="007A4C6B">
        <w:rPr>
          <w:rFonts w:ascii="Times New Roman" w:hAnsi="Times New Roman"/>
          <w:lang w:val="en-HK"/>
        </w:rPr>
        <w:t xml:space="preserve"> registration.</w:t>
      </w:r>
    </w:p>
    <w:p w14:paraId="09356C6D" w14:textId="77777777" w:rsidR="00F40330" w:rsidRPr="007A4C6B" w:rsidRDefault="00F40330" w:rsidP="007A4C6B">
      <w:pPr>
        <w:numPr>
          <w:ilvl w:val="3"/>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Removes reliance on paper-based instruments, which are prone to fraud and errors.</w:t>
      </w:r>
    </w:p>
    <w:p w14:paraId="618D5362"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Practicalities:</w:t>
      </w:r>
    </w:p>
    <w:p w14:paraId="05C4C2E0" w14:textId="77777777" w:rsidR="00F40330" w:rsidRPr="007A4C6B" w:rsidRDefault="00F40330" w:rsidP="007A4C6B">
      <w:pPr>
        <w:numPr>
          <w:ilvl w:val="3"/>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Linking the registration to the </w:t>
      </w:r>
      <w:r w:rsidRPr="007A4C6B">
        <w:rPr>
          <w:rFonts w:ascii="Times New Roman" w:hAnsi="Times New Roman"/>
          <w:b/>
          <w:bCs/>
          <w:lang w:val="en-HK"/>
        </w:rPr>
        <w:t>Vehicle Identification Number (VIN)</w:t>
      </w:r>
      <w:r w:rsidRPr="007A4C6B">
        <w:rPr>
          <w:rFonts w:ascii="Times New Roman" w:hAnsi="Times New Roman"/>
          <w:lang w:val="en-HK"/>
        </w:rPr>
        <w:t xml:space="preserve"> would provide a unique identifier, reducing the risk of fraud (e.g., through plate transfers or counterfeit logbooks).</w:t>
      </w:r>
    </w:p>
    <w:p w14:paraId="6874D0E8"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Open Access Information System</w:t>
      </w:r>
      <w:r w:rsidRPr="007A4C6B">
        <w:rPr>
          <w:rFonts w:ascii="Times New Roman" w:hAnsi="Times New Roman"/>
          <w:lang w:val="en-HK"/>
        </w:rPr>
        <w:t>:</w:t>
      </w:r>
    </w:p>
    <w:p w14:paraId="647F43B3"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register would provide accessible, real-time information to potential buyers, including:</w:t>
      </w:r>
    </w:p>
    <w:p w14:paraId="015507B1" w14:textId="77777777" w:rsidR="00F40330" w:rsidRPr="007A4C6B" w:rsidRDefault="00F40330" w:rsidP="007A4C6B">
      <w:pPr>
        <w:numPr>
          <w:ilvl w:val="3"/>
          <w:numId w:val="5"/>
        </w:numPr>
        <w:spacing w:before="100" w:beforeAutospacing="1" w:after="100" w:afterAutospacing="1" w:line="360" w:lineRule="auto"/>
        <w:rPr>
          <w:rFonts w:ascii="Times New Roman" w:hAnsi="Times New Roman"/>
          <w:b/>
          <w:bCs/>
          <w:lang w:val="en-HK"/>
        </w:rPr>
      </w:pPr>
      <w:r w:rsidRPr="007A4C6B">
        <w:rPr>
          <w:rFonts w:ascii="Times New Roman" w:hAnsi="Times New Roman"/>
          <w:b/>
          <w:bCs/>
          <w:lang w:val="en-HK"/>
        </w:rPr>
        <w:t>Encumbrance details.</w:t>
      </w:r>
    </w:p>
    <w:p w14:paraId="3614C6BA" w14:textId="77777777" w:rsidR="00F40330" w:rsidRPr="007A4C6B" w:rsidRDefault="00F40330" w:rsidP="007A4C6B">
      <w:pPr>
        <w:numPr>
          <w:ilvl w:val="3"/>
          <w:numId w:val="5"/>
        </w:numPr>
        <w:spacing w:before="100" w:beforeAutospacing="1" w:after="100" w:afterAutospacing="1" w:line="360" w:lineRule="auto"/>
        <w:rPr>
          <w:rFonts w:ascii="Times New Roman" w:hAnsi="Times New Roman"/>
          <w:b/>
          <w:bCs/>
          <w:lang w:val="en-HK"/>
        </w:rPr>
      </w:pPr>
      <w:r w:rsidRPr="007A4C6B">
        <w:rPr>
          <w:rFonts w:ascii="Times New Roman" w:hAnsi="Times New Roman"/>
          <w:b/>
          <w:bCs/>
          <w:lang w:val="en-HK"/>
        </w:rPr>
        <w:t>Vehicle history, such as odometer readings or accident reports.</w:t>
      </w:r>
    </w:p>
    <w:p w14:paraId="5618949A" w14:textId="77777777" w:rsidR="00F40330" w:rsidRPr="007A4C6B" w:rsidRDefault="00F40330" w:rsidP="007A4C6B">
      <w:pPr>
        <w:numPr>
          <w:ilvl w:val="3"/>
          <w:numId w:val="5"/>
        </w:numPr>
        <w:spacing w:before="100" w:beforeAutospacing="1" w:after="100" w:afterAutospacing="1" w:line="360" w:lineRule="auto"/>
        <w:rPr>
          <w:rFonts w:ascii="Times New Roman" w:hAnsi="Times New Roman"/>
          <w:b/>
          <w:bCs/>
          <w:lang w:val="en-HK"/>
        </w:rPr>
      </w:pPr>
      <w:r w:rsidRPr="007A4C6B">
        <w:rPr>
          <w:rFonts w:ascii="Times New Roman" w:hAnsi="Times New Roman"/>
          <w:b/>
          <w:bCs/>
          <w:lang w:val="en-HK"/>
        </w:rPr>
        <w:lastRenderedPageBreak/>
        <w:t>Stolen vehicle notifications.</w:t>
      </w:r>
    </w:p>
    <w:p w14:paraId="0809C4BF"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This consumer protection measure aligns with reforms in other jurisdictions, such as the U.S. and Germany, which have introduced enhanced title systems to tackle fraud.</w:t>
      </w:r>
    </w:p>
    <w:p w14:paraId="79CD7CF8"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Enhanced Sanctions for Non-Compliance</w:t>
      </w:r>
      <w:r w:rsidRPr="007A4C6B">
        <w:rPr>
          <w:rFonts w:ascii="Times New Roman" w:hAnsi="Times New Roman"/>
          <w:lang w:val="en-HK"/>
        </w:rPr>
        <w:t>:</w:t>
      </w:r>
    </w:p>
    <w:p w14:paraId="5B402F07" w14:textId="77777777" w:rsidR="00F40330" w:rsidRPr="007A4C6B" w:rsidRDefault="00F40330" w:rsidP="007A4C6B">
      <w:pPr>
        <w:numPr>
          <w:ilvl w:val="2"/>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text critiques the lack of penalties for failing to register encumbrances with HPI or other voluntary systems. It argues for legislative provisions imposing fines or other sanctions on financiers or sellers who fail to comply.</w:t>
      </w:r>
    </w:p>
    <w:p w14:paraId="4858FFD3" w14:textId="77777777" w:rsidR="00F40330" w:rsidRPr="007A4C6B" w:rsidRDefault="00F40330" w:rsidP="007A4C6B">
      <w:pPr>
        <w:numPr>
          <w:ilvl w:val="0"/>
          <w:numId w:val="5"/>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Balancing Interests</w:t>
      </w:r>
      <w:r w:rsidRPr="007A4C6B">
        <w:rPr>
          <w:rFonts w:ascii="Times New Roman" w:hAnsi="Times New Roman"/>
          <w:lang w:val="en-HK"/>
        </w:rPr>
        <w:t>:</w:t>
      </w:r>
    </w:p>
    <w:p w14:paraId="195B2B27"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Distributive Justice</w:t>
      </w:r>
      <w:r w:rsidRPr="007A4C6B">
        <w:rPr>
          <w:rFonts w:ascii="Times New Roman" w:hAnsi="Times New Roman"/>
          <w:lang w:val="en-HK"/>
        </w:rPr>
        <w:t>:</w:t>
      </w:r>
    </w:p>
    <w:p w14:paraId="5993476A" w14:textId="77777777" w:rsidR="00F40330" w:rsidRPr="007A4C6B" w:rsidRDefault="00F40330" w:rsidP="007A4C6B">
      <w:pPr>
        <w:numPr>
          <w:ilvl w:val="2"/>
          <w:numId w:val="5"/>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A compulsory ownership registration system would shift the burden of risk to financiers, who are better equipped to bear the cost of monitoring compliance. As noted in the text:</w:t>
      </w:r>
    </w:p>
    <w:p w14:paraId="02279BF5" w14:textId="77777777" w:rsidR="00F40330" w:rsidRPr="007A4C6B" w:rsidRDefault="00F40330" w:rsidP="007A4C6B">
      <w:pPr>
        <w:spacing w:beforeAutospacing="1" w:afterAutospacing="1" w:line="360" w:lineRule="auto"/>
        <w:rPr>
          <w:rFonts w:ascii="Times New Roman" w:hAnsi="Times New Roman"/>
          <w:lang w:val="en-HK"/>
        </w:rPr>
      </w:pPr>
      <w:r w:rsidRPr="007A4C6B">
        <w:rPr>
          <w:rFonts w:ascii="Times New Roman" w:hAnsi="Times New Roman"/>
          <w:lang w:val="en-HK"/>
        </w:rPr>
        <w:t>"The asset financier of stock-in-trade should bear this risk as a cost of doing business."</w:t>
      </w:r>
    </w:p>
    <w:p w14:paraId="4496AF70"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Protection for Trade and Private Purchasers</w:t>
      </w:r>
      <w:r w:rsidRPr="007A4C6B">
        <w:rPr>
          <w:rFonts w:ascii="Times New Roman" w:hAnsi="Times New Roman"/>
          <w:lang w:val="en-HK"/>
        </w:rPr>
        <w:t>:</w:t>
      </w:r>
    </w:p>
    <w:p w14:paraId="63D546B0"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proposed system would eliminate the current disparity between protections for private and trade purchasers, ensuring that all innocent parties benefit from clear title verification mechanisms.</w:t>
      </w:r>
    </w:p>
    <w:p w14:paraId="0805A71B" w14:textId="77777777" w:rsidR="00F40330" w:rsidRPr="007A4C6B" w:rsidRDefault="00F40330" w:rsidP="007A4C6B">
      <w:pPr>
        <w:numPr>
          <w:ilvl w:val="0"/>
          <w:numId w:val="5"/>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International Comparisons and Lessons</w:t>
      </w:r>
      <w:r w:rsidRPr="007A4C6B">
        <w:rPr>
          <w:rFonts w:ascii="Times New Roman" w:hAnsi="Times New Roman"/>
          <w:lang w:val="en-HK"/>
        </w:rPr>
        <w:t>:</w:t>
      </w:r>
    </w:p>
    <w:p w14:paraId="5BE87021"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U.S. certificate of title system and Germany’s </w:t>
      </w:r>
      <w:proofErr w:type="spellStart"/>
      <w:r w:rsidRPr="007A4C6B">
        <w:rPr>
          <w:rFonts w:ascii="Times New Roman" w:hAnsi="Times New Roman"/>
          <w:b/>
          <w:bCs/>
          <w:lang w:val="en-HK"/>
        </w:rPr>
        <w:t>kraftfahrzeugbrief</w:t>
      </w:r>
      <w:proofErr w:type="spellEnd"/>
      <w:r w:rsidRPr="007A4C6B">
        <w:rPr>
          <w:rFonts w:ascii="Times New Roman" w:hAnsi="Times New Roman"/>
          <w:lang w:val="en-HK"/>
        </w:rPr>
        <w:t xml:space="preserve"> model offer valuable insights but remain flawed due to:</w:t>
      </w:r>
    </w:p>
    <w:p w14:paraId="7F227A1A"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Risks of counterfeit certificates.</w:t>
      </w:r>
    </w:p>
    <w:p w14:paraId="68B328A9"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Delays and inefficiencies in issuing and transferring paper titles.</w:t>
      </w:r>
    </w:p>
    <w:p w14:paraId="3C2BC6EB"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The proposed system builds on these models by leveraging technology (e.g., VIN-based registration) to improve transparency and security.</w:t>
      </w:r>
    </w:p>
    <w:p w14:paraId="767AF1F2" w14:textId="77777777" w:rsidR="00F40330" w:rsidRPr="007A4C6B" w:rsidRDefault="00782954" w:rsidP="007A4C6B">
      <w:pPr>
        <w:spacing w:line="360" w:lineRule="auto"/>
        <w:rPr>
          <w:rFonts w:ascii="Times New Roman" w:hAnsi="Times New Roman"/>
          <w:lang w:val="en-HK"/>
        </w:rPr>
      </w:pPr>
      <w:r w:rsidRPr="00782954">
        <w:rPr>
          <w:rFonts w:ascii="Times New Roman" w:hAnsi="Times New Roman"/>
          <w:noProof/>
          <w:lang w:val="en-HK"/>
          <w14:ligatures w14:val="standardContextual"/>
        </w:rPr>
        <w:pict w14:anchorId="0D3CFE0B">
          <v:rect id="_x0000_i1025" alt="" style="width:451.3pt;height:.05pt;mso-width-percent:0;mso-height-percent:0;mso-width-percent:0;mso-height-percent:0" o:hralign="center" o:hrstd="t" o:hr="t" fillcolor="#a0a0a0" stroked="f"/>
        </w:pict>
      </w:r>
    </w:p>
    <w:p w14:paraId="65A0C32E" w14:textId="3AB080DD" w:rsidR="00F40330" w:rsidRPr="007A4C6B" w:rsidRDefault="00F40330" w:rsidP="007A4C6B">
      <w:pPr>
        <w:spacing w:before="100" w:beforeAutospacing="1" w:after="100" w:afterAutospacing="1" w:line="360" w:lineRule="auto"/>
        <w:outlineLvl w:val="2"/>
        <w:rPr>
          <w:rFonts w:ascii="Times New Roman" w:hAnsi="Times New Roman"/>
          <w:b/>
          <w:bCs/>
          <w:lang w:val="en-HK"/>
        </w:rPr>
      </w:pPr>
      <w:r w:rsidRPr="007A4C6B">
        <w:rPr>
          <w:rFonts w:ascii="Times New Roman" w:hAnsi="Times New Roman"/>
          <w:b/>
          <w:bCs/>
          <w:lang w:val="en-HK"/>
        </w:rPr>
        <w:lastRenderedPageBreak/>
        <w:t>VI. Conclusion</w:t>
      </w:r>
    </w:p>
    <w:p w14:paraId="636C95B3" w14:textId="77777777" w:rsidR="00F40330" w:rsidRPr="007A4C6B" w:rsidRDefault="00F40330" w:rsidP="007A4C6B">
      <w:pPr>
        <w:numPr>
          <w:ilvl w:val="0"/>
          <w:numId w:val="6"/>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Evaluation of the Current Law</w:t>
      </w:r>
      <w:r w:rsidRPr="007A4C6B">
        <w:rPr>
          <w:rFonts w:ascii="Times New Roman" w:hAnsi="Times New Roman"/>
          <w:lang w:val="en-HK"/>
        </w:rPr>
        <w:t>:</w:t>
      </w:r>
    </w:p>
    <w:p w14:paraId="57B7D3A2"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w:t>
      </w:r>
      <w:r w:rsidRPr="007A4C6B">
        <w:rPr>
          <w:rFonts w:ascii="Times New Roman" w:hAnsi="Times New Roman"/>
          <w:b/>
          <w:bCs/>
          <w:lang w:val="en-HK"/>
        </w:rPr>
        <w:t>Hire Purchase Act 1964</w:t>
      </w:r>
      <w:r w:rsidRPr="007A4C6B">
        <w:rPr>
          <w:rFonts w:ascii="Times New Roman" w:hAnsi="Times New Roman"/>
          <w:lang w:val="en-HK"/>
        </w:rPr>
        <w:t xml:space="preserve">, as amended, represents an extreme application of the civilian </w:t>
      </w:r>
      <w:r w:rsidRPr="007A4C6B">
        <w:rPr>
          <w:rFonts w:ascii="Times New Roman" w:hAnsi="Times New Roman"/>
          <w:b/>
          <w:bCs/>
          <w:lang w:val="en-HK"/>
        </w:rPr>
        <w:t xml:space="preserve">possession </w:t>
      </w:r>
      <w:proofErr w:type="spellStart"/>
      <w:r w:rsidRPr="007A4C6B">
        <w:rPr>
          <w:rFonts w:ascii="Times New Roman" w:hAnsi="Times New Roman"/>
          <w:b/>
          <w:bCs/>
          <w:lang w:val="en-HK"/>
        </w:rPr>
        <w:t>vaut</w:t>
      </w:r>
      <w:proofErr w:type="spellEnd"/>
      <w:r w:rsidRPr="007A4C6B">
        <w:rPr>
          <w:rFonts w:ascii="Times New Roman" w:hAnsi="Times New Roman"/>
          <w:b/>
          <w:bCs/>
          <w:lang w:val="en-HK"/>
        </w:rPr>
        <w:t xml:space="preserve"> titre</w:t>
      </w:r>
      <w:r w:rsidRPr="007A4C6B">
        <w:rPr>
          <w:rFonts w:ascii="Times New Roman" w:hAnsi="Times New Roman"/>
          <w:lang w:val="en-HK"/>
        </w:rPr>
        <w:t xml:space="preserve"> doctrine, which prioritizes possession over ownership. While it protects innocent purchasers, it creates:</w:t>
      </w:r>
    </w:p>
    <w:p w14:paraId="423EE55D" w14:textId="77777777" w:rsidR="00F40330" w:rsidRPr="007A4C6B" w:rsidRDefault="00F40330" w:rsidP="007A4C6B">
      <w:pPr>
        <w:numPr>
          <w:ilvl w:val="2"/>
          <w:numId w:val="6"/>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Overly broad protections</w:t>
      </w:r>
      <w:r w:rsidRPr="007A4C6B">
        <w:rPr>
          <w:rFonts w:ascii="Times New Roman" w:hAnsi="Times New Roman"/>
          <w:lang w:val="en-HK"/>
        </w:rPr>
        <w:t xml:space="preserve"> for some parties (e.g., all private purchasers, including large companies, under Section 29(2)).</w:t>
      </w:r>
    </w:p>
    <w:p w14:paraId="01F1EFC4" w14:textId="77777777" w:rsidR="00F40330" w:rsidRPr="007A4C6B" w:rsidRDefault="00F40330" w:rsidP="007A4C6B">
      <w:pPr>
        <w:numPr>
          <w:ilvl w:val="2"/>
          <w:numId w:val="6"/>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Insufficient protections</w:t>
      </w:r>
      <w:r w:rsidRPr="007A4C6B">
        <w:rPr>
          <w:rFonts w:ascii="Times New Roman" w:hAnsi="Times New Roman"/>
          <w:lang w:val="en-HK"/>
        </w:rPr>
        <w:t xml:space="preserve"> for others (e.g., trade purchasers and certain financing arrangements).</w:t>
      </w:r>
    </w:p>
    <w:p w14:paraId="3987D08D"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Factual possession, even when coupled with registration certificates, remains an equivocal indication of ownership. As a result, disputes over title and encumbrances continue to plague motor vehicle transactions.</w:t>
      </w:r>
    </w:p>
    <w:p w14:paraId="2A587A5B" w14:textId="77777777" w:rsidR="00F40330" w:rsidRPr="007A4C6B" w:rsidRDefault="00F40330" w:rsidP="007A4C6B">
      <w:pPr>
        <w:numPr>
          <w:ilvl w:val="0"/>
          <w:numId w:val="6"/>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Need for Reform</w:t>
      </w:r>
      <w:r w:rsidRPr="007A4C6B">
        <w:rPr>
          <w:rFonts w:ascii="Times New Roman" w:hAnsi="Times New Roman"/>
          <w:lang w:val="en-HK"/>
        </w:rPr>
        <w:t>:</w:t>
      </w:r>
    </w:p>
    <w:p w14:paraId="1F5ACA54"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traditional common law reliance on </w:t>
      </w:r>
      <w:r w:rsidRPr="007A4C6B">
        <w:rPr>
          <w:rFonts w:ascii="Times New Roman" w:hAnsi="Times New Roman"/>
          <w:b/>
          <w:bCs/>
          <w:lang w:val="en-HK"/>
        </w:rPr>
        <w:t>notice through public filing</w:t>
      </w:r>
      <w:r w:rsidRPr="007A4C6B">
        <w:rPr>
          <w:rFonts w:ascii="Times New Roman" w:hAnsi="Times New Roman"/>
          <w:lang w:val="en-HK"/>
        </w:rPr>
        <w:t xml:space="preserve"> has proven inadequate. Voluntary systems like HPI are flawed, as they lack mandatory compliance mechanisms and do not extend beyond credit information.</w:t>
      </w:r>
    </w:p>
    <w:p w14:paraId="7910C71D"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A </w:t>
      </w:r>
      <w:r w:rsidRPr="007A4C6B">
        <w:rPr>
          <w:rFonts w:ascii="Times New Roman" w:hAnsi="Times New Roman"/>
          <w:b/>
          <w:bCs/>
          <w:lang w:val="en-HK"/>
        </w:rPr>
        <w:t>compulsory registration system</w:t>
      </w:r>
      <w:r w:rsidRPr="007A4C6B">
        <w:rPr>
          <w:rFonts w:ascii="Times New Roman" w:hAnsi="Times New Roman"/>
          <w:lang w:val="en-HK"/>
        </w:rPr>
        <w:t xml:space="preserve"> linked to VINs would address these deficiencies by:</w:t>
      </w:r>
    </w:p>
    <w:p w14:paraId="13B39222" w14:textId="77777777" w:rsidR="00F40330" w:rsidRPr="007A4C6B" w:rsidRDefault="00F40330" w:rsidP="007A4C6B">
      <w:pPr>
        <w:numPr>
          <w:ilvl w:val="2"/>
          <w:numId w:val="6"/>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Ensuring transparency and security in ownership and encumbrance records.</w:t>
      </w:r>
    </w:p>
    <w:p w14:paraId="6AF9D9B9" w14:textId="77777777" w:rsidR="00F40330" w:rsidRPr="007A4C6B" w:rsidRDefault="00F40330" w:rsidP="007A4C6B">
      <w:pPr>
        <w:numPr>
          <w:ilvl w:val="2"/>
          <w:numId w:val="6"/>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Balancing the rights of financiers, sellers, and purchasers.</w:t>
      </w:r>
    </w:p>
    <w:p w14:paraId="0E2270F7" w14:textId="77777777" w:rsidR="00F40330" w:rsidRPr="007A4C6B" w:rsidRDefault="00F40330" w:rsidP="007A4C6B">
      <w:pPr>
        <w:numPr>
          <w:ilvl w:val="2"/>
          <w:numId w:val="6"/>
        </w:numPr>
        <w:spacing w:before="100" w:beforeAutospacing="1" w:after="100" w:afterAutospacing="1" w:line="360" w:lineRule="auto"/>
        <w:rPr>
          <w:rFonts w:ascii="Times New Roman" w:hAnsi="Times New Roman"/>
          <w:lang w:val="en-HK"/>
        </w:rPr>
      </w:pPr>
      <w:r w:rsidRPr="007A4C6B">
        <w:rPr>
          <w:rFonts w:ascii="Times New Roman" w:hAnsi="Times New Roman"/>
          <w:lang w:val="en-HK"/>
        </w:rPr>
        <w:t>Reducing the incidence of fraud and wrongful dispositions.</w:t>
      </w:r>
    </w:p>
    <w:p w14:paraId="5A5476A4" w14:textId="77777777" w:rsidR="00F40330" w:rsidRPr="007A4C6B" w:rsidRDefault="00F40330" w:rsidP="007A4C6B">
      <w:pPr>
        <w:numPr>
          <w:ilvl w:val="0"/>
          <w:numId w:val="6"/>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t>Policy Implications</w:t>
      </w:r>
      <w:r w:rsidRPr="007A4C6B">
        <w:rPr>
          <w:rFonts w:ascii="Times New Roman" w:hAnsi="Times New Roman"/>
          <w:lang w:val="en-HK"/>
        </w:rPr>
        <w:t>:</w:t>
      </w:r>
    </w:p>
    <w:p w14:paraId="75585348"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proposed reforms emphasize </w:t>
      </w:r>
      <w:r w:rsidRPr="007A4C6B">
        <w:rPr>
          <w:rFonts w:ascii="Times New Roman" w:hAnsi="Times New Roman"/>
          <w:b/>
          <w:bCs/>
          <w:lang w:val="en-HK"/>
        </w:rPr>
        <w:t>extinguishment of title issues</w:t>
      </w:r>
      <w:r w:rsidRPr="007A4C6B">
        <w:rPr>
          <w:rFonts w:ascii="Times New Roman" w:hAnsi="Times New Roman"/>
          <w:lang w:val="en-HK"/>
        </w:rPr>
        <w:t xml:space="preserve"> rather than prioritization disputes, creating a more equitable and efficient system.</w:t>
      </w:r>
    </w:p>
    <w:p w14:paraId="587FEBF6"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By focusing on technology-driven solutions, the reform aligns with broader trends in commercial law modernization, ensuring that motor vehicle transactions remain secure and reliable.</w:t>
      </w:r>
    </w:p>
    <w:p w14:paraId="3E8C317B" w14:textId="77777777" w:rsidR="00F40330" w:rsidRPr="007A4C6B" w:rsidRDefault="00F40330" w:rsidP="007A4C6B">
      <w:pPr>
        <w:numPr>
          <w:ilvl w:val="0"/>
          <w:numId w:val="6"/>
        </w:numPr>
        <w:spacing w:before="100" w:beforeAutospacing="1" w:after="100" w:afterAutospacing="1" w:line="360" w:lineRule="auto"/>
        <w:rPr>
          <w:rFonts w:ascii="Times New Roman" w:hAnsi="Times New Roman"/>
          <w:lang w:val="en-HK"/>
        </w:rPr>
      </w:pPr>
      <w:r w:rsidRPr="007A4C6B">
        <w:rPr>
          <w:rFonts w:ascii="Times New Roman" w:hAnsi="Times New Roman"/>
          <w:b/>
          <w:bCs/>
          <w:lang w:val="en-HK"/>
        </w:rPr>
        <w:lastRenderedPageBreak/>
        <w:t>Final Observations</w:t>
      </w:r>
      <w:r w:rsidRPr="007A4C6B">
        <w:rPr>
          <w:rFonts w:ascii="Times New Roman" w:hAnsi="Times New Roman"/>
          <w:lang w:val="en-HK"/>
        </w:rPr>
        <w:t>:</w:t>
      </w:r>
    </w:p>
    <w:p w14:paraId="235311DA"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 xml:space="preserve">The text concludes that the current legal framework fails to provide sufficient protection for all stakeholders in motor vehicle transactions. A </w:t>
      </w:r>
      <w:r w:rsidRPr="007A4C6B">
        <w:rPr>
          <w:rFonts w:ascii="Times New Roman" w:hAnsi="Times New Roman"/>
          <w:b/>
          <w:bCs/>
          <w:lang w:val="en-HK"/>
        </w:rPr>
        <w:t>mandatory registration system</w:t>
      </w:r>
      <w:r w:rsidRPr="007A4C6B">
        <w:rPr>
          <w:rFonts w:ascii="Times New Roman" w:hAnsi="Times New Roman"/>
          <w:lang w:val="en-HK"/>
        </w:rPr>
        <w:t xml:space="preserve"> would not only protect innocent purchasers but also enhance market confidence by eliminating the ambiguities and inefficiencies of the existing regime.</w:t>
      </w:r>
    </w:p>
    <w:p w14:paraId="44E0ADB0" w14:textId="77777777" w:rsidR="00F40330" w:rsidRPr="007A4C6B" w:rsidRDefault="00F40330" w:rsidP="007A4C6B">
      <w:pPr>
        <w:spacing w:before="100" w:beforeAutospacing="1" w:after="100" w:afterAutospacing="1" w:line="360" w:lineRule="auto"/>
        <w:rPr>
          <w:rFonts w:ascii="Times New Roman" w:hAnsi="Times New Roman"/>
          <w:lang w:val="en-HK"/>
        </w:rPr>
      </w:pPr>
      <w:r w:rsidRPr="007A4C6B">
        <w:rPr>
          <w:rFonts w:ascii="Times New Roman" w:hAnsi="Times New Roman"/>
          <w:lang w:val="en-HK"/>
        </w:rPr>
        <w:t>As noted, “The integrity of the chain-of-title in especially motor vehicle dispositions would be guaranteed” under a reformed registration system.</w:t>
      </w:r>
    </w:p>
    <w:p w14:paraId="72290DC5" w14:textId="736CCDA3" w:rsidR="00CD39F1" w:rsidRPr="007A4C6B" w:rsidRDefault="00CD39F1" w:rsidP="007A4C6B">
      <w:pPr>
        <w:spacing w:line="360" w:lineRule="auto"/>
      </w:pPr>
    </w:p>
    <w:sectPr w:rsidR="00CD39F1" w:rsidRPr="007A4C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D005C"/>
    <w:multiLevelType w:val="multilevel"/>
    <w:tmpl w:val="0AEC7064"/>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0"/>
        </w:tabs>
        <w:ind w:left="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0DCE4A8D"/>
    <w:multiLevelType w:val="multilevel"/>
    <w:tmpl w:val="B38ED9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2F91D3B"/>
    <w:multiLevelType w:val="multilevel"/>
    <w:tmpl w:val="1C149B6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 w15:restartNumberingAfterBreak="0">
    <w:nsid w:val="158C5E8E"/>
    <w:multiLevelType w:val="multilevel"/>
    <w:tmpl w:val="94A86C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8524839"/>
    <w:multiLevelType w:val="multilevel"/>
    <w:tmpl w:val="EC0AE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65F9F"/>
    <w:multiLevelType w:val="multilevel"/>
    <w:tmpl w:val="1E64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85A40"/>
    <w:multiLevelType w:val="multilevel"/>
    <w:tmpl w:val="28662C80"/>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0"/>
        </w:tabs>
        <w:ind w:left="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 w15:restartNumberingAfterBreak="0">
    <w:nsid w:val="4E804691"/>
    <w:multiLevelType w:val="multilevel"/>
    <w:tmpl w:val="F3A6CB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7EB22DC"/>
    <w:multiLevelType w:val="multilevel"/>
    <w:tmpl w:val="2DC64D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C8F3118"/>
    <w:multiLevelType w:val="multilevel"/>
    <w:tmpl w:val="65944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E0C1E"/>
    <w:multiLevelType w:val="multilevel"/>
    <w:tmpl w:val="3A94C9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8555167"/>
    <w:multiLevelType w:val="multilevel"/>
    <w:tmpl w:val="2A5C7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A2C00"/>
    <w:multiLevelType w:val="multilevel"/>
    <w:tmpl w:val="89CE07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4442D7C"/>
    <w:multiLevelType w:val="multilevel"/>
    <w:tmpl w:val="585AF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92D9C"/>
    <w:multiLevelType w:val="multilevel"/>
    <w:tmpl w:val="E65E3D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69061394">
    <w:abstractNumId w:val="6"/>
  </w:num>
  <w:num w:numId="2" w16cid:durableId="2080132906">
    <w:abstractNumId w:val="14"/>
  </w:num>
  <w:num w:numId="3" w16cid:durableId="324821116">
    <w:abstractNumId w:val="0"/>
  </w:num>
  <w:num w:numId="4" w16cid:durableId="1175459189">
    <w:abstractNumId w:val="12"/>
  </w:num>
  <w:num w:numId="5" w16cid:durableId="1220824868">
    <w:abstractNumId w:val="3"/>
  </w:num>
  <w:num w:numId="6" w16cid:durableId="77338111">
    <w:abstractNumId w:val="8"/>
  </w:num>
  <w:num w:numId="7" w16cid:durableId="1966810967">
    <w:abstractNumId w:val="7"/>
  </w:num>
  <w:num w:numId="8" w16cid:durableId="327177028">
    <w:abstractNumId w:val="11"/>
  </w:num>
  <w:num w:numId="9" w16cid:durableId="977608802">
    <w:abstractNumId w:val="5"/>
  </w:num>
  <w:num w:numId="10" w16cid:durableId="251398356">
    <w:abstractNumId w:val="4"/>
  </w:num>
  <w:num w:numId="11" w16cid:durableId="192229851">
    <w:abstractNumId w:val="10"/>
  </w:num>
  <w:num w:numId="12" w16cid:durableId="507334941">
    <w:abstractNumId w:val="9"/>
  </w:num>
  <w:num w:numId="13" w16cid:durableId="1870683862">
    <w:abstractNumId w:val="1"/>
  </w:num>
  <w:num w:numId="14" w16cid:durableId="1241908113">
    <w:abstractNumId w:val="2"/>
  </w:num>
  <w:num w:numId="15" w16cid:durableId="7274630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62"/>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602FF"/>
    <w:rsid w:val="00474DD1"/>
    <w:rsid w:val="004751B5"/>
    <w:rsid w:val="0048097D"/>
    <w:rsid w:val="0048175B"/>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954"/>
    <w:rsid w:val="0078776B"/>
    <w:rsid w:val="00796A93"/>
    <w:rsid w:val="007A4C6B"/>
    <w:rsid w:val="007B48C2"/>
    <w:rsid w:val="007C231D"/>
    <w:rsid w:val="007D3C28"/>
    <w:rsid w:val="007D68F0"/>
    <w:rsid w:val="007E1559"/>
    <w:rsid w:val="007E4AE6"/>
    <w:rsid w:val="007F776E"/>
    <w:rsid w:val="00816563"/>
    <w:rsid w:val="00830C88"/>
    <w:rsid w:val="00861B11"/>
    <w:rsid w:val="008829C2"/>
    <w:rsid w:val="008A54BE"/>
    <w:rsid w:val="008C7B0A"/>
    <w:rsid w:val="008D0642"/>
    <w:rsid w:val="008E23F4"/>
    <w:rsid w:val="008E43C2"/>
    <w:rsid w:val="008E745B"/>
    <w:rsid w:val="008F4EA7"/>
    <w:rsid w:val="008F5A10"/>
    <w:rsid w:val="00905ED0"/>
    <w:rsid w:val="0093405B"/>
    <w:rsid w:val="0094782D"/>
    <w:rsid w:val="00966189"/>
    <w:rsid w:val="00974434"/>
    <w:rsid w:val="00975B2D"/>
    <w:rsid w:val="00977514"/>
    <w:rsid w:val="00980B62"/>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D58CF"/>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36155"/>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4F6A"/>
    <w:rsid w:val="00EF3EF4"/>
    <w:rsid w:val="00F012E4"/>
    <w:rsid w:val="00F0631B"/>
    <w:rsid w:val="00F248D2"/>
    <w:rsid w:val="00F27F00"/>
    <w:rsid w:val="00F33570"/>
    <w:rsid w:val="00F4033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EEA8"/>
  <w15:chartTrackingRefBased/>
  <w15:docId w15:val="{1549680E-CCD9-E74E-BE49-D7C4BE62E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980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0B6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80B6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0B6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0B6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0B6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0B6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0B6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B62"/>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980B62"/>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980B62"/>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980B62"/>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980B62"/>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980B62"/>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980B62"/>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980B62"/>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980B62"/>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980B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B62"/>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980B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B62"/>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980B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0B62"/>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980B62"/>
    <w:pPr>
      <w:ind w:left="720"/>
      <w:contextualSpacing/>
    </w:pPr>
  </w:style>
  <w:style w:type="character" w:styleId="IntenseEmphasis">
    <w:name w:val="Intense Emphasis"/>
    <w:basedOn w:val="DefaultParagraphFont"/>
    <w:uiPriority w:val="21"/>
    <w:qFormat/>
    <w:rsid w:val="00980B62"/>
    <w:rPr>
      <w:i/>
      <w:iCs/>
      <w:color w:val="2F5496" w:themeColor="accent1" w:themeShade="BF"/>
    </w:rPr>
  </w:style>
  <w:style w:type="paragraph" w:styleId="IntenseQuote">
    <w:name w:val="Intense Quote"/>
    <w:basedOn w:val="Normal"/>
    <w:next w:val="Normal"/>
    <w:link w:val="IntenseQuoteChar"/>
    <w:uiPriority w:val="30"/>
    <w:qFormat/>
    <w:rsid w:val="00980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B62"/>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980B62"/>
    <w:rPr>
      <w:b/>
      <w:bCs/>
      <w:smallCaps/>
      <w:color w:val="2F5496" w:themeColor="accent1" w:themeShade="BF"/>
      <w:spacing w:val="5"/>
    </w:rPr>
  </w:style>
  <w:style w:type="character" w:styleId="Strong">
    <w:name w:val="Strong"/>
    <w:basedOn w:val="DefaultParagraphFont"/>
    <w:uiPriority w:val="22"/>
    <w:qFormat/>
    <w:rsid w:val="004602FF"/>
    <w:rPr>
      <w:b/>
      <w:bCs/>
    </w:rPr>
  </w:style>
  <w:style w:type="paragraph" w:styleId="NormalWeb">
    <w:name w:val="Normal (Web)"/>
    <w:basedOn w:val="Normal"/>
    <w:uiPriority w:val="99"/>
    <w:semiHidden/>
    <w:unhideWhenUsed/>
    <w:rsid w:val="004602FF"/>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538913">
      <w:bodyDiv w:val="1"/>
      <w:marLeft w:val="0"/>
      <w:marRight w:val="0"/>
      <w:marTop w:val="0"/>
      <w:marBottom w:val="0"/>
      <w:divBdr>
        <w:top w:val="none" w:sz="0" w:space="0" w:color="auto"/>
        <w:left w:val="none" w:sz="0" w:space="0" w:color="auto"/>
        <w:bottom w:val="none" w:sz="0" w:space="0" w:color="auto"/>
        <w:right w:val="none" w:sz="0" w:space="0" w:color="auto"/>
      </w:divBdr>
      <w:divsChild>
        <w:div w:id="1640108041">
          <w:blockQuote w:val="1"/>
          <w:marLeft w:val="720"/>
          <w:marRight w:val="720"/>
          <w:marTop w:val="100"/>
          <w:marBottom w:val="100"/>
          <w:divBdr>
            <w:top w:val="none" w:sz="0" w:space="0" w:color="auto"/>
            <w:left w:val="none" w:sz="0" w:space="0" w:color="auto"/>
            <w:bottom w:val="none" w:sz="0" w:space="0" w:color="auto"/>
            <w:right w:val="none" w:sz="0" w:space="0" w:color="auto"/>
          </w:divBdr>
        </w:div>
        <w:div w:id="965545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634494">
      <w:bodyDiv w:val="1"/>
      <w:marLeft w:val="0"/>
      <w:marRight w:val="0"/>
      <w:marTop w:val="0"/>
      <w:marBottom w:val="0"/>
      <w:divBdr>
        <w:top w:val="none" w:sz="0" w:space="0" w:color="auto"/>
        <w:left w:val="none" w:sz="0" w:space="0" w:color="auto"/>
        <w:bottom w:val="none" w:sz="0" w:space="0" w:color="auto"/>
        <w:right w:val="none" w:sz="0" w:space="0" w:color="auto"/>
      </w:divBdr>
      <w:divsChild>
        <w:div w:id="1900094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818700">
      <w:bodyDiv w:val="1"/>
      <w:marLeft w:val="0"/>
      <w:marRight w:val="0"/>
      <w:marTop w:val="0"/>
      <w:marBottom w:val="0"/>
      <w:divBdr>
        <w:top w:val="none" w:sz="0" w:space="0" w:color="auto"/>
        <w:left w:val="none" w:sz="0" w:space="0" w:color="auto"/>
        <w:bottom w:val="none" w:sz="0" w:space="0" w:color="auto"/>
        <w:right w:val="none" w:sz="0" w:space="0" w:color="auto"/>
      </w:divBdr>
      <w:divsChild>
        <w:div w:id="1428385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91703">
          <w:blockQuote w:val="1"/>
          <w:marLeft w:val="720"/>
          <w:marRight w:val="720"/>
          <w:marTop w:val="100"/>
          <w:marBottom w:val="100"/>
          <w:divBdr>
            <w:top w:val="none" w:sz="0" w:space="0" w:color="auto"/>
            <w:left w:val="none" w:sz="0" w:space="0" w:color="auto"/>
            <w:bottom w:val="none" w:sz="0" w:space="0" w:color="auto"/>
            <w:right w:val="none" w:sz="0" w:space="0" w:color="auto"/>
          </w:divBdr>
        </w:div>
        <w:div w:id="87381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976793">
          <w:blockQuote w:val="1"/>
          <w:marLeft w:val="720"/>
          <w:marRight w:val="720"/>
          <w:marTop w:val="100"/>
          <w:marBottom w:val="100"/>
          <w:divBdr>
            <w:top w:val="none" w:sz="0" w:space="0" w:color="auto"/>
            <w:left w:val="none" w:sz="0" w:space="0" w:color="auto"/>
            <w:bottom w:val="none" w:sz="0" w:space="0" w:color="auto"/>
            <w:right w:val="none" w:sz="0" w:space="0" w:color="auto"/>
          </w:divBdr>
        </w:div>
        <w:div w:id="318274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787232">
      <w:bodyDiv w:val="1"/>
      <w:marLeft w:val="0"/>
      <w:marRight w:val="0"/>
      <w:marTop w:val="0"/>
      <w:marBottom w:val="0"/>
      <w:divBdr>
        <w:top w:val="none" w:sz="0" w:space="0" w:color="auto"/>
        <w:left w:val="none" w:sz="0" w:space="0" w:color="auto"/>
        <w:bottom w:val="none" w:sz="0" w:space="0" w:color="auto"/>
        <w:right w:val="none" w:sz="0" w:space="0" w:color="auto"/>
      </w:divBdr>
      <w:divsChild>
        <w:div w:id="1285849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3122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796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3382</Words>
  <Characters>19280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2025-01-25T15:49:00Z</dcterms:created>
  <dcterms:modified xsi:type="dcterms:W3CDTF">2025-01-25T16:47:00Z</dcterms:modified>
</cp:coreProperties>
</file>