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543010" w14:textId="77777777" w:rsidR="005010D4" w:rsidRPr="005010D4" w:rsidRDefault="005010D4" w:rsidP="005010D4">
      <w:pPr>
        <w:spacing w:before="100" w:beforeAutospacing="1" w:after="100" w:afterAutospacing="1" w:line="360" w:lineRule="auto"/>
        <w:outlineLvl w:val="3"/>
        <w:rPr>
          <w:rFonts w:ascii="Times New Roman" w:hAnsi="Times New Roman"/>
          <w:b/>
          <w:bCs/>
          <w:color w:val="2F5496" w:themeColor="accent1" w:themeShade="BF"/>
          <w:lang w:val="en-HK"/>
        </w:rPr>
      </w:pPr>
      <w:r w:rsidRPr="005010D4">
        <w:rPr>
          <w:rFonts w:ascii="Times New Roman" w:hAnsi="Times New Roman"/>
          <w:b/>
          <w:bCs/>
          <w:color w:val="2F5496" w:themeColor="accent1" w:themeShade="BF"/>
          <w:lang w:val="en-HK"/>
        </w:rPr>
        <w:t>1. Introduction</w:t>
      </w:r>
    </w:p>
    <w:p w14:paraId="21C4D425" w14:textId="77777777" w:rsidR="005010D4" w:rsidRPr="005010D4" w:rsidRDefault="005010D4" w:rsidP="005010D4">
      <w:pPr>
        <w:spacing w:before="100" w:beforeAutospacing="1" w:after="100" w:afterAutospacing="1" w:line="360" w:lineRule="auto"/>
        <w:rPr>
          <w:rFonts w:ascii="Times New Roman" w:hAnsi="Times New Roman"/>
          <w:lang w:val="en-HK"/>
        </w:rPr>
      </w:pPr>
      <w:r w:rsidRPr="005010D4">
        <w:rPr>
          <w:rFonts w:ascii="Times New Roman" w:hAnsi="Times New Roman"/>
          <w:lang w:val="en-HK"/>
        </w:rPr>
        <w:t xml:space="preserve">Ian Brown's article examines the implications of the </w:t>
      </w:r>
      <w:proofErr w:type="spellStart"/>
      <w:r w:rsidRPr="005010D4">
        <w:rPr>
          <w:rFonts w:ascii="Times New Roman" w:hAnsi="Times New Roman"/>
          <w:lang w:val="en-HK"/>
        </w:rPr>
        <w:t>Harlingdon</w:t>
      </w:r>
      <w:proofErr w:type="spellEnd"/>
      <w:r w:rsidRPr="005010D4">
        <w:rPr>
          <w:rFonts w:ascii="Times New Roman" w:hAnsi="Times New Roman"/>
          <w:lang w:val="en-HK"/>
        </w:rPr>
        <w:t xml:space="preserve"> and Leinster Enterprises Ltd v Christopher Hull Fine Art Ltd [1991] 1 QB 564 case, focusing on the relationship between implied terms under the Sale of Goods Act 1979 (SGA 1979), particularly sections 13 and 14(2). The case concerns the sale of a forged painting, which was purportedly an authentic work by Gabriele </w:t>
      </w:r>
      <w:proofErr w:type="spellStart"/>
      <w:r w:rsidRPr="005010D4">
        <w:rPr>
          <w:rFonts w:ascii="Times New Roman" w:hAnsi="Times New Roman"/>
          <w:lang w:val="en-HK"/>
        </w:rPr>
        <w:t>Münter</w:t>
      </w:r>
      <w:proofErr w:type="spellEnd"/>
      <w:r w:rsidRPr="005010D4">
        <w:rPr>
          <w:rFonts w:ascii="Times New Roman" w:hAnsi="Times New Roman"/>
          <w:lang w:val="en-HK"/>
        </w:rPr>
        <w:t>. The judgment raises fundamental questions regarding the scope and applicability of statutory terms in art transactions.</w:t>
      </w:r>
    </w:p>
    <w:p w14:paraId="170B4C5C" w14:textId="77777777" w:rsidR="005010D4" w:rsidRPr="005010D4" w:rsidRDefault="005010D4" w:rsidP="005010D4">
      <w:pPr>
        <w:spacing w:before="100" w:beforeAutospacing="1" w:after="100" w:afterAutospacing="1" w:line="360" w:lineRule="auto"/>
        <w:outlineLvl w:val="3"/>
        <w:rPr>
          <w:rFonts w:ascii="Times New Roman" w:hAnsi="Times New Roman"/>
          <w:b/>
          <w:bCs/>
          <w:color w:val="2F5496" w:themeColor="accent1" w:themeShade="BF"/>
          <w:lang w:val="en-HK"/>
        </w:rPr>
      </w:pPr>
      <w:r w:rsidRPr="005010D4">
        <w:rPr>
          <w:rFonts w:ascii="Times New Roman" w:hAnsi="Times New Roman"/>
          <w:b/>
          <w:bCs/>
          <w:color w:val="2F5496" w:themeColor="accent1" w:themeShade="BF"/>
          <w:lang w:val="en-HK"/>
        </w:rPr>
        <w:t>2. Case Background and Facts</w:t>
      </w:r>
    </w:p>
    <w:p w14:paraId="277D32C0" w14:textId="77777777" w:rsidR="005010D4" w:rsidRPr="005010D4" w:rsidRDefault="005010D4" w:rsidP="005010D4">
      <w:pPr>
        <w:spacing w:before="100" w:beforeAutospacing="1" w:after="100" w:afterAutospacing="1" w:line="360" w:lineRule="auto"/>
        <w:rPr>
          <w:rFonts w:ascii="Times New Roman" w:hAnsi="Times New Roman"/>
          <w:b/>
          <w:bCs/>
          <w:color w:val="FF0000"/>
          <w:lang w:val="en-HK"/>
        </w:rPr>
      </w:pPr>
      <w:r w:rsidRPr="005010D4">
        <w:rPr>
          <w:rFonts w:ascii="Times New Roman" w:hAnsi="Times New Roman"/>
          <w:lang w:val="en-HK"/>
        </w:rPr>
        <w:t xml:space="preserve">The dispute arose when an art dealer (defendant) offered a painting for sale to another dealer (plaintiff), describing it as a work of Gabriele </w:t>
      </w:r>
      <w:proofErr w:type="spellStart"/>
      <w:r w:rsidRPr="005010D4">
        <w:rPr>
          <w:rFonts w:ascii="Times New Roman" w:hAnsi="Times New Roman"/>
          <w:lang w:val="en-HK"/>
        </w:rPr>
        <w:t>Münter</w:t>
      </w:r>
      <w:proofErr w:type="spellEnd"/>
      <w:r w:rsidRPr="005010D4">
        <w:rPr>
          <w:rFonts w:ascii="Times New Roman" w:hAnsi="Times New Roman"/>
          <w:lang w:val="en-HK"/>
        </w:rPr>
        <w:t xml:space="preserve">. The plaintiff's employee viewed the painting and </w:t>
      </w:r>
      <w:r w:rsidRPr="005010D4">
        <w:rPr>
          <w:rFonts w:ascii="Times New Roman" w:hAnsi="Times New Roman"/>
          <w:b/>
          <w:bCs/>
          <w:lang w:val="en-HK"/>
        </w:rPr>
        <w:t xml:space="preserve">was shown an auction catalogue mentioning </w:t>
      </w:r>
      <w:proofErr w:type="spellStart"/>
      <w:r w:rsidRPr="005010D4">
        <w:rPr>
          <w:rFonts w:ascii="Times New Roman" w:hAnsi="Times New Roman"/>
          <w:b/>
          <w:bCs/>
          <w:lang w:val="en-HK"/>
        </w:rPr>
        <w:t>Münter’s</w:t>
      </w:r>
      <w:proofErr w:type="spellEnd"/>
      <w:r w:rsidRPr="005010D4">
        <w:rPr>
          <w:rFonts w:ascii="Times New Roman" w:hAnsi="Times New Roman"/>
          <w:b/>
          <w:bCs/>
          <w:lang w:val="en-HK"/>
        </w:rPr>
        <w:t xml:space="preserve"> monogram</w:t>
      </w:r>
      <w:r w:rsidRPr="005010D4">
        <w:rPr>
          <w:rFonts w:ascii="Times New Roman" w:hAnsi="Times New Roman"/>
          <w:lang w:val="en-HK"/>
        </w:rPr>
        <w:t xml:space="preserve">. However, the </w:t>
      </w:r>
      <w:r w:rsidRPr="005010D4">
        <w:rPr>
          <w:rFonts w:ascii="Times New Roman" w:hAnsi="Times New Roman"/>
          <w:b/>
          <w:bCs/>
          <w:lang w:val="en-HK"/>
        </w:rPr>
        <w:t>defendant explicitly disclaimed expertise on the artist</w:t>
      </w:r>
      <w:r w:rsidRPr="005010D4">
        <w:rPr>
          <w:rFonts w:ascii="Times New Roman" w:hAnsi="Times New Roman"/>
          <w:lang w:val="en-HK"/>
        </w:rPr>
        <w:t xml:space="preserve">. The plaintiff bought the painting for £6,000, </w:t>
      </w:r>
      <w:r w:rsidRPr="005010D4">
        <w:rPr>
          <w:rFonts w:ascii="Times New Roman" w:hAnsi="Times New Roman"/>
          <w:b/>
          <w:bCs/>
          <w:lang w:val="en-HK"/>
        </w:rPr>
        <w:t>later discovering it was a forgery</w:t>
      </w:r>
      <w:r w:rsidRPr="005010D4">
        <w:rPr>
          <w:rFonts w:ascii="Times New Roman" w:hAnsi="Times New Roman"/>
          <w:lang w:val="en-HK"/>
        </w:rPr>
        <w:t xml:space="preserve">. The trial judge ruled in favour of the defendant, a decision upheld by the Court of Appeal (except for Stuart-Smith LJ's dissent), </w:t>
      </w:r>
      <w:r w:rsidRPr="005010D4">
        <w:rPr>
          <w:rFonts w:ascii="Times New Roman" w:hAnsi="Times New Roman"/>
          <w:b/>
          <w:bCs/>
          <w:color w:val="FF0000"/>
          <w:lang w:val="en-HK"/>
        </w:rPr>
        <w:t>rejecting claims under sections 13 and 14(2) SGA 1979.</w:t>
      </w:r>
    </w:p>
    <w:p w14:paraId="0910B49D" w14:textId="77777777" w:rsidR="005010D4" w:rsidRPr="005010D4" w:rsidRDefault="005010D4" w:rsidP="005010D4">
      <w:pPr>
        <w:spacing w:before="100" w:beforeAutospacing="1" w:after="100" w:afterAutospacing="1" w:line="360" w:lineRule="auto"/>
        <w:outlineLvl w:val="3"/>
        <w:rPr>
          <w:rFonts w:ascii="Times New Roman" w:hAnsi="Times New Roman"/>
          <w:b/>
          <w:bCs/>
          <w:color w:val="2F5496" w:themeColor="accent1" w:themeShade="BF"/>
          <w:lang w:val="en-HK"/>
        </w:rPr>
      </w:pPr>
      <w:r w:rsidRPr="005010D4">
        <w:rPr>
          <w:rFonts w:ascii="Times New Roman" w:hAnsi="Times New Roman"/>
          <w:b/>
          <w:bCs/>
          <w:color w:val="2F5496" w:themeColor="accent1" w:themeShade="BF"/>
          <w:lang w:val="en-HK"/>
        </w:rPr>
        <w:t>3. Section 13 SGA 1979: Description of Goods</w:t>
      </w:r>
    </w:p>
    <w:p w14:paraId="60ED9BBD" w14:textId="77777777" w:rsidR="005010D4" w:rsidRPr="005010D4" w:rsidRDefault="005010D4" w:rsidP="005010D4">
      <w:pPr>
        <w:spacing w:before="100" w:beforeAutospacing="1" w:after="100" w:afterAutospacing="1" w:line="360" w:lineRule="auto"/>
        <w:rPr>
          <w:rFonts w:ascii="Times New Roman" w:hAnsi="Times New Roman"/>
          <w:lang w:val="en-HK"/>
        </w:rPr>
      </w:pPr>
      <w:r w:rsidRPr="005010D4">
        <w:rPr>
          <w:rFonts w:ascii="Times New Roman" w:hAnsi="Times New Roman"/>
          <w:lang w:val="en-HK"/>
        </w:rPr>
        <w:t xml:space="preserve">Brown critically analyses the interpretation of section 13, which requires that goods must correspond with their description. Traditionally, this section applied to unascertained goods, ensuring strict compliance with descriptions in commercial transactions. However, its application to specific goods has been debated. The court in </w:t>
      </w:r>
      <w:proofErr w:type="spellStart"/>
      <w:r w:rsidRPr="005010D4">
        <w:rPr>
          <w:rFonts w:ascii="Times New Roman" w:hAnsi="Times New Roman"/>
          <w:lang w:val="en-HK"/>
        </w:rPr>
        <w:t>Harlingdon</w:t>
      </w:r>
      <w:proofErr w:type="spellEnd"/>
      <w:r w:rsidRPr="005010D4">
        <w:rPr>
          <w:rFonts w:ascii="Times New Roman" w:hAnsi="Times New Roman"/>
          <w:lang w:val="en-HK"/>
        </w:rPr>
        <w:t xml:space="preserve"> ruled that the sale was not “by description” because the buyer did not rely on the seller’s assertion about the painting’s authenticity.</w:t>
      </w:r>
    </w:p>
    <w:p w14:paraId="167C7E0D" w14:textId="77777777" w:rsidR="005010D4" w:rsidRPr="005010D4" w:rsidRDefault="005010D4" w:rsidP="005010D4">
      <w:pPr>
        <w:numPr>
          <w:ilvl w:val="0"/>
          <w:numId w:val="1"/>
        </w:numPr>
        <w:spacing w:before="100" w:beforeAutospacing="1" w:after="100" w:afterAutospacing="1" w:line="360" w:lineRule="auto"/>
        <w:rPr>
          <w:rFonts w:ascii="Times New Roman" w:hAnsi="Times New Roman"/>
          <w:lang w:val="en-HK"/>
        </w:rPr>
      </w:pPr>
      <w:r w:rsidRPr="005010D4">
        <w:rPr>
          <w:rFonts w:ascii="Times New Roman" w:hAnsi="Times New Roman"/>
          <w:lang w:val="en-HK"/>
        </w:rPr>
        <w:t>Beale v Taylor [1967] 1 WLR 1193 expanded the definition of “description” to specific goods, treating descriptive statements as conditions.</w:t>
      </w:r>
    </w:p>
    <w:p w14:paraId="40FC6AC6" w14:textId="77777777" w:rsidR="005010D4" w:rsidRPr="005010D4" w:rsidRDefault="005010D4" w:rsidP="005010D4">
      <w:pPr>
        <w:numPr>
          <w:ilvl w:val="0"/>
          <w:numId w:val="1"/>
        </w:numPr>
        <w:spacing w:before="100" w:beforeAutospacing="1" w:after="100" w:afterAutospacing="1" w:line="360" w:lineRule="auto"/>
        <w:rPr>
          <w:rFonts w:ascii="Times New Roman" w:hAnsi="Times New Roman"/>
          <w:lang w:val="en-HK"/>
        </w:rPr>
      </w:pPr>
      <w:r w:rsidRPr="005010D4">
        <w:rPr>
          <w:rFonts w:ascii="Times New Roman" w:hAnsi="Times New Roman"/>
          <w:lang w:val="en-HK"/>
        </w:rPr>
        <w:t xml:space="preserve">Ashington Piggeries Ltd v Christopher Hill Ltd [1972] AC 441 and Reardon Smith Line Ltd v </w:t>
      </w:r>
      <w:proofErr w:type="spellStart"/>
      <w:r w:rsidRPr="005010D4">
        <w:rPr>
          <w:rFonts w:ascii="Times New Roman" w:hAnsi="Times New Roman"/>
          <w:lang w:val="en-HK"/>
        </w:rPr>
        <w:t>Yngvar</w:t>
      </w:r>
      <w:proofErr w:type="spellEnd"/>
      <w:r w:rsidRPr="005010D4">
        <w:rPr>
          <w:rFonts w:ascii="Times New Roman" w:hAnsi="Times New Roman"/>
          <w:lang w:val="en-HK"/>
        </w:rPr>
        <w:t xml:space="preserve"> Hansen-</w:t>
      </w:r>
      <w:proofErr w:type="spellStart"/>
      <w:r w:rsidRPr="005010D4">
        <w:rPr>
          <w:rFonts w:ascii="Times New Roman" w:hAnsi="Times New Roman"/>
          <w:lang w:val="en-HK"/>
        </w:rPr>
        <w:t>Tangen</w:t>
      </w:r>
      <w:proofErr w:type="spellEnd"/>
      <w:r w:rsidRPr="005010D4">
        <w:rPr>
          <w:rFonts w:ascii="Times New Roman" w:hAnsi="Times New Roman"/>
          <w:lang w:val="en-HK"/>
        </w:rPr>
        <w:t xml:space="preserve"> [1976] 1 WLR 989 restricted section 13 to words that form a "substantial ingredient" of the goods' identity.</w:t>
      </w:r>
    </w:p>
    <w:p w14:paraId="2E9914A8" w14:textId="77777777" w:rsidR="005010D4" w:rsidRPr="005010D4" w:rsidRDefault="005010D4" w:rsidP="005010D4">
      <w:pPr>
        <w:spacing w:before="100" w:beforeAutospacing="1" w:after="100" w:afterAutospacing="1" w:line="360" w:lineRule="auto"/>
        <w:rPr>
          <w:rFonts w:ascii="Times New Roman" w:hAnsi="Times New Roman"/>
          <w:lang w:val="en-HK"/>
        </w:rPr>
      </w:pPr>
      <w:r w:rsidRPr="005010D4">
        <w:rPr>
          <w:rFonts w:ascii="Times New Roman" w:hAnsi="Times New Roman"/>
          <w:lang w:val="en-HK"/>
        </w:rPr>
        <w:t xml:space="preserve">The judgment in </w:t>
      </w:r>
      <w:proofErr w:type="spellStart"/>
      <w:r w:rsidRPr="005010D4">
        <w:rPr>
          <w:rFonts w:ascii="Times New Roman" w:hAnsi="Times New Roman"/>
          <w:lang w:val="en-HK"/>
        </w:rPr>
        <w:t>Harlingdon</w:t>
      </w:r>
      <w:proofErr w:type="spellEnd"/>
      <w:r w:rsidRPr="005010D4">
        <w:rPr>
          <w:rFonts w:ascii="Times New Roman" w:hAnsi="Times New Roman"/>
          <w:lang w:val="en-HK"/>
        </w:rPr>
        <w:t xml:space="preserve"> further limited the scope of section 13, as </w:t>
      </w:r>
      <w:proofErr w:type="spellStart"/>
      <w:r w:rsidRPr="005010D4">
        <w:rPr>
          <w:rFonts w:ascii="Times New Roman" w:hAnsi="Times New Roman"/>
          <w:lang w:val="en-HK"/>
        </w:rPr>
        <w:t>Nourse</w:t>
      </w:r>
      <w:proofErr w:type="spellEnd"/>
      <w:r w:rsidRPr="005010D4">
        <w:rPr>
          <w:rFonts w:ascii="Times New Roman" w:hAnsi="Times New Roman"/>
          <w:lang w:val="en-HK"/>
        </w:rPr>
        <w:t xml:space="preserve"> LJ ruled that reliance by the buyer was necessary for the description to form part of the contract. Stuart-</w:t>
      </w:r>
      <w:r w:rsidRPr="005010D4">
        <w:rPr>
          <w:rFonts w:ascii="Times New Roman" w:hAnsi="Times New Roman"/>
          <w:lang w:val="en-HK"/>
        </w:rPr>
        <w:lastRenderedPageBreak/>
        <w:t>Smith LJ dissented, arguing that identity attribution (such as an artist’s name) is a substantial ingredient in an artwork’s sale.</w:t>
      </w:r>
    </w:p>
    <w:p w14:paraId="41BA4BFF" w14:textId="77777777" w:rsidR="005010D4" w:rsidRPr="005010D4" w:rsidRDefault="005010D4" w:rsidP="005010D4">
      <w:pPr>
        <w:spacing w:before="100" w:beforeAutospacing="1" w:after="100" w:afterAutospacing="1" w:line="360" w:lineRule="auto"/>
        <w:outlineLvl w:val="3"/>
        <w:rPr>
          <w:rFonts w:ascii="Times New Roman" w:hAnsi="Times New Roman"/>
          <w:b/>
          <w:bCs/>
          <w:color w:val="2F5496" w:themeColor="accent1" w:themeShade="BF"/>
          <w:lang w:val="en-HK"/>
        </w:rPr>
      </w:pPr>
      <w:r w:rsidRPr="005010D4">
        <w:rPr>
          <w:rFonts w:ascii="Times New Roman" w:hAnsi="Times New Roman"/>
          <w:b/>
          <w:bCs/>
          <w:color w:val="2F5496" w:themeColor="accent1" w:themeShade="BF"/>
          <w:lang w:val="en-HK"/>
        </w:rPr>
        <w:t>4. Section 14(2) SGA 1979: Merchantable Quality</w:t>
      </w:r>
    </w:p>
    <w:p w14:paraId="23023CBF" w14:textId="77777777" w:rsidR="005010D4" w:rsidRPr="005010D4" w:rsidRDefault="005010D4" w:rsidP="005010D4">
      <w:pPr>
        <w:spacing w:before="100" w:beforeAutospacing="1" w:after="100" w:afterAutospacing="1" w:line="360" w:lineRule="auto"/>
        <w:rPr>
          <w:rFonts w:ascii="Times New Roman" w:hAnsi="Times New Roman"/>
          <w:lang w:val="en-HK"/>
        </w:rPr>
      </w:pPr>
      <w:r w:rsidRPr="005010D4">
        <w:rPr>
          <w:rFonts w:ascii="Times New Roman" w:hAnsi="Times New Roman"/>
          <w:lang w:val="en-HK"/>
        </w:rPr>
        <w:t xml:space="preserve">The next issue concerns whether the painting was of satisfactory quality under section 14(2), which applies only when goods are sold in the course of a business. </w:t>
      </w:r>
      <w:proofErr w:type="spellStart"/>
      <w:r w:rsidRPr="005010D4">
        <w:rPr>
          <w:rFonts w:ascii="Times New Roman" w:hAnsi="Times New Roman"/>
          <w:lang w:val="en-HK"/>
        </w:rPr>
        <w:t>Nourse</w:t>
      </w:r>
      <w:proofErr w:type="spellEnd"/>
      <w:r w:rsidRPr="005010D4">
        <w:rPr>
          <w:rFonts w:ascii="Times New Roman" w:hAnsi="Times New Roman"/>
          <w:lang w:val="en-HK"/>
        </w:rPr>
        <w:t xml:space="preserve"> LJ acknowledged that the forgery constituted a defect, but he rejected the claim that it made the painting unmerchantable:</w:t>
      </w:r>
    </w:p>
    <w:p w14:paraId="27E12D53" w14:textId="77777777" w:rsidR="005010D4" w:rsidRPr="005010D4" w:rsidRDefault="005010D4" w:rsidP="005010D4">
      <w:pPr>
        <w:numPr>
          <w:ilvl w:val="0"/>
          <w:numId w:val="2"/>
        </w:numPr>
        <w:spacing w:before="100" w:beforeAutospacing="1" w:after="100" w:afterAutospacing="1" w:line="360" w:lineRule="auto"/>
        <w:rPr>
          <w:rFonts w:ascii="Times New Roman" w:hAnsi="Times New Roman"/>
          <w:lang w:val="en-HK"/>
        </w:rPr>
      </w:pPr>
      <w:r w:rsidRPr="005010D4">
        <w:rPr>
          <w:rFonts w:ascii="Times New Roman" w:hAnsi="Times New Roman"/>
          <w:lang w:val="en-HK"/>
        </w:rPr>
        <w:t>He reasoned that aesthetic appreciation remained possible even for a forged painting.</w:t>
      </w:r>
    </w:p>
    <w:p w14:paraId="04949D00" w14:textId="77777777" w:rsidR="005010D4" w:rsidRPr="005010D4" w:rsidRDefault="005010D4" w:rsidP="005010D4">
      <w:pPr>
        <w:numPr>
          <w:ilvl w:val="0"/>
          <w:numId w:val="2"/>
        </w:numPr>
        <w:spacing w:before="100" w:beforeAutospacing="1" w:after="100" w:afterAutospacing="1" w:line="360" w:lineRule="auto"/>
        <w:rPr>
          <w:rFonts w:ascii="Times New Roman" w:hAnsi="Times New Roman"/>
          <w:lang w:val="en-HK"/>
        </w:rPr>
      </w:pPr>
      <w:r w:rsidRPr="005010D4">
        <w:rPr>
          <w:rFonts w:ascii="Times New Roman" w:hAnsi="Times New Roman"/>
          <w:lang w:val="en-HK"/>
        </w:rPr>
        <w:t>Since the painting could still be sold (albeit at a reduced value of £50-£100), it was not unsaleable and thus did not breach section 14(2).</w:t>
      </w:r>
    </w:p>
    <w:p w14:paraId="5457C64A" w14:textId="77777777" w:rsidR="005010D4" w:rsidRPr="005010D4" w:rsidRDefault="005010D4" w:rsidP="005010D4">
      <w:pPr>
        <w:spacing w:before="100" w:beforeAutospacing="1" w:after="100" w:afterAutospacing="1" w:line="360" w:lineRule="auto"/>
        <w:rPr>
          <w:rFonts w:ascii="Times New Roman" w:hAnsi="Times New Roman"/>
          <w:lang w:val="en-HK"/>
        </w:rPr>
      </w:pPr>
      <w:r w:rsidRPr="005010D4">
        <w:rPr>
          <w:rFonts w:ascii="Times New Roman" w:hAnsi="Times New Roman"/>
          <w:lang w:val="en-HK"/>
        </w:rPr>
        <w:t>Brown challenges this view, comparing it to Rogers v Parish (Scarborough) Ltd [1987] QB 933, where the court recognised a broad interpretation of quality, beyond mere functionality. He argues that an art buyer expects authenticity, making a forgery inherently defective, just as a faulty car remains defective even if it can still be driven.</w:t>
      </w:r>
    </w:p>
    <w:p w14:paraId="050A2D60" w14:textId="3197FBEF" w:rsidR="005010D4" w:rsidRPr="005010D4" w:rsidRDefault="005010D4" w:rsidP="005010D4">
      <w:pPr>
        <w:pStyle w:val="Heading3"/>
        <w:spacing w:line="360" w:lineRule="auto"/>
        <w:rPr>
          <w:rFonts w:ascii="Times New Roman" w:eastAsia="Times New Roman" w:hAnsi="Times New Roman" w:cs="Times New Roman"/>
          <w:b/>
          <w:bCs/>
          <w:sz w:val="24"/>
          <w:szCs w:val="24"/>
          <w:lang w:val="en-HK"/>
        </w:rPr>
      </w:pPr>
      <w:r w:rsidRPr="005010D4">
        <w:rPr>
          <w:rFonts w:ascii="Times New Roman" w:eastAsia="Times New Roman" w:hAnsi="Times New Roman" w:cs="Times New Roman"/>
          <w:b/>
          <w:bCs/>
          <w:sz w:val="24"/>
          <w:szCs w:val="24"/>
          <w:lang w:val="en-HK"/>
        </w:rPr>
        <w:t>5</w:t>
      </w:r>
      <w:r w:rsidRPr="005010D4">
        <w:rPr>
          <w:rFonts w:ascii="Times New Roman" w:eastAsia="Times New Roman" w:hAnsi="Times New Roman" w:cs="Times New Roman"/>
          <w:b/>
          <w:bCs/>
          <w:sz w:val="24"/>
          <w:szCs w:val="24"/>
          <w:lang w:val="en-HK"/>
        </w:rPr>
        <w:t>.</w:t>
      </w:r>
      <w:r w:rsidRPr="005010D4">
        <w:rPr>
          <w:rFonts w:ascii="Times New Roman" w:eastAsia="Times New Roman" w:hAnsi="Times New Roman" w:cs="Times New Roman"/>
          <w:b/>
          <w:bCs/>
          <w:sz w:val="24"/>
          <w:szCs w:val="24"/>
          <w:lang w:val="en-HK"/>
        </w:rPr>
        <w:t xml:space="preserve"> The Identity vs Attributes Debate</w:t>
      </w:r>
    </w:p>
    <w:p w14:paraId="727B80E2" w14:textId="77777777" w:rsidR="005010D4" w:rsidRPr="005010D4" w:rsidRDefault="005010D4" w:rsidP="005010D4">
      <w:pPr>
        <w:spacing w:before="100" w:beforeAutospacing="1" w:after="100" w:afterAutospacing="1" w:line="360" w:lineRule="auto"/>
        <w:rPr>
          <w:rFonts w:ascii="Times New Roman" w:hAnsi="Times New Roman"/>
          <w:lang w:val="en-HK"/>
        </w:rPr>
      </w:pPr>
      <w:r w:rsidRPr="005010D4">
        <w:rPr>
          <w:rFonts w:ascii="Times New Roman" w:hAnsi="Times New Roman"/>
          <w:lang w:val="en-HK"/>
        </w:rPr>
        <w:t xml:space="preserve">The discussion in section 5 of Ian Brown’s Forgery, Fine Art, and the Sale of Goods focuses on a fundamental issue in the application of section 13 of the Sale of Goods Act 1979 (SGA 1979): the distinction between the identity of a product and its attributes or qualities. This issue is crucial in cases involving forged artwork, where the purported identity of an item—such as its attribution to a particular artist—is central to its value. The analysis of </w:t>
      </w:r>
      <w:proofErr w:type="spellStart"/>
      <w:r w:rsidRPr="005010D4">
        <w:rPr>
          <w:rFonts w:ascii="Times New Roman" w:hAnsi="Times New Roman"/>
          <w:lang w:val="en-HK"/>
        </w:rPr>
        <w:t>Harlingdon</w:t>
      </w:r>
      <w:proofErr w:type="spellEnd"/>
      <w:r w:rsidRPr="005010D4">
        <w:rPr>
          <w:rFonts w:ascii="Times New Roman" w:hAnsi="Times New Roman"/>
          <w:lang w:val="en-HK"/>
        </w:rPr>
        <w:t xml:space="preserve"> &amp; Leinster Enterprises Ltd v Christopher Hull Fine Art Ltd [1991] 1 QB 564 reveals how judicial interpretation of section 13 has shifted towards a narrower scope, raising concerns about the implications for buyers in commercial transactions involving unique goods like art.</w:t>
      </w:r>
    </w:p>
    <w:p w14:paraId="070C431C" w14:textId="77777777" w:rsidR="005010D4" w:rsidRPr="005010D4" w:rsidRDefault="005010D4" w:rsidP="005010D4">
      <w:pPr>
        <w:spacing w:before="100" w:beforeAutospacing="1" w:after="100" w:afterAutospacing="1" w:line="360" w:lineRule="auto"/>
        <w:outlineLvl w:val="3"/>
        <w:rPr>
          <w:rFonts w:ascii="Times New Roman" w:hAnsi="Times New Roman"/>
          <w:b/>
          <w:bCs/>
          <w:lang w:val="en-HK"/>
        </w:rPr>
      </w:pPr>
      <w:r w:rsidRPr="005010D4">
        <w:rPr>
          <w:rFonts w:ascii="Times New Roman" w:hAnsi="Times New Roman"/>
          <w:b/>
          <w:bCs/>
          <w:lang w:val="en-HK"/>
        </w:rPr>
        <w:t xml:space="preserve">1. The Restriction of Section 13 in </w:t>
      </w:r>
      <w:proofErr w:type="spellStart"/>
      <w:r w:rsidRPr="005010D4">
        <w:rPr>
          <w:rFonts w:ascii="Times New Roman" w:hAnsi="Times New Roman"/>
          <w:b/>
          <w:bCs/>
          <w:lang w:val="en-HK"/>
        </w:rPr>
        <w:t>Harlingdon</w:t>
      </w:r>
      <w:proofErr w:type="spellEnd"/>
      <w:r w:rsidRPr="005010D4">
        <w:rPr>
          <w:rFonts w:ascii="Times New Roman" w:hAnsi="Times New Roman"/>
          <w:b/>
          <w:bCs/>
          <w:lang w:val="en-HK"/>
        </w:rPr>
        <w:t>: A Shift in Interpretation</w:t>
      </w:r>
    </w:p>
    <w:p w14:paraId="7C7736F3" w14:textId="77777777" w:rsidR="005010D4" w:rsidRPr="005010D4" w:rsidRDefault="005010D4" w:rsidP="005010D4">
      <w:pPr>
        <w:spacing w:before="100" w:beforeAutospacing="1" w:after="100" w:afterAutospacing="1" w:line="360" w:lineRule="auto"/>
        <w:rPr>
          <w:rFonts w:ascii="Times New Roman" w:hAnsi="Times New Roman"/>
          <w:lang w:val="en-HK"/>
        </w:rPr>
      </w:pPr>
      <w:r w:rsidRPr="005010D4">
        <w:rPr>
          <w:rFonts w:ascii="Times New Roman" w:hAnsi="Times New Roman"/>
          <w:lang w:val="en-HK"/>
        </w:rPr>
        <w:t xml:space="preserve">In </w:t>
      </w:r>
      <w:proofErr w:type="spellStart"/>
      <w:r w:rsidRPr="005010D4">
        <w:rPr>
          <w:rFonts w:ascii="Times New Roman" w:hAnsi="Times New Roman"/>
          <w:lang w:val="en-HK"/>
        </w:rPr>
        <w:t>Harlingdon</w:t>
      </w:r>
      <w:proofErr w:type="spellEnd"/>
      <w:r w:rsidRPr="005010D4">
        <w:rPr>
          <w:rFonts w:ascii="Times New Roman" w:hAnsi="Times New Roman"/>
          <w:lang w:val="en-HK"/>
        </w:rPr>
        <w:t xml:space="preserve">, the Court of Appeal, particularly </w:t>
      </w:r>
      <w:proofErr w:type="spellStart"/>
      <w:r w:rsidRPr="005010D4">
        <w:rPr>
          <w:rFonts w:ascii="Times New Roman" w:hAnsi="Times New Roman"/>
          <w:lang w:val="en-HK"/>
        </w:rPr>
        <w:t>Nourse</w:t>
      </w:r>
      <w:proofErr w:type="spellEnd"/>
      <w:r w:rsidRPr="005010D4">
        <w:rPr>
          <w:rFonts w:ascii="Times New Roman" w:hAnsi="Times New Roman"/>
          <w:lang w:val="en-HK"/>
        </w:rPr>
        <w:t xml:space="preserve"> LJ, adopted a restrictive approach to section 13 SGA 1979, ruling that the sale was not “by description” because the buyer did not rely on the seller’s description of the painting. The key issue in this case was whether the </w:t>
      </w:r>
      <w:r w:rsidRPr="005010D4">
        <w:rPr>
          <w:rFonts w:ascii="Times New Roman" w:hAnsi="Times New Roman"/>
          <w:lang w:val="en-HK"/>
        </w:rPr>
        <w:lastRenderedPageBreak/>
        <w:t xml:space="preserve">attribution of a painting to Gabriele </w:t>
      </w:r>
      <w:proofErr w:type="spellStart"/>
      <w:r w:rsidRPr="005010D4">
        <w:rPr>
          <w:rFonts w:ascii="Times New Roman" w:hAnsi="Times New Roman"/>
          <w:lang w:val="en-HK"/>
        </w:rPr>
        <w:t>Münter</w:t>
      </w:r>
      <w:proofErr w:type="spellEnd"/>
      <w:r w:rsidRPr="005010D4">
        <w:rPr>
          <w:rFonts w:ascii="Times New Roman" w:hAnsi="Times New Roman"/>
          <w:lang w:val="en-HK"/>
        </w:rPr>
        <w:t xml:space="preserve"> constituted a description under section 13, which states:</w:t>
      </w:r>
    </w:p>
    <w:p w14:paraId="048407CF" w14:textId="77777777" w:rsidR="005010D4" w:rsidRPr="005010D4" w:rsidRDefault="005010D4" w:rsidP="005010D4">
      <w:pPr>
        <w:spacing w:beforeAutospacing="1" w:afterAutospacing="1" w:line="360" w:lineRule="auto"/>
        <w:rPr>
          <w:rFonts w:ascii="Times New Roman" w:hAnsi="Times New Roman"/>
          <w:lang w:val="en-HK"/>
        </w:rPr>
      </w:pPr>
      <w:r w:rsidRPr="005010D4">
        <w:rPr>
          <w:rFonts w:ascii="Times New Roman" w:hAnsi="Times New Roman"/>
          <w:lang w:val="en-HK"/>
        </w:rPr>
        <w:t>“Where there is a contract for the sale of goods by description, there is an implied condition that the goods will correspond with the description.”</w:t>
      </w:r>
    </w:p>
    <w:p w14:paraId="582C4985" w14:textId="77777777" w:rsidR="005010D4" w:rsidRPr="005010D4" w:rsidRDefault="005010D4" w:rsidP="005010D4">
      <w:pPr>
        <w:spacing w:before="100" w:beforeAutospacing="1" w:after="100" w:afterAutospacing="1" w:line="360" w:lineRule="auto"/>
        <w:rPr>
          <w:rFonts w:ascii="Times New Roman" w:hAnsi="Times New Roman"/>
          <w:lang w:val="en-HK"/>
        </w:rPr>
      </w:pPr>
      <w:r w:rsidRPr="005010D4">
        <w:rPr>
          <w:rFonts w:ascii="Times New Roman" w:hAnsi="Times New Roman"/>
          <w:lang w:val="en-HK"/>
        </w:rPr>
        <w:t xml:space="preserve">Historically, section 13 has been broadly applied to both specific and unascertained goods. Cases such as Beale v Taylor [1967] 1 WLR 1193 had previously suggested that any descriptive statement made by a seller could be treated as a contractual condition, thereby expanding the applicability of section 13. However, in </w:t>
      </w:r>
      <w:proofErr w:type="spellStart"/>
      <w:r w:rsidRPr="005010D4">
        <w:rPr>
          <w:rFonts w:ascii="Times New Roman" w:hAnsi="Times New Roman"/>
          <w:lang w:val="en-HK"/>
        </w:rPr>
        <w:t>Harlingdon</w:t>
      </w:r>
      <w:proofErr w:type="spellEnd"/>
      <w:r w:rsidRPr="005010D4">
        <w:rPr>
          <w:rFonts w:ascii="Times New Roman" w:hAnsi="Times New Roman"/>
          <w:lang w:val="en-HK"/>
        </w:rPr>
        <w:t>,</w:t>
      </w:r>
      <w:proofErr w:type="spellStart"/>
      <w:r w:rsidRPr="005010D4">
        <w:rPr>
          <w:rFonts w:ascii="Times New Roman" w:hAnsi="Times New Roman"/>
          <w:lang w:val="en-HK"/>
        </w:rPr>
        <w:t xml:space="preserve"> the Court</w:t>
      </w:r>
      <w:proofErr w:type="spellEnd"/>
      <w:r w:rsidRPr="005010D4">
        <w:rPr>
          <w:rFonts w:ascii="Times New Roman" w:hAnsi="Times New Roman"/>
          <w:lang w:val="en-HK"/>
        </w:rPr>
        <w:t xml:space="preserve"> of Appeal significantly narrowed this interpretation by requiring reliance on the description as a prerequisite for section 13 to apply. </w:t>
      </w:r>
      <w:proofErr w:type="spellStart"/>
      <w:r w:rsidRPr="005010D4">
        <w:rPr>
          <w:rFonts w:ascii="Times New Roman" w:hAnsi="Times New Roman"/>
          <w:lang w:val="en-HK"/>
        </w:rPr>
        <w:t>Nourse</w:t>
      </w:r>
      <w:proofErr w:type="spellEnd"/>
      <w:r w:rsidRPr="005010D4">
        <w:rPr>
          <w:rFonts w:ascii="Times New Roman" w:hAnsi="Times New Roman"/>
          <w:lang w:val="en-HK"/>
        </w:rPr>
        <w:t xml:space="preserve"> LJ reasoned that since the buyer was an art dealer and had sent his own expert to inspect the painting, the transaction could not be regarded as one where the buyer relied on the seller’s statement.</w:t>
      </w:r>
    </w:p>
    <w:p w14:paraId="360D4B6F" w14:textId="77777777" w:rsidR="005010D4" w:rsidRPr="005010D4" w:rsidRDefault="005010D4" w:rsidP="005010D4">
      <w:pPr>
        <w:spacing w:before="100" w:beforeAutospacing="1" w:after="100" w:afterAutospacing="1" w:line="360" w:lineRule="auto"/>
        <w:outlineLvl w:val="3"/>
        <w:rPr>
          <w:rFonts w:ascii="Times New Roman" w:hAnsi="Times New Roman"/>
          <w:b/>
          <w:bCs/>
          <w:lang w:val="en-HK"/>
        </w:rPr>
      </w:pPr>
      <w:r w:rsidRPr="005010D4">
        <w:rPr>
          <w:rFonts w:ascii="Times New Roman" w:hAnsi="Times New Roman"/>
          <w:b/>
          <w:bCs/>
          <w:lang w:val="en-HK"/>
        </w:rPr>
        <w:t>2. The Identity vs Attributes Debate: Is an Artist’s Attribution Part of the Identity?</w:t>
      </w:r>
    </w:p>
    <w:p w14:paraId="3713AC2E" w14:textId="77777777" w:rsidR="005010D4" w:rsidRPr="005010D4" w:rsidRDefault="005010D4" w:rsidP="005010D4">
      <w:pPr>
        <w:spacing w:before="100" w:beforeAutospacing="1" w:after="100" w:afterAutospacing="1" w:line="360" w:lineRule="auto"/>
        <w:rPr>
          <w:rFonts w:ascii="Times New Roman" w:hAnsi="Times New Roman"/>
          <w:lang w:val="en-HK"/>
        </w:rPr>
      </w:pPr>
      <w:r w:rsidRPr="005010D4">
        <w:rPr>
          <w:rFonts w:ascii="Times New Roman" w:hAnsi="Times New Roman"/>
          <w:lang w:val="en-HK"/>
        </w:rPr>
        <w:t xml:space="preserve">The judgment in </w:t>
      </w:r>
      <w:proofErr w:type="spellStart"/>
      <w:r w:rsidRPr="005010D4">
        <w:rPr>
          <w:rFonts w:ascii="Times New Roman" w:hAnsi="Times New Roman"/>
          <w:lang w:val="en-HK"/>
        </w:rPr>
        <w:t>Harlingdon</w:t>
      </w:r>
      <w:proofErr w:type="spellEnd"/>
      <w:r w:rsidRPr="005010D4">
        <w:rPr>
          <w:rFonts w:ascii="Times New Roman" w:hAnsi="Times New Roman"/>
          <w:lang w:val="en-HK"/>
        </w:rPr>
        <w:t xml:space="preserve"> aligns with the judicial trend established in Ashington Piggeries Ltd v Christopher Hill Ltd [1972] AC 441 and Reardon Smith Line Ltd v </w:t>
      </w:r>
      <w:proofErr w:type="spellStart"/>
      <w:r w:rsidRPr="005010D4">
        <w:rPr>
          <w:rFonts w:ascii="Times New Roman" w:hAnsi="Times New Roman"/>
          <w:lang w:val="en-HK"/>
        </w:rPr>
        <w:t>Yngvar</w:t>
      </w:r>
      <w:proofErr w:type="spellEnd"/>
      <w:r w:rsidRPr="005010D4">
        <w:rPr>
          <w:rFonts w:ascii="Times New Roman" w:hAnsi="Times New Roman"/>
          <w:lang w:val="en-HK"/>
        </w:rPr>
        <w:t xml:space="preserve"> Hansen-</w:t>
      </w:r>
      <w:proofErr w:type="spellStart"/>
      <w:r w:rsidRPr="005010D4">
        <w:rPr>
          <w:rFonts w:ascii="Times New Roman" w:hAnsi="Times New Roman"/>
          <w:lang w:val="en-HK"/>
        </w:rPr>
        <w:t>Tangen</w:t>
      </w:r>
      <w:proofErr w:type="spellEnd"/>
      <w:r w:rsidRPr="005010D4">
        <w:rPr>
          <w:rFonts w:ascii="Times New Roman" w:hAnsi="Times New Roman"/>
          <w:lang w:val="en-HK"/>
        </w:rPr>
        <w:t xml:space="preserve"> [1976] 1 WLR 989. These cases established that section 13 applies only when a description constitutes a “substantial ingredient” of the identity of the goods. In Ashington Piggeries, the House of Lords held that the name given to a product does not necessarily determine its identity but is rather an attribute.</w:t>
      </w:r>
    </w:p>
    <w:p w14:paraId="08C125CC" w14:textId="77777777" w:rsidR="005010D4" w:rsidRPr="005010D4" w:rsidRDefault="005010D4" w:rsidP="005010D4">
      <w:pPr>
        <w:spacing w:before="100" w:beforeAutospacing="1" w:after="100" w:afterAutospacing="1" w:line="360" w:lineRule="auto"/>
        <w:rPr>
          <w:rFonts w:ascii="Times New Roman" w:hAnsi="Times New Roman"/>
          <w:lang w:val="en-HK"/>
        </w:rPr>
      </w:pPr>
      <w:proofErr w:type="spellStart"/>
      <w:r w:rsidRPr="005010D4">
        <w:rPr>
          <w:rFonts w:ascii="Times New Roman" w:hAnsi="Times New Roman"/>
          <w:lang w:val="en-HK"/>
        </w:rPr>
        <w:t>Nourse</w:t>
      </w:r>
      <w:proofErr w:type="spellEnd"/>
      <w:r w:rsidRPr="005010D4">
        <w:rPr>
          <w:rFonts w:ascii="Times New Roman" w:hAnsi="Times New Roman"/>
          <w:lang w:val="en-HK"/>
        </w:rPr>
        <w:t xml:space="preserve"> LJ in </w:t>
      </w:r>
      <w:proofErr w:type="spellStart"/>
      <w:r w:rsidRPr="005010D4">
        <w:rPr>
          <w:rFonts w:ascii="Times New Roman" w:hAnsi="Times New Roman"/>
          <w:lang w:val="en-HK"/>
        </w:rPr>
        <w:t>Harlingdon</w:t>
      </w:r>
      <w:proofErr w:type="spellEnd"/>
      <w:r w:rsidRPr="005010D4">
        <w:rPr>
          <w:rFonts w:ascii="Times New Roman" w:hAnsi="Times New Roman"/>
          <w:lang w:val="en-HK"/>
        </w:rPr>
        <w:t xml:space="preserve"> suggested that a painting remains a painting even if it is misattributed to a famous artist, just as poisonous herring meal in Ashington Piggeries remained herring meal. He was reluctant to extend section 13 to cases where a misattribution concerns the author of an artwork rather than its intrinsic characteristics. In his view, the presence of an artist’s name did not transform a forged painting into something other than a painting, just as a defective component in machinery does not negate the fact that it remains machinery.</w:t>
      </w:r>
    </w:p>
    <w:p w14:paraId="74D3C8B7" w14:textId="77777777" w:rsidR="005010D4" w:rsidRPr="005010D4" w:rsidRDefault="005010D4" w:rsidP="005010D4">
      <w:pPr>
        <w:spacing w:before="100" w:beforeAutospacing="1" w:after="100" w:afterAutospacing="1" w:line="360" w:lineRule="auto"/>
        <w:rPr>
          <w:rFonts w:ascii="Times New Roman" w:hAnsi="Times New Roman"/>
          <w:lang w:val="en-HK"/>
        </w:rPr>
      </w:pPr>
      <w:r w:rsidRPr="005010D4">
        <w:rPr>
          <w:rFonts w:ascii="Times New Roman" w:hAnsi="Times New Roman"/>
          <w:lang w:val="en-HK"/>
        </w:rPr>
        <w:t xml:space="preserve">This reasoning, however, is problematic. A fundamental distinction exists between a physical object’s material composition and its cultural or commercial identity. A painting attributed to a renowned artist like </w:t>
      </w:r>
      <w:proofErr w:type="spellStart"/>
      <w:r w:rsidRPr="005010D4">
        <w:rPr>
          <w:rFonts w:ascii="Times New Roman" w:hAnsi="Times New Roman"/>
          <w:lang w:val="en-HK"/>
        </w:rPr>
        <w:t>Münter</w:t>
      </w:r>
      <w:proofErr w:type="spellEnd"/>
      <w:r w:rsidRPr="005010D4">
        <w:rPr>
          <w:rFonts w:ascii="Times New Roman" w:hAnsi="Times New Roman"/>
          <w:lang w:val="en-HK"/>
        </w:rPr>
        <w:t xml:space="preserve"> has a drastically different market value than an anonymous or </w:t>
      </w:r>
      <w:r w:rsidRPr="005010D4">
        <w:rPr>
          <w:rFonts w:ascii="Times New Roman" w:hAnsi="Times New Roman"/>
          <w:lang w:val="en-HK"/>
        </w:rPr>
        <w:lastRenderedPageBreak/>
        <w:t>forged piece. The artist’s identity is not merely an attribute but a defining characteristic of the painting’s commercial and artistic significance.</w:t>
      </w:r>
    </w:p>
    <w:p w14:paraId="7BC80ADD" w14:textId="77777777" w:rsidR="005010D4" w:rsidRPr="005010D4" w:rsidRDefault="005010D4" w:rsidP="005010D4">
      <w:pPr>
        <w:spacing w:before="100" w:beforeAutospacing="1" w:after="100" w:afterAutospacing="1" w:line="360" w:lineRule="auto"/>
        <w:rPr>
          <w:rFonts w:ascii="Times New Roman" w:hAnsi="Times New Roman"/>
          <w:lang w:val="en-HK"/>
        </w:rPr>
      </w:pPr>
      <w:r w:rsidRPr="005010D4">
        <w:rPr>
          <w:rFonts w:ascii="Times New Roman" w:hAnsi="Times New Roman"/>
          <w:lang w:val="en-HK"/>
        </w:rPr>
        <w:t>Stuart-Smith LJ, dissenting, challenged the majority’s interpretation and argued that the identity of the artist is crucial to the identity of the artwork. He stated:</w:t>
      </w:r>
    </w:p>
    <w:p w14:paraId="4455C030" w14:textId="77777777" w:rsidR="005010D4" w:rsidRPr="005010D4" w:rsidRDefault="005010D4" w:rsidP="005010D4">
      <w:pPr>
        <w:spacing w:beforeAutospacing="1" w:afterAutospacing="1" w:line="360" w:lineRule="auto"/>
        <w:rPr>
          <w:rFonts w:ascii="Times New Roman" w:hAnsi="Times New Roman"/>
          <w:lang w:val="en-HK"/>
        </w:rPr>
      </w:pPr>
      <w:r w:rsidRPr="005010D4">
        <w:rPr>
          <w:rFonts w:ascii="Times New Roman" w:hAnsi="Times New Roman"/>
          <w:lang w:val="en-HK"/>
        </w:rPr>
        <w:t>“The identity of the artist is not a mere attribute, it is a substantial ingredient in the identity of the thing sold.”</w:t>
      </w:r>
    </w:p>
    <w:p w14:paraId="28BACDAD" w14:textId="77777777" w:rsidR="005010D4" w:rsidRPr="005010D4" w:rsidRDefault="005010D4" w:rsidP="005010D4">
      <w:pPr>
        <w:spacing w:before="100" w:beforeAutospacing="1" w:after="100" w:afterAutospacing="1" w:line="360" w:lineRule="auto"/>
        <w:rPr>
          <w:rFonts w:ascii="Times New Roman" w:hAnsi="Times New Roman"/>
          <w:lang w:val="en-HK"/>
        </w:rPr>
      </w:pPr>
      <w:r w:rsidRPr="005010D4">
        <w:rPr>
          <w:rFonts w:ascii="Times New Roman" w:hAnsi="Times New Roman"/>
          <w:lang w:val="en-HK"/>
        </w:rPr>
        <w:t>This view aligns with the principle established in Leaf v International Galleries [1950] 2 KB 86, where a painting misattributed to Constable was found to be misdescribed. In Leaf, Denning LJ observed that a work of art’s attribution to a renowned painter is central to its value and that a misattribution cannot be dismissed as a mere issue of quality.</w:t>
      </w:r>
    </w:p>
    <w:p w14:paraId="21713054" w14:textId="77777777" w:rsidR="005010D4" w:rsidRPr="005010D4" w:rsidRDefault="005010D4" w:rsidP="005010D4">
      <w:pPr>
        <w:spacing w:before="100" w:beforeAutospacing="1" w:after="100" w:afterAutospacing="1" w:line="360" w:lineRule="auto"/>
        <w:rPr>
          <w:rFonts w:ascii="Times New Roman" w:hAnsi="Times New Roman"/>
          <w:lang w:val="en-HK"/>
        </w:rPr>
      </w:pPr>
      <w:r w:rsidRPr="005010D4">
        <w:rPr>
          <w:rFonts w:ascii="Times New Roman" w:hAnsi="Times New Roman"/>
          <w:lang w:val="en-HK"/>
        </w:rPr>
        <w:t xml:space="preserve">Stuart-Smith LJ’s dissent in </w:t>
      </w:r>
      <w:proofErr w:type="spellStart"/>
      <w:r w:rsidRPr="005010D4">
        <w:rPr>
          <w:rFonts w:ascii="Times New Roman" w:hAnsi="Times New Roman"/>
          <w:lang w:val="en-HK"/>
        </w:rPr>
        <w:t>Harlingdon</w:t>
      </w:r>
      <w:proofErr w:type="spellEnd"/>
      <w:r w:rsidRPr="005010D4">
        <w:rPr>
          <w:rFonts w:ascii="Times New Roman" w:hAnsi="Times New Roman"/>
          <w:lang w:val="en-HK"/>
        </w:rPr>
        <w:t xml:space="preserve"> warns against the implications of the majority’s ruling. If section 13 does not cover misattributions of authorship, buyers of artwork and other unique goods are left vulnerable to misrepresentation without statutory recourse. This shift effectively reduces consumer protection, as misattributed artwork could now be classified under section 14 (quality of goods) rather than section 13 (description), making it harder for buyers to claim breach of contract.</w:t>
      </w:r>
    </w:p>
    <w:p w14:paraId="0E57CF20" w14:textId="77777777" w:rsidR="005010D4" w:rsidRPr="005010D4" w:rsidRDefault="005010D4" w:rsidP="005010D4">
      <w:pPr>
        <w:spacing w:before="100" w:beforeAutospacing="1" w:after="100" w:afterAutospacing="1" w:line="360" w:lineRule="auto"/>
        <w:outlineLvl w:val="3"/>
        <w:rPr>
          <w:rFonts w:ascii="Times New Roman" w:hAnsi="Times New Roman"/>
          <w:b/>
          <w:bCs/>
          <w:lang w:val="en-HK"/>
        </w:rPr>
      </w:pPr>
      <w:r w:rsidRPr="005010D4">
        <w:rPr>
          <w:rFonts w:ascii="Times New Roman" w:hAnsi="Times New Roman"/>
          <w:b/>
          <w:bCs/>
          <w:lang w:val="en-HK"/>
        </w:rPr>
        <w:t>3. The Practical and Commercial Consequences</w:t>
      </w:r>
    </w:p>
    <w:p w14:paraId="59B1B279" w14:textId="77777777" w:rsidR="005010D4" w:rsidRPr="005010D4" w:rsidRDefault="005010D4" w:rsidP="005010D4">
      <w:pPr>
        <w:spacing w:before="100" w:beforeAutospacing="1" w:after="100" w:afterAutospacing="1" w:line="360" w:lineRule="auto"/>
        <w:rPr>
          <w:rFonts w:ascii="Times New Roman" w:hAnsi="Times New Roman"/>
          <w:lang w:val="en-HK"/>
        </w:rPr>
      </w:pPr>
      <w:r w:rsidRPr="005010D4">
        <w:rPr>
          <w:rFonts w:ascii="Times New Roman" w:hAnsi="Times New Roman"/>
          <w:lang w:val="en-HK"/>
        </w:rPr>
        <w:t xml:space="preserve">Brown argues that the narrowing of section 13 in </w:t>
      </w:r>
      <w:proofErr w:type="spellStart"/>
      <w:r w:rsidRPr="005010D4">
        <w:rPr>
          <w:rFonts w:ascii="Times New Roman" w:hAnsi="Times New Roman"/>
          <w:lang w:val="en-HK"/>
        </w:rPr>
        <w:t>Harlingdon</w:t>
      </w:r>
      <w:proofErr w:type="spellEnd"/>
      <w:r w:rsidRPr="005010D4">
        <w:rPr>
          <w:rFonts w:ascii="Times New Roman" w:hAnsi="Times New Roman"/>
          <w:lang w:val="en-HK"/>
        </w:rPr>
        <w:t xml:space="preserve"> has serious consequences for buyers in the art market and other commercial transactions involving unique or high-value goods. If a buyer cannot rely on section 13 for misattributions, their legal recourse is significantly weakened.</w:t>
      </w:r>
    </w:p>
    <w:p w14:paraId="1118C079" w14:textId="77777777" w:rsidR="005010D4" w:rsidRPr="005010D4" w:rsidRDefault="005010D4" w:rsidP="005010D4">
      <w:pPr>
        <w:numPr>
          <w:ilvl w:val="0"/>
          <w:numId w:val="4"/>
        </w:numPr>
        <w:spacing w:before="100" w:beforeAutospacing="1" w:after="100" w:afterAutospacing="1" w:line="360" w:lineRule="auto"/>
        <w:rPr>
          <w:rFonts w:ascii="Times New Roman" w:hAnsi="Times New Roman"/>
          <w:lang w:val="en-HK"/>
        </w:rPr>
      </w:pPr>
      <w:r w:rsidRPr="005010D4">
        <w:rPr>
          <w:rFonts w:ascii="Times New Roman" w:hAnsi="Times New Roman"/>
          <w:b/>
          <w:bCs/>
          <w:lang w:val="en-HK"/>
        </w:rPr>
        <w:t>Burden of Proof on Buyers</w:t>
      </w:r>
      <w:r w:rsidRPr="005010D4">
        <w:rPr>
          <w:rFonts w:ascii="Times New Roman" w:hAnsi="Times New Roman"/>
          <w:lang w:val="en-HK"/>
        </w:rPr>
        <w:br/>
        <w:t>The requirement for reliance places a heavier evidentiary burden on buyers. In commercial transactions, particularly in fine art sales, buyers often depend on representations made by sellers. If courts continue to restrict section 13’s application based on reliance, many buyers—particularly those without expertise—may struggle to establish liability when misattribution occurs.</w:t>
      </w:r>
    </w:p>
    <w:p w14:paraId="7D9CA6BD" w14:textId="77777777" w:rsidR="005010D4" w:rsidRPr="005010D4" w:rsidRDefault="005010D4" w:rsidP="005010D4">
      <w:pPr>
        <w:numPr>
          <w:ilvl w:val="0"/>
          <w:numId w:val="4"/>
        </w:numPr>
        <w:spacing w:before="100" w:beforeAutospacing="1" w:after="100" w:afterAutospacing="1" w:line="360" w:lineRule="auto"/>
        <w:rPr>
          <w:rFonts w:ascii="Times New Roman" w:hAnsi="Times New Roman"/>
          <w:lang w:val="en-HK"/>
        </w:rPr>
      </w:pPr>
      <w:r w:rsidRPr="005010D4">
        <w:rPr>
          <w:rFonts w:ascii="Times New Roman" w:hAnsi="Times New Roman"/>
          <w:b/>
          <w:bCs/>
          <w:lang w:val="en-HK"/>
        </w:rPr>
        <w:t>Encouragement of Seller Disclaimers</w:t>
      </w:r>
      <w:r w:rsidRPr="005010D4">
        <w:rPr>
          <w:rFonts w:ascii="Times New Roman" w:hAnsi="Times New Roman"/>
          <w:lang w:val="en-HK"/>
        </w:rPr>
        <w:br/>
        <w:t xml:space="preserve">The ruling in </w:t>
      </w:r>
      <w:proofErr w:type="spellStart"/>
      <w:r w:rsidRPr="005010D4">
        <w:rPr>
          <w:rFonts w:ascii="Times New Roman" w:hAnsi="Times New Roman"/>
          <w:lang w:val="en-HK"/>
        </w:rPr>
        <w:t>Harlingdon</w:t>
      </w:r>
      <w:proofErr w:type="spellEnd"/>
      <w:r w:rsidRPr="005010D4">
        <w:rPr>
          <w:rFonts w:ascii="Times New Roman" w:hAnsi="Times New Roman"/>
          <w:lang w:val="en-HK"/>
        </w:rPr>
        <w:t xml:space="preserve"> potentially incentivizes sellers to limit their liability by avoiding </w:t>
      </w:r>
      <w:r w:rsidRPr="005010D4">
        <w:rPr>
          <w:rFonts w:ascii="Times New Roman" w:hAnsi="Times New Roman"/>
          <w:lang w:val="en-HK"/>
        </w:rPr>
        <w:lastRenderedPageBreak/>
        <w:t>express attributions or claiming ignorance about the authenticity of their goods. As Stuart-Smith LJ noted, the defendant’s disclaimers about expertise effectively “shrank” their liability, creating a dangerous precedent where sellers can insulate themselves from claims under section 13 simply by asserting lack of knowledge. This concern ties into broader discussions about the use of exclusion clauses under the Unfair Contract Terms Act 1977 (UCTA 1977).</w:t>
      </w:r>
    </w:p>
    <w:p w14:paraId="7DB5971E" w14:textId="77777777" w:rsidR="005010D4" w:rsidRPr="005010D4" w:rsidRDefault="005010D4" w:rsidP="005010D4">
      <w:pPr>
        <w:numPr>
          <w:ilvl w:val="0"/>
          <w:numId w:val="4"/>
        </w:numPr>
        <w:spacing w:before="100" w:beforeAutospacing="1" w:after="100" w:afterAutospacing="1" w:line="360" w:lineRule="auto"/>
        <w:rPr>
          <w:rFonts w:ascii="Times New Roman" w:hAnsi="Times New Roman"/>
          <w:lang w:val="en-HK"/>
        </w:rPr>
      </w:pPr>
      <w:r w:rsidRPr="005010D4">
        <w:rPr>
          <w:rFonts w:ascii="Times New Roman" w:hAnsi="Times New Roman"/>
          <w:b/>
          <w:bCs/>
          <w:lang w:val="en-HK"/>
        </w:rPr>
        <w:t>Inconsistent Application of Consumer Protection Laws</w:t>
      </w:r>
      <w:r w:rsidRPr="005010D4">
        <w:rPr>
          <w:rFonts w:ascii="Times New Roman" w:hAnsi="Times New Roman"/>
          <w:lang w:val="en-HK"/>
        </w:rPr>
        <w:br/>
        <w:t xml:space="preserve">The identity vs attributes debate in </w:t>
      </w:r>
      <w:proofErr w:type="spellStart"/>
      <w:r w:rsidRPr="005010D4">
        <w:rPr>
          <w:rFonts w:ascii="Times New Roman" w:hAnsi="Times New Roman"/>
          <w:lang w:val="en-HK"/>
        </w:rPr>
        <w:t>Harlingdon</w:t>
      </w:r>
      <w:proofErr w:type="spellEnd"/>
      <w:r w:rsidRPr="005010D4">
        <w:rPr>
          <w:rFonts w:ascii="Times New Roman" w:hAnsi="Times New Roman"/>
          <w:lang w:val="en-HK"/>
        </w:rPr>
        <w:t xml:space="preserve"> creates an inconsistency in consumer protection. In other areas of sales law, such as food safety and pharmaceuticals, misrepresentation about content is considered a fundamental breach of contract. Yet in the fine art sector, courts have adopted a more lenient approach, treating artist attribution as a mere characteristic rather than a fundamental part of the item’s identity. Brown suggests that this inconsistency undermines statutory protections and calls for a reconsideration of how section 13 applies in the sale of unique goods.</w:t>
      </w:r>
    </w:p>
    <w:p w14:paraId="3A7360D8" w14:textId="77777777" w:rsidR="005010D4" w:rsidRPr="005010D4" w:rsidRDefault="005010D4" w:rsidP="005010D4">
      <w:pPr>
        <w:spacing w:before="100" w:beforeAutospacing="1" w:after="100" w:afterAutospacing="1" w:line="360" w:lineRule="auto"/>
        <w:outlineLvl w:val="3"/>
        <w:rPr>
          <w:rFonts w:ascii="Times New Roman" w:hAnsi="Times New Roman"/>
          <w:b/>
          <w:bCs/>
          <w:lang w:val="en-HK"/>
        </w:rPr>
      </w:pPr>
      <w:r w:rsidRPr="005010D4">
        <w:rPr>
          <w:rFonts w:ascii="Times New Roman" w:hAnsi="Times New Roman"/>
          <w:b/>
          <w:bCs/>
          <w:lang w:val="en-HK"/>
        </w:rPr>
        <w:t>4. Conclusion: A Flawed and Restrictive Approach</w:t>
      </w:r>
    </w:p>
    <w:p w14:paraId="77571D8D" w14:textId="77777777" w:rsidR="005010D4" w:rsidRPr="005010D4" w:rsidRDefault="005010D4" w:rsidP="005010D4">
      <w:pPr>
        <w:spacing w:before="100" w:beforeAutospacing="1" w:after="100" w:afterAutospacing="1" w:line="360" w:lineRule="auto"/>
        <w:rPr>
          <w:rFonts w:ascii="Times New Roman" w:hAnsi="Times New Roman"/>
          <w:lang w:val="en-HK"/>
        </w:rPr>
      </w:pPr>
      <w:r w:rsidRPr="005010D4">
        <w:rPr>
          <w:rFonts w:ascii="Times New Roman" w:hAnsi="Times New Roman"/>
          <w:lang w:val="en-HK"/>
        </w:rPr>
        <w:t xml:space="preserve">The majority judgment in </w:t>
      </w:r>
      <w:proofErr w:type="spellStart"/>
      <w:r w:rsidRPr="005010D4">
        <w:rPr>
          <w:rFonts w:ascii="Times New Roman" w:hAnsi="Times New Roman"/>
          <w:lang w:val="en-HK"/>
        </w:rPr>
        <w:t>Harlingdon</w:t>
      </w:r>
      <w:proofErr w:type="spellEnd"/>
      <w:r w:rsidRPr="005010D4">
        <w:rPr>
          <w:rFonts w:ascii="Times New Roman" w:hAnsi="Times New Roman"/>
          <w:lang w:val="en-HK"/>
        </w:rPr>
        <w:t xml:space="preserve"> represents a significant narrowing of section 13 SGA 1979, restricting its application in cases of art forgery and misattribution. By classifying an artist’s name as a mere attribute rather than an essential element of identity, the Court of Appeal weakened buyer protection and created uncertainty in commercial transactions involving fine art.</w:t>
      </w:r>
    </w:p>
    <w:p w14:paraId="64159751" w14:textId="77777777" w:rsidR="005010D4" w:rsidRPr="005010D4" w:rsidRDefault="005010D4" w:rsidP="005010D4">
      <w:pPr>
        <w:spacing w:before="100" w:beforeAutospacing="1" w:after="100" w:afterAutospacing="1" w:line="360" w:lineRule="auto"/>
        <w:rPr>
          <w:rFonts w:ascii="Times New Roman" w:hAnsi="Times New Roman"/>
          <w:lang w:val="en-HK"/>
        </w:rPr>
      </w:pPr>
      <w:r w:rsidRPr="005010D4">
        <w:rPr>
          <w:rFonts w:ascii="Times New Roman" w:hAnsi="Times New Roman"/>
          <w:lang w:val="en-HK"/>
        </w:rPr>
        <w:t>Brown supports Stuart-Smith LJ’s dissent, arguing that:</w:t>
      </w:r>
    </w:p>
    <w:p w14:paraId="2B5AEA40" w14:textId="77777777" w:rsidR="005010D4" w:rsidRPr="005010D4" w:rsidRDefault="005010D4" w:rsidP="005010D4">
      <w:pPr>
        <w:numPr>
          <w:ilvl w:val="0"/>
          <w:numId w:val="5"/>
        </w:numPr>
        <w:spacing w:before="100" w:beforeAutospacing="1" w:after="100" w:afterAutospacing="1" w:line="360" w:lineRule="auto"/>
        <w:rPr>
          <w:rFonts w:ascii="Times New Roman" w:hAnsi="Times New Roman"/>
          <w:lang w:val="en-HK"/>
        </w:rPr>
      </w:pPr>
      <w:r w:rsidRPr="005010D4">
        <w:rPr>
          <w:rFonts w:ascii="Times New Roman" w:hAnsi="Times New Roman"/>
          <w:lang w:val="en-HK"/>
        </w:rPr>
        <w:t>The artist’s identity is a fundamental part of a painting’s commercial and cultural significance.</w:t>
      </w:r>
    </w:p>
    <w:p w14:paraId="59D95B56" w14:textId="77777777" w:rsidR="005010D4" w:rsidRPr="005010D4" w:rsidRDefault="005010D4" w:rsidP="005010D4">
      <w:pPr>
        <w:numPr>
          <w:ilvl w:val="0"/>
          <w:numId w:val="5"/>
        </w:numPr>
        <w:spacing w:before="100" w:beforeAutospacing="1" w:after="100" w:afterAutospacing="1" w:line="360" w:lineRule="auto"/>
        <w:rPr>
          <w:rFonts w:ascii="Times New Roman" w:hAnsi="Times New Roman"/>
          <w:lang w:val="en-HK"/>
        </w:rPr>
      </w:pPr>
      <w:r w:rsidRPr="005010D4">
        <w:rPr>
          <w:rFonts w:ascii="Times New Roman" w:hAnsi="Times New Roman"/>
          <w:lang w:val="en-HK"/>
        </w:rPr>
        <w:t>The requirement for buyer reliance under section 13 is a restrictive and problematic interpretation.</w:t>
      </w:r>
    </w:p>
    <w:p w14:paraId="0291D407" w14:textId="77777777" w:rsidR="005010D4" w:rsidRPr="005010D4" w:rsidRDefault="005010D4" w:rsidP="005010D4">
      <w:pPr>
        <w:numPr>
          <w:ilvl w:val="0"/>
          <w:numId w:val="5"/>
        </w:numPr>
        <w:spacing w:before="100" w:beforeAutospacing="1" w:after="100" w:afterAutospacing="1" w:line="360" w:lineRule="auto"/>
        <w:rPr>
          <w:rFonts w:ascii="Times New Roman" w:hAnsi="Times New Roman"/>
          <w:lang w:val="en-HK"/>
        </w:rPr>
      </w:pPr>
      <w:r w:rsidRPr="005010D4">
        <w:rPr>
          <w:rFonts w:ascii="Times New Roman" w:hAnsi="Times New Roman"/>
          <w:lang w:val="en-HK"/>
        </w:rPr>
        <w:t xml:space="preserve">The decision in </w:t>
      </w:r>
      <w:proofErr w:type="spellStart"/>
      <w:r w:rsidRPr="005010D4">
        <w:rPr>
          <w:rFonts w:ascii="Times New Roman" w:hAnsi="Times New Roman"/>
          <w:lang w:val="en-HK"/>
        </w:rPr>
        <w:t>Harlingdon</w:t>
      </w:r>
      <w:proofErr w:type="spellEnd"/>
      <w:r w:rsidRPr="005010D4">
        <w:rPr>
          <w:rFonts w:ascii="Times New Roman" w:hAnsi="Times New Roman"/>
          <w:lang w:val="en-HK"/>
        </w:rPr>
        <w:t xml:space="preserve"> weakens statutory consumer protections and allows sellers to evade liability through disclaimers.</w:t>
      </w:r>
    </w:p>
    <w:p w14:paraId="2F7FC598" w14:textId="77777777" w:rsidR="005010D4" w:rsidRPr="005010D4" w:rsidRDefault="005010D4" w:rsidP="005010D4">
      <w:pPr>
        <w:spacing w:before="100" w:beforeAutospacing="1" w:after="100" w:afterAutospacing="1" w:line="360" w:lineRule="auto"/>
        <w:rPr>
          <w:rFonts w:ascii="Times New Roman" w:hAnsi="Times New Roman"/>
          <w:lang w:val="en-HK"/>
        </w:rPr>
      </w:pPr>
      <w:r w:rsidRPr="005010D4">
        <w:rPr>
          <w:rFonts w:ascii="Times New Roman" w:hAnsi="Times New Roman"/>
          <w:lang w:val="en-HK"/>
        </w:rPr>
        <w:t>This analysis underscores the need for judicial and legislative reconsideration to ensure that misattribution in art sales is treated as a breach of description rather than merely a defect in quality.</w:t>
      </w:r>
    </w:p>
    <w:p w14:paraId="0543282F" w14:textId="2384E495" w:rsidR="005010D4" w:rsidRPr="005010D4" w:rsidRDefault="005010D4" w:rsidP="005010D4">
      <w:pPr>
        <w:spacing w:before="100" w:beforeAutospacing="1" w:after="100" w:afterAutospacing="1" w:line="360" w:lineRule="auto"/>
        <w:outlineLvl w:val="3"/>
        <w:rPr>
          <w:rFonts w:ascii="Times New Roman" w:hAnsi="Times New Roman"/>
          <w:color w:val="2F5496" w:themeColor="accent1" w:themeShade="BF"/>
          <w:lang w:val="en-HK"/>
        </w:rPr>
      </w:pPr>
      <w:r w:rsidRPr="005010D4">
        <w:rPr>
          <w:rFonts w:ascii="Times New Roman" w:hAnsi="Times New Roman"/>
          <w:b/>
          <w:bCs/>
          <w:color w:val="2F5496" w:themeColor="accent1" w:themeShade="BF"/>
          <w:lang w:val="en-HK"/>
        </w:rPr>
        <w:lastRenderedPageBreak/>
        <w:t xml:space="preserve">6. </w:t>
      </w:r>
      <w:r w:rsidRPr="005010D4">
        <w:rPr>
          <w:rStyle w:val="Strong"/>
          <w:rFonts w:ascii="Times New Roman" w:eastAsiaTheme="majorEastAsia" w:hAnsi="Times New Roman"/>
          <w:color w:val="2F5496" w:themeColor="accent1" w:themeShade="BF"/>
        </w:rPr>
        <w:t>The Role of Reliance and Contractual Disclaimers</w:t>
      </w:r>
      <w:r w:rsidRPr="005010D4">
        <w:rPr>
          <w:rFonts w:ascii="Times New Roman" w:hAnsi="Times New Roman"/>
          <w:b/>
          <w:bCs/>
          <w:color w:val="2F5496" w:themeColor="accent1" w:themeShade="BF"/>
          <w:lang w:val="en-HK"/>
        </w:rPr>
        <w:t xml:space="preserve"> </w:t>
      </w:r>
    </w:p>
    <w:p w14:paraId="7C6941D3" w14:textId="77777777" w:rsidR="005010D4" w:rsidRPr="005010D4" w:rsidRDefault="005010D4" w:rsidP="005010D4">
      <w:pPr>
        <w:pStyle w:val="NormalWeb"/>
        <w:spacing w:line="360" w:lineRule="auto"/>
      </w:pPr>
      <w:r w:rsidRPr="005010D4">
        <w:t xml:space="preserve">Section 6 of Ian Brown’s </w:t>
      </w:r>
      <w:r w:rsidRPr="005010D4">
        <w:rPr>
          <w:rStyle w:val="Emphasis"/>
          <w:rFonts w:eastAsiaTheme="majorEastAsia"/>
          <w:i w:val="0"/>
          <w:iCs w:val="0"/>
        </w:rPr>
        <w:t>Forgery, Fine Art, and the Sale of Goods</w:t>
      </w:r>
      <w:r w:rsidRPr="005010D4">
        <w:t xml:space="preserve"> focuses on the impact of reliance and contractual disclaimers in sales transactions, particularly in the context of implied terms under the </w:t>
      </w:r>
      <w:r w:rsidRPr="005010D4">
        <w:rPr>
          <w:rStyle w:val="Emphasis"/>
          <w:rFonts w:eastAsiaTheme="majorEastAsia"/>
          <w:i w:val="0"/>
          <w:iCs w:val="0"/>
        </w:rPr>
        <w:t>Sale of Goods Act 1979 (SGA 1979)</w:t>
      </w:r>
      <w:r w:rsidRPr="005010D4">
        <w:t xml:space="preserve">. The discussion is rooted in the judgment of </w:t>
      </w:r>
      <w:proofErr w:type="spellStart"/>
      <w:r w:rsidRPr="005010D4">
        <w:rPr>
          <w:rStyle w:val="Emphasis"/>
          <w:rFonts w:eastAsiaTheme="majorEastAsia"/>
          <w:i w:val="0"/>
          <w:iCs w:val="0"/>
        </w:rPr>
        <w:t>Harlingdon</w:t>
      </w:r>
      <w:proofErr w:type="spellEnd"/>
      <w:r w:rsidRPr="005010D4">
        <w:rPr>
          <w:rStyle w:val="Emphasis"/>
          <w:rFonts w:eastAsiaTheme="majorEastAsia"/>
          <w:i w:val="0"/>
          <w:iCs w:val="0"/>
        </w:rPr>
        <w:t xml:space="preserve"> &amp; Leinster Enterprises Ltd v Christopher Hull Fine Art Ltd</w:t>
      </w:r>
      <w:r w:rsidRPr="005010D4">
        <w:t xml:space="preserve"> [1991] 1 QB 564 and explores how sellers can use disclaimers to limit their liability for misattribution or misdescription of goods. The case underscores the evolving judicial interpretation of </w:t>
      </w:r>
      <w:r w:rsidRPr="005010D4">
        <w:rPr>
          <w:rStyle w:val="Emphasis"/>
          <w:rFonts w:eastAsiaTheme="majorEastAsia"/>
          <w:i w:val="0"/>
          <w:iCs w:val="0"/>
        </w:rPr>
        <w:t>section 13 (sale by description)</w:t>
      </w:r>
      <w:r w:rsidRPr="005010D4">
        <w:t xml:space="preserve"> and the intersection of contractual autonomy with statutory consumer protection.</w:t>
      </w:r>
    </w:p>
    <w:p w14:paraId="6D0F490A" w14:textId="77777777" w:rsidR="005010D4" w:rsidRPr="005010D4" w:rsidRDefault="005010D4" w:rsidP="005010D4">
      <w:pPr>
        <w:pStyle w:val="Heading4"/>
        <w:spacing w:line="360" w:lineRule="auto"/>
        <w:rPr>
          <w:rFonts w:ascii="Times New Roman" w:hAnsi="Times New Roman" w:cs="Times New Roman"/>
          <w:i w:val="0"/>
          <w:iCs w:val="0"/>
        </w:rPr>
      </w:pPr>
      <w:r w:rsidRPr="005010D4">
        <w:rPr>
          <w:rStyle w:val="Strong"/>
          <w:rFonts w:ascii="Times New Roman" w:hAnsi="Times New Roman" w:cs="Times New Roman"/>
          <w:b w:val="0"/>
          <w:bCs w:val="0"/>
          <w:i w:val="0"/>
          <w:iCs w:val="0"/>
        </w:rPr>
        <w:t xml:space="preserve">1. The Reliance Test in </w:t>
      </w:r>
      <w:proofErr w:type="spellStart"/>
      <w:r w:rsidRPr="005010D4">
        <w:rPr>
          <w:rStyle w:val="Strong"/>
          <w:rFonts w:ascii="Times New Roman" w:hAnsi="Times New Roman" w:cs="Times New Roman"/>
          <w:b w:val="0"/>
          <w:bCs w:val="0"/>
          <w:i w:val="0"/>
          <w:iCs w:val="0"/>
        </w:rPr>
        <w:t>Harlingdon</w:t>
      </w:r>
      <w:proofErr w:type="spellEnd"/>
      <w:r w:rsidRPr="005010D4">
        <w:rPr>
          <w:rStyle w:val="Strong"/>
          <w:rFonts w:ascii="Times New Roman" w:hAnsi="Times New Roman" w:cs="Times New Roman"/>
          <w:b w:val="0"/>
          <w:bCs w:val="0"/>
          <w:i w:val="0"/>
          <w:iCs w:val="0"/>
        </w:rPr>
        <w:t>: A New Threshold for Section 13</w:t>
      </w:r>
    </w:p>
    <w:p w14:paraId="7E71FB8A" w14:textId="77777777" w:rsidR="005010D4" w:rsidRPr="005010D4" w:rsidRDefault="005010D4" w:rsidP="005010D4">
      <w:pPr>
        <w:pStyle w:val="NormalWeb"/>
        <w:spacing w:line="360" w:lineRule="auto"/>
      </w:pPr>
      <w:r w:rsidRPr="005010D4">
        <w:t xml:space="preserve">The Court of Appeal in </w:t>
      </w:r>
      <w:proofErr w:type="spellStart"/>
      <w:r w:rsidRPr="005010D4">
        <w:rPr>
          <w:rStyle w:val="Emphasis"/>
          <w:rFonts w:eastAsiaTheme="majorEastAsia"/>
          <w:i w:val="0"/>
          <w:iCs w:val="0"/>
        </w:rPr>
        <w:t>Harlingdon</w:t>
      </w:r>
      <w:proofErr w:type="spellEnd"/>
      <w:r w:rsidRPr="005010D4">
        <w:t xml:space="preserve"> introduced a new dimension to the application of </w:t>
      </w:r>
      <w:r w:rsidRPr="005010D4">
        <w:rPr>
          <w:rStyle w:val="Emphasis"/>
          <w:rFonts w:eastAsiaTheme="majorEastAsia"/>
          <w:i w:val="0"/>
          <w:iCs w:val="0"/>
        </w:rPr>
        <w:t>section 13 SGA 1979</w:t>
      </w:r>
      <w:r w:rsidRPr="005010D4">
        <w:t xml:space="preserve"> by ruling that a </w:t>
      </w:r>
      <w:r w:rsidRPr="00D77B1F">
        <w:rPr>
          <w:b/>
          <w:bCs/>
        </w:rPr>
        <w:t xml:space="preserve">buyer must have </w:t>
      </w:r>
      <w:r w:rsidRPr="00D77B1F">
        <w:rPr>
          <w:rStyle w:val="Emphasis"/>
          <w:rFonts w:eastAsiaTheme="majorEastAsia"/>
          <w:b/>
          <w:bCs/>
          <w:i w:val="0"/>
          <w:iCs w:val="0"/>
        </w:rPr>
        <w:t>relied</w:t>
      </w:r>
      <w:r w:rsidRPr="00D77B1F">
        <w:rPr>
          <w:b/>
          <w:bCs/>
        </w:rPr>
        <w:t xml:space="preserve"> on the description given by the seller for the statutory implied term to apply.</w:t>
      </w:r>
      <w:r w:rsidRPr="005010D4">
        <w:t xml:space="preserve"> </w:t>
      </w:r>
      <w:proofErr w:type="spellStart"/>
      <w:r w:rsidRPr="005010D4">
        <w:t>Nourse</w:t>
      </w:r>
      <w:proofErr w:type="spellEnd"/>
      <w:r w:rsidRPr="005010D4">
        <w:t xml:space="preserve"> LJ held that </w:t>
      </w:r>
      <w:r w:rsidRPr="00D77B1F">
        <w:rPr>
          <w:b/>
          <w:bCs/>
          <w:color w:val="FF0000"/>
        </w:rPr>
        <w:t xml:space="preserve">since the buyer was an experienced art dealer and had sent an employee to inspect the painting, there was </w:t>
      </w:r>
      <w:r w:rsidRPr="00D77B1F">
        <w:rPr>
          <w:rStyle w:val="Emphasis"/>
          <w:rFonts w:eastAsiaTheme="majorEastAsia"/>
          <w:b/>
          <w:bCs/>
          <w:i w:val="0"/>
          <w:iCs w:val="0"/>
          <w:color w:val="FF0000"/>
        </w:rPr>
        <w:t>no reliance</w:t>
      </w:r>
      <w:r w:rsidRPr="00D77B1F">
        <w:rPr>
          <w:b/>
          <w:bCs/>
          <w:color w:val="FF0000"/>
        </w:rPr>
        <w:t xml:space="preserve"> on the seller’s assertion regarding the painting’s authenticity.</w:t>
      </w:r>
      <w:r w:rsidRPr="005010D4">
        <w:t xml:space="preserve"> This effectively meant that the transaction could not be classified as a sale “by description.”</w:t>
      </w:r>
    </w:p>
    <w:p w14:paraId="75CBE786" w14:textId="77777777" w:rsidR="005010D4" w:rsidRPr="005010D4" w:rsidRDefault="005010D4" w:rsidP="005010D4">
      <w:pPr>
        <w:pStyle w:val="NormalWeb"/>
        <w:spacing w:line="360" w:lineRule="auto"/>
      </w:pPr>
      <w:r w:rsidRPr="005010D4">
        <w:t xml:space="preserve">This judicial approach deviates from earlier interpretations, such as in </w:t>
      </w:r>
      <w:r w:rsidRPr="005010D4">
        <w:rPr>
          <w:rStyle w:val="Emphasis"/>
          <w:rFonts w:eastAsiaTheme="majorEastAsia"/>
          <w:i w:val="0"/>
          <w:iCs w:val="0"/>
        </w:rPr>
        <w:t>Beale v Taylor</w:t>
      </w:r>
      <w:r w:rsidRPr="005010D4">
        <w:t xml:space="preserve"> [1967] 1 WLR 1193, where the court found that a description provided by the seller (even if incorrect) could form the basis of a contractual condition, even when the buyer had an opportunity to inspect the goods. The decision in </w:t>
      </w:r>
      <w:proofErr w:type="spellStart"/>
      <w:r w:rsidRPr="005010D4">
        <w:rPr>
          <w:rStyle w:val="Emphasis"/>
          <w:rFonts w:eastAsiaTheme="majorEastAsia"/>
          <w:i w:val="0"/>
          <w:iCs w:val="0"/>
        </w:rPr>
        <w:t>Harlingdon</w:t>
      </w:r>
      <w:proofErr w:type="spellEnd"/>
      <w:r w:rsidRPr="005010D4">
        <w:t xml:space="preserve"> significantly weakens this precedent by establishing a </w:t>
      </w:r>
      <w:r w:rsidRPr="005010D4">
        <w:rPr>
          <w:rStyle w:val="Emphasis"/>
          <w:rFonts w:eastAsiaTheme="majorEastAsia"/>
          <w:i w:val="0"/>
          <w:iCs w:val="0"/>
        </w:rPr>
        <w:t>buyer expertise threshold</w:t>
      </w:r>
      <w:r w:rsidRPr="005010D4">
        <w:t>, whereby a professional buyer is expected to exercise independent judgment rather than rely on the seller’s descriptions.</w:t>
      </w:r>
    </w:p>
    <w:p w14:paraId="2A7DEC67" w14:textId="77777777" w:rsidR="005010D4" w:rsidRPr="005010D4" w:rsidRDefault="005010D4" w:rsidP="005010D4">
      <w:pPr>
        <w:pStyle w:val="NormalWeb"/>
        <w:spacing w:line="360" w:lineRule="auto"/>
      </w:pPr>
      <w:r w:rsidRPr="005010D4">
        <w:t>The implications of this shift are far-reaching:</w:t>
      </w:r>
    </w:p>
    <w:p w14:paraId="3BE2F479" w14:textId="77777777" w:rsidR="005010D4" w:rsidRPr="005010D4" w:rsidRDefault="005010D4" w:rsidP="005010D4">
      <w:pPr>
        <w:numPr>
          <w:ilvl w:val="0"/>
          <w:numId w:val="6"/>
        </w:numPr>
        <w:spacing w:before="100" w:beforeAutospacing="1" w:after="100" w:afterAutospacing="1" w:line="360" w:lineRule="auto"/>
        <w:rPr>
          <w:rFonts w:ascii="Times New Roman" w:hAnsi="Times New Roman"/>
        </w:rPr>
      </w:pPr>
      <w:r w:rsidRPr="005010D4">
        <w:rPr>
          <w:rFonts w:ascii="Times New Roman" w:hAnsi="Times New Roman"/>
        </w:rPr>
        <w:t>It introduces a subjective element into section 13, making its application dependent on the buyer’s knowledge and diligence.</w:t>
      </w:r>
    </w:p>
    <w:p w14:paraId="0CC9A39F" w14:textId="77777777" w:rsidR="005010D4" w:rsidRPr="005010D4" w:rsidRDefault="005010D4" w:rsidP="005010D4">
      <w:pPr>
        <w:numPr>
          <w:ilvl w:val="0"/>
          <w:numId w:val="6"/>
        </w:numPr>
        <w:spacing w:before="100" w:beforeAutospacing="1" w:after="100" w:afterAutospacing="1" w:line="360" w:lineRule="auto"/>
        <w:rPr>
          <w:rFonts w:ascii="Times New Roman" w:hAnsi="Times New Roman"/>
        </w:rPr>
      </w:pPr>
      <w:r w:rsidRPr="005010D4">
        <w:rPr>
          <w:rFonts w:ascii="Times New Roman" w:hAnsi="Times New Roman"/>
        </w:rPr>
        <w:t>It allows sellers to avoid liability simply by dealing with knowledgeable buyers or providing minimal information about the goods.</w:t>
      </w:r>
    </w:p>
    <w:p w14:paraId="2E96C030" w14:textId="77777777" w:rsidR="005010D4" w:rsidRPr="005010D4" w:rsidRDefault="005010D4" w:rsidP="005010D4">
      <w:pPr>
        <w:pStyle w:val="Heading4"/>
        <w:spacing w:line="360" w:lineRule="auto"/>
        <w:rPr>
          <w:rFonts w:ascii="Times New Roman" w:hAnsi="Times New Roman" w:cs="Times New Roman"/>
          <w:i w:val="0"/>
          <w:iCs w:val="0"/>
        </w:rPr>
      </w:pPr>
      <w:r w:rsidRPr="005010D4">
        <w:rPr>
          <w:rStyle w:val="Strong"/>
          <w:rFonts w:ascii="Times New Roman" w:hAnsi="Times New Roman" w:cs="Times New Roman"/>
          <w:b w:val="0"/>
          <w:bCs w:val="0"/>
          <w:i w:val="0"/>
          <w:iCs w:val="0"/>
        </w:rPr>
        <w:lastRenderedPageBreak/>
        <w:t>2. The Role of Contractual Disclaimers: Shrinking the Scope of Section 13</w:t>
      </w:r>
    </w:p>
    <w:p w14:paraId="6857B878" w14:textId="77777777" w:rsidR="005010D4" w:rsidRPr="005010D4" w:rsidRDefault="005010D4" w:rsidP="005010D4">
      <w:pPr>
        <w:pStyle w:val="NormalWeb"/>
        <w:spacing w:line="360" w:lineRule="auto"/>
      </w:pPr>
      <w:r w:rsidRPr="005010D4">
        <w:t xml:space="preserve">The court in </w:t>
      </w:r>
      <w:proofErr w:type="spellStart"/>
      <w:r w:rsidRPr="005010D4">
        <w:rPr>
          <w:rStyle w:val="Emphasis"/>
          <w:rFonts w:eastAsiaTheme="majorEastAsia"/>
          <w:i w:val="0"/>
          <w:iCs w:val="0"/>
        </w:rPr>
        <w:t>Harlingdon</w:t>
      </w:r>
      <w:proofErr w:type="spellEnd"/>
      <w:r w:rsidRPr="005010D4">
        <w:t xml:space="preserve"> also examined how </w:t>
      </w:r>
      <w:r w:rsidRPr="005010D4">
        <w:rPr>
          <w:rStyle w:val="Emphasis"/>
          <w:rFonts w:eastAsiaTheme="majorEastAsia"/>
          <w:i w:val="0"/>
          <w:iCs w:val="0"/>
        </w:rPr>
        <w:t>contractual disclaimers</w:t>
      </w:r>
      <w:r w:rsidRPr="005010D4">
        <w:t xml:space="preserve"> interact with statutory implied terms. The defendant in the case explicitly stated that he had </w:t>
      </w:r>
      <w:r w:rsidRPr="005010D4">
        <w:rPr>
          <w:rStyle w:val="Emphasis"/>
          <w:rFonts w:eastAsiaTheme="majorEastAsia"/>
          <w:i w:val="0"/>
          <w:iCs w:val="0"/>
        </w:rPr>
        <w:t>limited expertise</w:t>
      </w:r>
      <w:r w:rsidRPr="005010D4">
        <w:t xml:space="preserve"> in the work of Gabriele </w:t>
      </w:r>
      <w:proofErr w:type="spellStart"/>
      <w:r w:rsidRPr="005010D4">
        <w:t>Münter</w:t>
      </w:r>
      <w:proofErr w:type="spellEnd"/>
      <w:r w:rsidRPr="005010D4">
        <w:t xml:space="preserve"> and did not offer a formal guarantee of authenticity. This disclaimer played a crucial role in the court’s reasoning, as it suggested that the buyer was warned against placing full reliance on the seller’s description.</w:t>
      </w:r>
    </w:p>
    <w:p w14:paraId="084CB4EE" w14:textId="77777777" w:rsidR="005010D4" w:rsidRPr="005010D4" w:rsidRDefault="005010D4" w:rsidP="005010D4">
      <w:pPr>
        <w:pStyle w:val="NormalWeb"/>
        <w:spacing w:line="360" w:lineRule="auto"/>
      </w:pPr>
      <w:r w:rsidRPr="005010D4">
        <w:t xml:space="preserve">Slade LJ supported this reasoning, arguing that such disclaimers could be a </w:t>
      </w:r>
      <w:r w:rsidRPr="005010D4">
        <w:rPr>
          <w:rStyle w:val="Emphasis"/>
          <w:rFonts w:eastAsiaTheme="majorEastAsia"/>
          <w:i w:val="0"/>
          <w:iCs w:val="0"/>
        </w:rPr>
        <w:t>reasonable limitation of liability in commercial transactions</w:t>
      </w:r>
      <w:r w:rsidRPr="005010D4">
        <w:t>, particularly where both parties are merchants with access to market knowledge. The implication is that where a seller effectively distances themselves from their own description, a buyer must undertake due diligence rather than expect full statutory protection under section 13.</w:t>
      </w:r>
    </w:p>
    <w:p w14:paraId="01C5C011" w14:textId="77777777" w:rsidR="005010D4" w:rsidRPr="005010D4" w:rsidRDefault="005010D4" w:rsidP="005010D4">
      <w:pPr>
        <w:pStyle w:val="NormalWeb"/>
        <w:spacing w:line="360" w:lineRule="auto"/>
      </w:pPr>
      <w:r w:rsidRPr="005010D4">
        <w:t xml:space="preserve">However, Stuart-Smith LJ dissented, raising concerns about the </w:t>
      </w:r>
      <w:r w:rsidRPr="005010D4">
        <w:rPr>
          <w:rStyle w:val="Emphasis"/>
          <w:rFonts w:eastAsiaTheme="majorEastAsia"/>
          <w:i w:val="0"/>
          <w:iCs w:val="0"/>
        </w:rPr>
        <w:t>potential abuse of disclaimers</w:t>
      </w:r>
      <w:r w:rsidRPr="005010D4">
        <w:t xml:space="preserve"> by sellers seeking to evade liability. He observed that:</w:t>
      </w:r>
    </w:p>
    <w:p w14:paraId="1A660918" w14:textId="77777777" w:rsidR="005010D4" w:rsidRPr="005010D4" w:rsidRDefault="005010D4" w:rsidP="005010D4">
      <w:pPr>
        <w:pStyle w:val="NormalWeb"/>
        <w:spacing w:line="360" w:lineRule="auto"/>
      </w:pPr>
      <w:r w:rsidRPr="005010D4">
        <w:t>“The elusive statements of the defendant as to his expertise could not nullify the implied condition in section 13.”</w:t>
      </w:r>
    </w:p>
    <w:p w14:paraId="5777AB0C" w14:textId="77777777" w:rsidR="005010D4" w:rsidRPr="005010D4" w:rsidRDefault="005010D4" w:rsidP="005010D4">
      <w:pPr>
        <w:pStyle w:val="NormalWeb"/>
        <w:spacing w:line="360" w:lineRule="auto"/>
      </w:pPr>
      <w:r w:rsidRPr="005010D4">
        <w:t xml:space="preserve">This dissenting opinion reflects the broader consumer protection concerns underpinning the </w:t>
      </w:r>
      <w:r w:rsidRPr="005010D4">
        <w:rPr>
          <w:rStyle w:val="Emphasis"/>
          <w:rFonts w:eastAsiaTheme="majorEastAsia"/>
          <w:i w:val="0"/>
          <w:iCs w:val="0"/>
        </w:rPr>
        <w:t>Unfair Contract Terms Act 1977 (UCTA 1977)</w:t>
      </w:r>
      <w:r w:rsidRPr="005010D4">
        <w:t>, which seeks to prevent sellers from using disclaimers to exclude statutory protections unfairly. Stuart-Smith LJ’s warning highlights the risk that:</w:t>
      </w:r>
    </w:p>
    <w:p w14:paraId="24E9C739" w14:textId="77777777" w:rsidR="005010D4" w:rsidRPr="005010D4" w:rsidRDefault="005010D4" w:rsidP="005010D4">
      <w:pPr>
        <w:numPr>
          <w:ilvl w:val="0"/>
          <w:numId w:val="7"/>
        </w:numPr>
        <w:spacing w:before="100" w:beforeAutospacing="1" w:after="100" w:afterAutospacing="1" w:line="360" w:lineRule="auto"/>
        <w:rPr>
          <w:rFonts w:ascii="Times New Roman" w:hAnsi="Times New Roman"/>
        </w:rPr>
      </w:pPr>
      <w:r w:rsidRPr="005010D4">
        <w:rPr>
          <w:rFonts w:ascii="Times New Roman" w:hAnsi="Times New Roman"/>
        </w:rPr>
        <w:t xml:space="preserve">If </w:t>
      </w:r>
      <w:r w:rsidRPr="005010D4">
        <w:rPr>
          <w:rStyle w:val="Emphasis"/>
          <w:rFonts w:ascii="Times New Roman" w:eastAsiaTheme="majorEastAsia" w:hAnsi="Times New Roman"/>
          <w:i w:val="0"/>
          <w:iCs w:val="0"/>
        </w:rPr>
        <w:t>contractual disclaimers</w:t>
      </w:r>
      <w:r w:rsidRPr="005010D4">
        <w:rPr>
          <w:rFonts w:ascii="Times New Roman" w:hAnsi="Times New Roman"/>
        </w:rPr>
        <w:t xml:space="preserve"> are accepted too readily, they could </w:t>
      </w:r>
      <w:r w:rsidRPr="005010D4">
        <w:rPr>
          <w:rStyle w:val="Emphasis"/>
          <w:rFonts w:ascii="Times New Roman" w:eastAsiaTheme="majorEastAsia" w:hAnsi="Times New Roman"/>
          <w:i w:val="0"/>
          <w:iCs w:val="0"/>
        </w:rPr>
        <w:t>nullify statutory consumer protections</w:t>
      </w:r>
      <w:r w:rsidRPr="005010D4">
        <w:rPr>
          <w:rFonts w:ascii="Times New Roman" w:hAnsi="Times New Roman"/>
        </w:rPr>
        <w:t>.</w:t>
      </w:r>
    </w:p>
    <w:p w14:paraId="378CA3B5" w14:textId="77777777" w:rsidR="005010D4" w:rsidRPr="005010D4" w:rsidRDefault="005010D4" w:rsidP="005010D4">
      <w:pPr>
        <w:numPr>
          <w:ilvl w:val="0"/>
          <w:numId w:val="7"/>
        </w:numPr>
        <w:spacing w:before="100" w:beforeAutospacing="1" w:after="100" w:afterAutospacing="1" w:line="360" w:lineRule="auto"/>
        <w:rPr>
          <w:rFonts w:ascii="Times New Roman" w:hAnsi="Times New Roman"/>
        </w:rPr>
      </w:pPr>
      <w:r w:rsidRPr="005010D4">
        <w:rPr>
          <w:rFonts w:ascii="Times New Roman" w:hAnsi="Times New Roman"/>
        </w:rPr>
        <w:t>Sellers could routinely claim a lack of expertise to escape liability for misattributions, particularly in industries like fine art where authentication is inherently complex.</w:t>
      </w:r>
    </w:p>
    <w:p w14:paraId="297133F7" w14:textId="77777777" w:rsidR="005010D4" w:rsidRPr="005010D4" w:rsidRDefault="005010D4" w:rsidP="005010D4">
      <w:pPr>
        <w:numPr>
          <w:ilvl w:val="0"/>
          <w:numId w:val="7"/>
        </w:numPr>
        <w:spacing w:before="100" w:beforeAutospacing="1" w:after="100" w:afterAutospacing="1" w:line="360" w:lineRule="auto"/>
        <w:rPr>
          <w:rFonts w:ascii="Times New Roman" w:hAnsi="Times New Roman"/>
        </w:rPr>
      </w:pPr>
      <w:r w:rsidRPr="005010D4">
        <w:rPr>
          <w:rFonts w:ascii="Times New Roman" w:hAnsi="Times New Roman"/>
        </w:rPr>
        <w:t xml:space="preserve">Such practices could create </w:t>
      </w:r>
      <w:r w:rsidRPr="005010D4">
        <w:rPr>
          <w:rStyle w:val="Emphasis"/>
          <w:rFonts w:ascii="Times New Roman" w:eastAsiaTheme="majorEastAsia" w:hAnsi="Times New Roman"/>
          <w:i w:val="0"/>
          <w:iCs w:val="0"/>
        </w:rPr>
        <w:t>legal uncertainty</w:t>
      </w:r>
      <w:r w:rsidRPr="005010D4">
        <w:rPr>
          <w:rFonts w:ascii="Times New Roman" w:hAnsi="Times New Roman"/>
        </w:rPr>
        <w:t>, as buyers would struggle to determine when section 13 applies and when they must rely solely on their own expertise.</w:t>
      </w:r>
    </w:p>
    <w:p w14:paraId="76E36311" w14:textId="77777777" w:rsidR="005010D4" w:rsidRPr="005010D4" w:rsidRDefault="005010D4" w:rsidP="005010D4">
      <w:pPr>
        <w:pStyle w:val="Heading4"/>
        <w:spacing w:line="360" w:lineRule="auto"/>
        <w:rPr>
          <w:rFonts w:ascii="Times New Roman" w:hAnsi="Times New Roman" w:cs="Times New Roman"/>
          <w:i w:val="0"/>
          <w:iCs w:val="0"/>
        </w:rPr>
      </w:pPr>
      <w:r w:rsidRPr="005010D4">
        <w:rPr>
          <w:rStyle w:val="Strong"/>
          <w:rFonts w:ascii="Times New Roman" w:hAnsi="Times New Roman" w:cs="Times New Roman"/>
          <w:b w:val="0"/>
          <w:bCs w:val="0"/>
          <w:i w:val="0"/>
          <w:iCs w:val="0"/>
        </w:rPr>
        <w:t>3. The Interaction Between Section 13 and Section 14(2)</w:t>
      </w:r>
    </w:p>
    <w:p w14:paraId="0C5C894D" w14:textId="77777777" w:rsidR="005010D4" w:rsidRPr="005010D4" w:rsidRDefault="005010D4" w:rsidP="005010D4">
      <w:pPr>
        <w:pStyle w:val="NormalWeb"/>
        <w:spacing w:line="360" w:lineRule="auto"/>
      </w:pPr>
      <w:r w:rsidRPr="005010D4">
        <w:t xml:space="preserve">The court’s reliance-based approach to section 13 has implications for </w:t>
      </w:r>
      <w:r w:rsidRPr="005010D4">
        <w:rPr>
          <w:rStyle w:val="Emphasis"/>
          <w:rFonts w:eastAsiaTheme="majorEastAsia"/>
          <w:i w:val="0"/>
          <w:iCs w:val="0"/>
        </w:rPr>
        <w:t>section 14(2) SGA 1979</w:t>
      </w:r>
      <w:r w:rsidRPr="005010D4">
        <w:t xml:space="preserve">, which concerns the implied term of </w:t>
      </w:r>
      <w:r w:rsidRPr="005010D4">
        <w:rPr>
          <w:rStyle w:val="Emphasis"/>
          <w:rFonts w:eastAsiaTheme="majorEastAsia"/>
          <w:i w:val="0"/>
          <w:iCs w:val="0"/>
        </w:rPr>
        <w:t>satisfactory quality</w:t>
      </w:r>
      <w:r w:rsidRPr="005010D4">
        <w:t xml:space="preserve">. In </w:t>
      </w:r>
      <w:proofErr w:type="spellStart"/>
      <w:r w:rsidRPr="005010D4">
        <w:rPr>
          <w:rStyle w:val="Emphasis"/>
          <w:rFonts w:eastAsiaTheme="majorEastAsia"/>
          <w:i w:val="0"/>
          <w:iCs w:val="0"/>
        </w:rPr>
        <w:t>Harlingdon</w:t>
      </w:r>
      <w:proofErr w:type="spellEnd"/>
      <w:r w:rsidRPr="005010D4">
        <w:t xml:space="preserve">, </w:t>
      </w:r>
      <w:proofErr w:type="spellStart"/>
      <w:r w:rsidRPr="005010D4">
        <w:t>Nourse</w:t>
      </w:r>
      <w:proofErr w:type="spellEnd"/>
      <w:r w:rsidRPr="005010D4">
        <w:t xml:space="preserve"> LJ </w:t>
      </w:r>
      <w:r w:rsidRPr="005010D4">
        <w:lastRenderedPageBreak/>
        <w:t xml:space="preserve">acknowledged that while the painting’s status as a forgery might constitute a </w:t>
      </w:r>
      <w:r w:rsidRPr="005010D4">
        <w:rPr>
          <w:rStyle w:val="Emphasis"/>
          <w:rFonts w:eastAsiaTheme="majorEastAsia"/>
          <w:i w:val="0"/>
          <w:iCs w:val="0"/>
        </w:rPr>
        <w:t>defect in quality</w:t>
      </w:r>
      <w:r w:rsidRPr="005010D4">
        <w:t>, it did not render the painting unmerchantable under section 14(2). He reasoned that:</w:t>
      </w:r>
    </w:p>
    <w:p w14:paraId="550C07B1" w14:textId="77777777" w:rsidR="005010D4" w:rsidRPr="005010D4" w:rsidRDefault="005010D4" w:rsidP="005010D4">
      <w:pPr>
        <w:numPr>
          <w:ilvl w:val="0"/>
          <w:numId w:val="8"/>
        </w:numPr>
        <w:spacing w:before="100" w:beforeAutospacing="1" w:after="100" w:afterAutospacing="1" w:line="360" w:lineRule="auto"/>
        <w:rPr>
          <w:rFonts w:ascii="Times New Roman" w:hAnsi="Times New Roman"/>
        </w:rPr>
      </w:pPr>
      <w:r w:rsidRPr="005010D4">
        <w:rPr>
          <w:rFonts w:ascii="Times New Roman" w:hAnsi="Times New Roman"/>
        </w:rPr>
        <w:t>The painting still retained value, even if minimal (£50-£100).</w:t>
      </w:r>
    </w:p>
    <w:p w14:paraId="498FFE65" w14:textId="77777777" w:rsidR="005010D4" w:rsidRPr="005010D4" w:rsidRDefault="005010D4" w:rsidP="005010D4">
      <w:pPr>
        <w:numPr>
          <w:ilvl w:val="0"/>
          <w:numId w:val="8"/>
        </w:numPr>
        <w:spacing w:before="100" w:beforeAutospacing="1" w:after="100" w:afterAutospacing="1" w:line="360" w:lineRule="auto"/>
        <w:rPr>
          <w:rFonts w:ascii="Times New Roman" w:hAnsi="Times New Roman"/>
        </w:rPr>
      </w:pPr>
      <w:r w:rsidRPr="005010D4">
        <w:rPr>
          <w:rFonts w:ascii="Times New Roman" w:hAnsi="Times New Roman"/>
        </w:rPr>
        <w:t xml:space="preserve">It could still be aesthetically appreciated, even if not as a genuine </w:t>
      </w:r>
      <w:proofErr w:type="spellStart"/>
      <w:r w:rsidRPr="005010D4">
        <w:rPr>
          <w:rFonts w:ascii="Times New Roman" w:hAnsi="Times New Roman"/>
        </w:rPr>
        <w:t>Münter</w:t>
      </w:r>
      <w:proofErr w:type="spellEnd"/>
      <w:r w:rsidRPr="005010D4">
        <w:rPr>
          <w:rFonts w:ascii="Times New Roman" w:hAnsi="Times New Roman"/>
        </w:rPr>
        <w:t>.</w:t>
      </w:r>
    </w:p>
    <w:p w14:paraId="341F5484" w14:textId="77777777" w:rsidR="005010D4" w:rsidRPr="005010D4" w:rsidRDefault="005010D4" w:rsidP="005010D4">
      <w:pPr>
        <w:pStyle w:val="NormalWeb"/>
        <w:spacing w:line="360" w:lineRule="auto"/>
      </w:pPr>
      <w:r w:rsidRPr="005010D4">
        <w:t xml:space="preserve">This interpretation is problematic, as it assumes that a painting’s artistic and market value are separable. Brown argues that this is inconsistent with case law such as </w:t>
      </w:r>
      <w:r w:rsidRPr="005010D4">
        <w:rPr>
          <w:rStyle w:val="Emphasis"/>
          <w:rFonts w:eastAsiaTheme="majorEastAsia"/>
          <w:i w:val="0"/>
          <w:iCs w:val="0"/>
        </w:rPr>
        <w:t>Rogers v Parish (Scarborough) Ltd</w:t>
      </w:r>
      <w:r w:rsidRPr="005010D4">
        <w:t xml:space="preserve"> [1987] QB 933, which held that a car’s mechanical defects rendered it unmerchantable, even though it could still drive. By analogy, a forged painting should be considered </w:t>
      </w:r>
      <w:r w:rsidRPr="005010D4">
        <w:rPr>
          <w:rStyle w:val="Emphasis"/>
          <w:rFonts w:eastAsiaTheme="majorEastAsia"/>
          <w:i w:val="0"/>
          <w:iCs w:val="0"/>
        </w:rPr>
        <w:t>unmerchantable</w:t>
      </w:r>
      <w:r w:rsidRPr="005010D4">
        <w:t xml:space="preserve"> if it fails to meet the buyer’s reasonable expectations of authenticity.</w:t>
      </w:r>
    </w:p>
    <w:p w14:paraId="30FA0E0B" w14:textId="77777777" w:rsidR="005010D4" w:rsidRPr="005010D4" w:rsidRDefault="005010D4" w:rsidP="005010D4">
      <w:pPr>
        <w:pStyle w:val="NormalWeb"/>
        <w:spacing w:line="360" w:lineRule="auto"/>
      </w:pPr>
      <w:r w:rsidRPr="005010D4">
        <w:t xml:space="preserve">The key issue is that by narrowing section 13, the court in </w:t>
      </w:r>
      <w:proofErr w:type="spellStart"/>
      <w:r w:rsidRPr="005010D4">
        <w:rPr>
          <w:rStyle w:val="Emphasis"/>
          <w:rFonts w:eastAsiaTheme="majorEastAsia"/>
          <w:i w:val="0"/>
          <w:iCs w:val="0"/>
        </w:rPr>
        <w:t>Harlingdon</w:t>
      </w:r>
      <w:proofErr w:type="spellEnd"/>
      <w:r w:rsidRPr="005010D4">
        <w:t xml:space="preserve"> implicitly pushes buyers towards section 14(2), which provides a </w:t>
      </w:r>
      <w:r w:rsidRPr="005010D4">
        <w:rPr>
          <w:rStyle w:val="Emphasis"/>
          <w:rFonts w:eastAsiaTheme="majorEastAsia"/>
          <w:i w:val="0"/>
          <w:iCs w:val="0"/>
        </w:rPr>
        <w:t>less effective remedy</w:t>
      </w:r>
      <w:r w:rsidRPr="005010D4">
        <w:t xml:space="preserve"> for misattributions:</w:t>
      </w:r>
    </w:p>
    <w:p w14:paraId="03F9776B" w14:textId="77777777" w:rsidR="005010D4" w:rsidRPr="005010D4" w:rsidRDefault="005010D4" w:rsidP="005010D4">
      <w:pPr>
        <w:numPr>
          <w:ilvl w:val="0"/>
          <w:numId w:val="9"/>
        </w:numPr>
        <w:spacing w:before="100" w:beforeAutospacing="1" w:after="100" w:afterAutospacing="1" w:line="360" w:lineRule="auto"/>
        <w:rPr>
          <w:rFonts w:ascii="Times New Roman" w:hAnsi="Times New Roman"/>
        </w:rPr>
      </w:pPr>
      <w:r w:rsidRPr="005010D4">
        <w:rPr>
          <w:rFonts w:ascii="Times New Roman" w:hAnsi="Times New Roman"/>
        </w:rPr>
        <w:t xml:space="preserve">Section 13 treats misdescription as a </w:t>
      </w:r>
      <w:r w:rsidRPr="005010D4">
        <w:rPr>
          <w:rStyle w:val="Emphasis"/>
          <w:rFonts w:ascii="Times New Roman" w:eastAsiaTheme="majorEastAsia" w:hAnsi="Times New Roman"/>
          <w:i w:val="0"/>
          <w:iCs w:val="0"/>
        </w:rPr>
        <w:t>breach of condition</w:t>
      </w:r>
      <w:r w:rsidRPr="005010D4">
        <w:rPr>
          <w:rFonts w:ascii="Times New Roman" w:hAnsi="Times New Roman"/>
        </w:rPr>
        <w:t>, allowing the buyer to reject the goods.</w:t>
      </w:r>
    </w:p>
    <w:p w14:paraId="1466F8EC" w14:textId="77777777" w:rsidR="005010D4" w:rsidRPr="005010D4" w:rsidRDefault="005010D4" w:rsidP="005010D4">
      <w:pPr>
        <w:numPr>
          <w:ilvl w:val="0"/>
          <w:numId w:val="9"/>
        </w:numPr>
        <w:spacing w:before="100" w:beforeAutospacing="1" w:after="100" w:afterAutospacing="1" w:line="360" w:lineRule="auto"/>
        <w:rPr>
          <w:rFonts w:ascii="Times New Roman" w:hAnsi="Times New Roman"/>
        </w:rPr>
      </w:pPr>
      <w:r w:rsidRPr="005010D4">
        <w:rPr>
          <w:rFonts w:ascii="Times New Roman" w:hAnsi="Times New Roman"/>
        </w:rPr>
        <w:t xml:space="preserve">Section 14(2) treats quality defects as a </w:t>
      </w:r>
      <w:r w:rsidRPr="005010D4">
        <w:rPr>
          <w:rStyle w:val="Emphasis"/>
          <w:rFonts w:ascii="Times New Roman" w:eastAsiaTheme="majorEastAsia" w:hAnsi="Times New Roman"/>
          <w:i w:val="0"/>
          <w:iCs w:val="0"/>
        </w:rPr>
        <w:t>breach of warranty</w:t>
      </w:r>
      <w:r w:rsidRPr="005010D4">
        <w:rPr>
          <w:rFonts w:ascii="Times New Roman" w:hAnsi="Times New Roman"/>
        </w:rPr>
        <w:t>, limiting the buyer’s remedy to damages.</w:t>
      </w:r>
    </w:p>
    <w:p w14:paraId="4D68404A" w14:textId="77777777" w:rsidR="005010D4" w:rsidRPr="005010D4" w:rsidRDefault="005010D4" w:rsidP="005010D4">
      <w:pPr>
        <w:pStyle w:val="NormalWeb"/>
        <w:spacing w:line="360" w:lineRule="auto"/>
      </w:pPr>
      <w:r w:rsidRPr="005010D4">
        <w:t xml:space="preserve">Brown suggests that this shift in judicial reasoning weakens buyer protection and creates ambiguity in fine art sales, where the boundary between </w:t>
      </w:r>
      <w:r w:rsidRPr="005010D4">
        <w:rPr>
          <w:rStyle w:val="Emphasis"/>
          <w:rFonts w:eastAsiaTheme="majorEastAsia"/>
          <w:i w:val="0"/>
          <w:iCs w:val="0"/>
        </w:rPr>
        <w:t>description</w:t>
      </w:r>
      <w:r w:rsidRPr="005010D4">
        <w:t xml:space="preserve"> and </w:t>
      </w:r>
      <w:r w:rsidRPr="005010D4">
        <w:rPr>
          <w:rStyle w:val="Emphasis"/>
          <w:rFonts w:eastAsiaTheme="majorEastAsia"/>
          <w:i w:val="0"/>
          <w:iCs w:val="0"/>
        </w:rPr>
        <w:t>quality</w:t>
      </w:r>
      <w:r w:rsidRPr="005010D4">
        <w:t xml:space="preserve"> is often blurred.</w:t>
      </w:r>
    </w:p>
    <w:p w14:paraId="33772675" w14:textId="77777777" w:rsidR="005010D4" w:rsidRPr="005010D4" w:rsidRDefault="005010D4" w:rsidP="005010D4">
      <w:pPr>
        <w:pStyle w:val="Heading4"/>
        <w:spacing w:line="360" w:lineRule="auto"/>
        <w:rPr>
          <w:rFonts w:ascii="Times New Roman" w:hAnsi="Times New Roman" w:cs="Times New Roman"/>
          <w:i w:val="0"/>
          <w:iCs w:val="0"/>
        </w:rPr>
      </w:pPr>
      <w:r w:rsidRPr="005010D4">
        <w:rPr>
          <w:rStyle w:val="Strong"/>
          <w:rFonts w:ascii="Times New Roman" w:hAnsi="Times New Roman" w:cs="Times New Roman"/>
          <w:b w:val="0"/>
          <w:bCs w:val="0"/>
          <w:i w:val="0"/>
          <w:iCs w:val="0"/>
        </w:rPr>
        <w:t>4. The Risk of Undermining the Unfair Contract Terms Act 1977</w:t>
      </w:r>
    </w:p>
    <w:p w14:paraId="7D0B2C98" w14:textId="77777777" w:rsidR="005010D4" w:rsidRPr="005010D4" w:rsidRDefault="005010D4" w:rsidP="005010D4">
      <w:pPr>
        <w:pStyle w:val="NormalWeb"/>
        <w:spacing w:line="360" w:lineRule="auto"/>
      </w:pPr>
      <w:r w:rsidRPr="005010D4">
        <w:t xml:space="preserve">A major concern arising from </w:t>
      </w:r>
      <w:proofErr w:type="spellStart"/>
      <w:r w:rsidRPr="005010D4">
        <w:rPr>
          <w:rStyle w:val="Emphasis"/>
          <w:rFonts w:eastAsiaTheme="majorEastAsia"/>
          <w:i w:val="0"/>
          <w:iCs w:val="0"/>
        </w:rPr>
        <w:t>Harlingdon</w:t>
      </w:r>
      <w:proofErr w:type="spellEnd"/>
      <w:r w:rsidRPr="005010D4">
        <w:t xml:space="preserve"> is the potential erosion of consumer protection under the </w:t>
      </w:r>
      <w:r w:rsidRPr="005010D4">
        <w:rPr>
          <w:rStyle w:val="Emphasis"/>
          <w:rFonts w:eastAsiaTheme="majorEastAsia"/>
          <w:i w:val="0"/>
          <w:iCs w:val="0"/>
        </w:rPr>
        <w:t>Unfair Contract Terms Act 1977 (UCTA 1977)</w:t>
      </w:r>
      <w:r w:rsidRPr="005010D4">
        <w:t xml:space="preserve">. The Act restricts the extent to which sellers can exclude or limit liability for breaches of statutory implied terms in consumer contracts. However, by allowing sellers to use </w:t>
      </w:r>
      <w:r w:rsidRPr="005010D4">
        <w:rPr>
          <w:rStyle w:val="Emphasis"/>
          <w:rFonts w:eastAsiaTheme="majorEastAsia"/>
          <w:i w:val="0"/>
          <w:iCs w:val="0"/>
        </w:rPr>
        <w:t>contractual disclaimers</w:t>
      </w:r>
      <w:r w:rsidRPr="005010D4">
        <w:t xml:space="preserve"> to sidestep section 13, the decision in </w:t>
      </w:r>
      <w:proofErr w:type="spellStart"/>
      <w:r w:rsidRPr="005010D4">
        <w:rPr>
          <w:rStyle w:val="Emphasis"/>
          <w:rFonts w:eastAsiaTheme="majorEastAsia"/>
          <w:i w:val="0"/>
          <w:iCs w:val="0"/>
        </w:rPr>
        <w:t>Harlingdon</w:t>
      </w:r>
      <w:proofErr w:type="spellEnd"/>
      <w:r w:rsidRPr="005010D4">
        <w:t xml:space="preserve"> opens the door to practices that could </w:t>
      </w:r>
      <w:r w:rsidRPr="005010D4">
        <w:rPr>
          <w:rStyle w:val="Emphasis"/>
          <w:rFonts w:eastAsiaTheme="majorEastAsia"/>
          <w:i w:val="0"/>
          <w:iCs w:val="0"/>
        </w:rPr>
        <w:t>circumvent UCTA 1977</w:t>
      </w:r>
      <w:r w:rsidRPr="005010D4">
        <w:t>.</w:t>
      </w:r>
    </w:p>
    <w:p w14:paraId="30BAB81C" w14:textId="77777777" w:rsidR="005010D4" w:rsidRPr="005010D4" w:rsidRDefault="005010D4" w:rsidP="005010D4">
      <w:pPr>
        <w:pStyle w:val="NormalWeb"/>
        <w:spacing w:line="360" w:lineRule="auto"/>
      </w:pPr>
      <w:r w:rsidRPr="005010D4">
        <w:t>Brown highlights the risk that:</w:t>
      </w:r>
    </w:p>
    <w:p w14:paraId="0635CB70" w14:textId="77777777" w:rsidR="005010D4" w:rsidRPr="005010D4" w:rsidRDefault="005010D4" w:rsidP="005010D4">
      <w:pPr>
        <w:numPr>
          <w:ilvl w:val="0"/>
          <w:numId w:val="10"/>
        </w:numPr>
        <w:spacing w:before="100" w:beforeAutospacing="1" w:after="100" w:afterAutospacing="1" w:line="360" w:lineRule="auto"/>
        <w:rPr>
          <w:rFonts w:ascii="Times New Roman" w:hAnsi="Times New Roman"/>
        </w:rPr>
      </w:pPr>
      <w:r w:rsidRPr="005010D4">
        <w:rPr>
          <w:rFonts w:ascii="Times New Roman" w:hAnsi="Times New Roman"/>
        </w:rPr>
        <w:lastRenderedPageBreak/>
        <w:t>Sellers could systematically disclaim responsibility for product descriptions, reducing section 13 to a near-nullity.</w:t>
      </w:r>
    </w:p>
    <w:p w14:paraId="58CA432E" w14:textId="77777777" w:rsidR="005010D4" w:rsidRPr="005010D4" w:rsidRDefault="005010D4" w:rsidP="005010D4">
      <w:pPr>
        <w:numPr>
          <w:ilvl w:val="0"/>
          <w:numId w:val="10"/>
        </w:numPr>
        <w:spacing w:before="100" w:beforeAutospacing="1" w:after="100" w:afterAutospacing="1" w:line="360" w:lineRule="auto"/>
        <w:rPr>
          <w:rFonts w:ascii="Times New Roman" w:hAnsi="Times New Roman"/>
        </w:rPr>
      </w:pPr>
      <w:r w:rsidRPr="005010D4">
        <w:rPr>
          <w:rFonts w:ascii="Times New Roman" w:hAnsi="Times New Roman"/>
        </w:rPr>
        <w:t>The burden of proof shifts onto buyers to demonstrate reliance, making it harder to establish a breach of contract.</w:t>
      </w:r>
    </w:p>
    <w:p w14:paraId="62801E17" w14:textId="77777777" w:rsidR="005010D4" w:rsidRPr="005010D4" w:rsidRDefault="005010D4" w:rsidP="005010D4">
      <w:pPr>
        <w:numPr>
          <w:ilvl w:val="0"/>
          <w:numId w:val="10"/>
        </w:numPr>
        <w:spacing w:before="100" w:beforeAutospacing="1" w:after="100" w:afterAutospacing="1" w:line="360" w:lineRule="auto"/>
        <w:rPr>
          <w:rFonts w:ascii="Times New Roman" w:hAnsi="Times New Roman"/>
        </w:rPr>
      </w:pPr>
      <w:r w:rsidRPr="005010D4">
        <w:rPr>
          <w:rFonts w:ascii="Times New Roman" w:hAnsi="Times New Roman"/>
        </w:rPr>
        <w:t>The ruling could be used as a precedent to undermine implied terms in other commercial contexts beyond art sales.</w:t>
      </w:r>
    </w:p>
    <w:p w14:paraId="680F4526" w14:textId="77777777" w:rsidR="005010D4" w:rsidRPr="005010D4" w:rsidRDefault="005010D4" w:rsidP="005010D4">
      <w:pPr>
        <w:pStyle w:val="NormalWeb"/>
        <w:spacing w:line="360" w:lineRule="auto"/>
      </w:pPr>
      <w:r w:rsidRPr="005010D4">
        <w:t xml:space="preserve">Stuart-Smith LJ’s dissent is again relevant here. He warns that courts should be vigilant against </w:t>
      </w:r>
      <w:r w:rsidRPr="005010D4">
        <w:rPr>
          <w:rStyle w:val="Emphasis"/>
          <w:rFonts w:eastAsiaTheme="majorEastAsia"/>
          <w:i w:val="0"/>
          <w:iCs w:val="0"/>
        </w:rPr>
        <w:t>“insidious practices”</w:t>
      </w:r>
      <w:r w:rsidRPr="005010D4">
        <w:t xml:space="preserve"> that seek to erode statutory safeguards. His view aligns with the principles in </w:t>
      </w:r>
      <w:r w:rsidRPr="005010D4">
        <w:rPr>
          <w:rStyle w:val="Emphasis"/>
          <w:rFonts w:eastAsiaTheme="majorEastAsia"/>
          <w:i w:val="0"/>
          <w:iCs w:val="0"/>
        </w:rPr>
        <w:t>Hughes v Hall</w:t>
      </w:r>
      <w:r w:rsidRPr="005010D4">
        <w:t xml:space="preserve"> [1981] RTR 430 and </w:t>
      </w:r>
      <w:r w:rsidRPr="005010D4">
        <w:rPr>
          <w:rStyle w:val="Emphasis"/>
          <w:rFonts w:eastAsiaTheme="majorEastAsia"/>
          <w:i w:val="0"/>
          <w:iCs w:val="0"/>
        </w:rPr>
        <w:t>Cavendish-Woodhouse Ltd v Manley</w:t>
      </w:r>
      <w:r w:rsidRPr="005010D4">
        <w:t xml:space="preserve"> (1984) 82 LGR 376, where courts scrutinised attempts to evade consumer protection laws.</w:t>
      </w:r>
    </w:p>
    <w:p w14:paraId="2CDCB91E" w14:textId="77777777" w:rsidR="005010D4" w:rsidRPr="005010D4" w:rsidRDefault="005010D4" w:rsidP="005010D4">
      <w:pPr>
        <w:pStyle w:val="Heading4"/>
        <w:spacing w:line="360" w:lineRule="auto"/>
        <w:rPr>
          <w:rFonts w:ascii="Times New Roman" w:hAnsi="Times New Roman" w:cs="Times New Roman"/>
          <w:i w:val="0"/>
          <w:iCs w:val="0"/>
        </w:rPr>
      </w:pPr>
      <w:r w:rsidRPr="005010D4">
        <w:rPr>
          <w:rStyle w:val="Strong"/>
          <w:rFonts w:ascii="Times New Roman" w:hAnsi="Times New Roman" w:cs="Times New Roman"/>
          <w:b w:val="0"/>
          <w:bCs w:val="0"/>
          <w:i w:val="0"/>
          <w:iCs w:val="0"/>
        </w:rPr>
        <w:t>5. Broader Implications for Commercial Law</w:t>
      </w:r>
    </w:p>
    <w:p w14:paraId="2AB68679" w14:textId="77777777" w:rsidR="005010D4" w:rsidRPr="005010D4" w:rsidRDefault="005010D4" w:rsidP="005010D4">
      <w:pPr>
        <w:pStyle w:val="NormalWeb"/>
        <w:spacing w:line="360" w:lineRule="auto"/>
      </w:pPr>
      <w:r w:rsidRPr="005010D4">
        <w:t xml:space="preserve">Brown argues that the judgment in </w:t>
      </w:r>
      <w:proofErr w:type="spellStart"/>
      <w:r w:rsidRPr="005010D4">
        <w:rPr>
          <w:rStyle w:val="Emphasis"/>
          <w:rFonts w:eastAsiaTheme="majorEastAsia"/>
          <w:i w:val="0"/>
          <w:iCs w:val="0"/>
        </w:rPr>
        <w:t>Harlingdon</w:t>
      </w:r>
      <w:proofErr w:type="spellEnd"/>
      <w:r w:rsidRPr="005010D4">
        <w:t xml:space="preserve"> raises broader questions about the </w:t>
      </w:r>
      <w:r w:rsidRPr="005010D4">
        <w:rPr>
          <w:rStyle w:val="Emphasis"/>
          <w:rFonts w:eastAsiaTheme="majorEastAsia"/>
          <w:i w:val="0"/>
          <w:iCs w:val="0"/>
        </w:rPr>
        <w:t>balance between freedom of contract and statutory regulation</w:t>
      </w:r>
      <w:r w:rsidRPr="005010D4">
        <w:t xml:space="preserve"> in commercial law. The case highlights the growing judicial preference for </w:t>
      </w:r>
      <w:r w:rsidRPr="005010D4">
        <w:rPr>
          <w:rStyle w:val="Emphasis"/>
          <w:rFonts w:eastAsiaTheme="majorEastAsia"/>
          <w:i w:val="0"/>
          <w:iCs w:val="0"/>
        </w:rPr>
        <w:t>buyer autonomy</w:t>
      </w:r>
      <w:r w:rsidRPr="005010D4">
        <w:t xml:space="preserve"> over </w:t>
      </w:r>
      <w:r w:rsidRPr="005010D4">
        <w:rPr>
          <w:rStyle w:val="Emphasis"/>
          <w:rFonts w:eastAsiaTheme="majorEastAsia"/>
          <w:i w:val="0"/>
          <w:iCs w:val="0"/>
        </w:rPr>
        <w:t>seller accountability</w:t>
      </w:r>
      <w:r w:rsidRPr="005010D4">
        <w:t>, a shift that could have significant consequences in industries beyond fine art.</w:t>
      </w:r>
    </w:p>
    <w:p w14:paraId="375189E1" w14:textId="77777777" w:rsidR="005010D4" w:rsidRPr="005010D4" w:rsidRDefault="005010D4" w:rsidP="005010D4">
      <w:pPr>
        <w:pStyle w:val="NormalWeb"/>
        <w:spacing w:line="360" w:lineRule="auto"/>
      </w:pPr>
      <w:r w:rsidRPr="005010D4">
        <w:t>The key commercial law concerns include:</w:t>
      </w:r>
    </w:p>
    <w:p w14:paraId="4E233FE0" w14:textId="77777777" w:rsidR="005010D4" w:rsidRPr="005010D4" w:rsidRDefault="005010D4" w:rsidP="005010D4">
      <w:pPr>
        <w:numPr>
          <w:ilvl w:val="0"/>
          <w:numId w:val="11"/>
        </w:numPr>
        <w:spacing w:before="100" w:beforeAutospacing="1" w:after="100" w:afterAutospacing="1" w:line="360" w:lineRule="auto"/>
        <w:rPr>
          <w:rFonts w:ascii="Times New Roman" w:hAnsi="Times New Roman"/>
        </w:rPr>
      </w:pPr>
      <w:r w:rsidRPr="005010D4">
        <w:rPr>
          <w:rFonts w:ascii="Times New Roman" w:hAnsi="Times New Roman"/>
        </w:rPr>
        <w:t xml:space="preserve">The extent to which </w:t>
      </w:r>
      <w:r w:rsidRPr="005010D4">
        <w:rPr>
          <w:rStyle w:val="Emphasis"/>
          <w:rFonts w:ascii="Times New Roman" w:eastAsiaTheme="majorEastAsia" w:hAnsi="Times New Roman"/>
          <w:i w:val="0"/>
          <w:iCs w:val="0"/>
        </w:rPr>
        <w:t>contractual disclaimers</w:t>
      </w:r>
      <w:r w:rsidRPr="005010D4">
        <w:rPr>
          <w:rFonts w:ascii="Times New Roman" w:hAnsi="Times New Roman"/>
        </w:rPr>
        <w:t xml:space="preserve"> should override statutory terms.</w:t>
      </w:r>
    </w:p>
    <w:p w14:paraId="395644A0" w14:textId="77777777" w:rsidR="005010D4" w:rsidRPr="005010D4" w:rsidRDefault="005010D4" w:rsidP="005010D4">
      <w:pPr>
        <w:numPr>
          <w:ilvl w:val="0"/>
          <w:numId w:val="11"/>
        </w:numPr>
        <w:spacing w:before="100" w:beforeAutospacing="1" w:after="100" w:afterAutospacing="1" w:line="360" w:lineRule="auto"/>
        <w:rPr>
          <w:rFonts w:ascii="Times New Roman" w:hAnsi="Times New Roman"/>
        </w:rPr>
      </w:pPr>
      <w:r w:rsidRPr="005010D4">
        <w:rPr>
          <w:rFonts w:ascii="Times New Roman" w:hAnsi="Times New Roman"/>
        </w:rPr>
        <w:t xml:space="preserve">The risk of setting a precedent where </w:t>
      </w:r>
      <w:r w:rsidRPr="005010D4">
        <w:rPr>
          <w:rStyle w:val="Emphasis"/>
          <w:rFonts w:ascii="Times New Roman" w:eastAsiaTheme="majorEastAsia" w:hAnsi="Times New Roman"/>
          <w:i w:val="0"/>
          <w:iCs w:val="0"/>
        </w:rPr>
        <w:t>buyer diligence</w:t>
      </w:r>
      <w:r w:rsidRPr="005010D4">
        <w:rPr>
          <w:rFonts w:ascii="Times New Roman" w:hAnsi="Times New Roman"/>
        </w:rPr>
        <w:t xml:space="preserve"> becomes the primary criterion for determining seller liability.</w:t>
      </w:r>
    </w:p>
    <w:p w14:paraId="3D937635" w14:textId="77777777" w:rsidR="005010D4" w:rsidRPr="005010D4" w:rsidRDefault="005010D4" w:rsidP="005010D4">
      <w:pPr>
        <w:numPr>
          <w:ilvl w:val="0"/>
          <w:numId w:val="11"/>
        </w:numPr>
        <w:spacing w:before="100" w:beforeAutospacing="1" w:after="100" w:afterAutospacing="1" w:line="360" w:lineRule="auto"/>
        <w:rPr>
          <w:rFonts w:ascii="Times New Roman" w:hAnsi="Times New Roman"/>
        </w:rPr>
      </w:pPr>
      <w:r w:rsidRPr="005010D4">
        <w:rPr>
          <w:rFonts w:ascii="Times New Roman" w:hAnsi="Times New Roman"/>
        </w:rPr>
        <w:t xml:space="preserve">The tension between protecting </w:t>
      </w:r>
      <w:r w:rsidRPr="005010D4">
        <w:rPr>
          <w:rStyle w:val="Emphasis"/>
          <w:rFonts w:ascii="Times New Roman" w:eastAsiaTheme="majorEastAsia" w:hAnsi="Times New Roman"/>
          <w:i w:val="0"/>
          <w:iCs w:val="0"/>
        </w:rPr>
        <w:t>business efficacy</w:t>
      </w:r>
      <w:r w:rsidRPr="005010D4">
        <w:rPr>
          <w:rFonts w:ascii="Times New Roman" w:hAnsi="Times New Roman"/>
        </w:rPr>
        <w:t xml:space="preserve"> and </w:t>
      </w:r>
      <w:r w:rsidRPr="005010D4">
        <w:rPr>
          <w:rStyle w:val="Emphasis"/>
          <w:rFonts w:ascii="Times New Roman" w:eastAsiaTheme="majorEastAsia" w:hAnsi="Times New Roman"/>
          <w:i w:val="0"/>
          <w:iCs w:val="0"/>
        </w:rPr>
        <w:t>consumer rights</w:t>
      </w:r>
      <w:r w:rsidRPr="005010D4">
        <w:rPr>
          <w:rFonts w:ascii="Times New Roman" w:hAnsi="Times New Roman"/>
        </w:rPr>
        <w:t xml:space="preserve"> in commercial transactions.</w:t>
      </w:r>
    </w:p>
    <w:p w14:paraId="5D2A9F0D" w14:textId="77777777" w:rsidR="005010D4" w:rsidRPr="005010D4" w:rsidRDefault="005010D4" w:rsidP="005010D4">
      <w:pPr>
        <w:pStyle w:val="NormalWeb"/>
        <w:spacing w:line="360" w:lineRule="auto"/>
      </w:pPr>
      <w:r w:rsidRPr="005010D4">
        <w:t xml:space="preserve">Brown ultimately suggests that </w:t>
      </w:r>
      <w:proofErr w:type="spellStart"/>
      <w:r w:rsidRPr="005010D4">
        <w:rPr>
          <w:rStyle w:val="Emphasis"/>
          <w:rFonts w:eastAsiaTheme="majorEastAsia"/>
          <w:i w:val="0"/>
          <w:iCs w:val="0"/>
        </w:rPr>
        <w:t>Harlingdon</w:t>
      </w:r>
      <w:proofErr w:type="spellEnd"/>
      <w:r w:rsidRPr="005010D4">
        <w:t xml:space="preserve"> reflects a judicial trend towards </w:t>
      </w:r>
      <w:r w:rsidRPr="005010D4">
        <w:rPr>
          <w:rStyle w:val="Emphasis"/>
          <w:rFonts w:eastAsiaTheme="majorEastAsia"/>
          <w:i w:val="0"/>
          <w:iCs w:val="0"/>
        </w:rPr>
        <w:t>contractual minimalism</w:t>
      </w:r>
      <w:r w:rsidRPr="005010D4">
        <w:t>, where statutory protections are interpreted narrowly to preserve commercial flexibility. While this may benefit sellers, it comes at the cost of reducing certainty and fairness for buyers.</w:t>
      </w:r>
    </w:p>
    <w:p w14:paraId="4724A0B8" w14:textId="77777777" w:rsidR="005010D4" w:rsidRPr="005010D4" w:rsidRDefault="005010D4" w:rsidP="005010D4">
      <w:pPr>
        <w:pStyle w:val="Heading4"/>
        <w:spacing w:line="360" w:lineRule="auto"/>
        <w:rPr>
          <w:rFonts w:ascii="Times New Roman" w:hAnsi="Times New Roman" w:cs="Times New Roman"/>
          <w:i w:val="0"/>
          <w:iCs w:val="0"/>
        </w:rPr>
      </w:pPr>
      <w:r w:rsidRPr="005010D4">
        <w:rPr>
          <w:rStyle w:val="Strong"/>
          <w:rFonts w:ascii="Times New Roman" w:hAnsi="Times New Roman" w:cs="Times New Roman"/>
          <w:b w:val="0"/>
          <w:bCs w:val="0"/>
          <w:i w:val="0"/>
          <w:iCs w:val="0"/>
        </w:rPr>
        <w:lastRenderedPageBreak/>
        <w:t>6. Conclusion: The Need for Judicial Reassessment</w:t>
      </w:r>
    </w:p>
    <w:p w14:paraId="63369B5E" w14:textId="77777777" w:rsidR="005010D4" w:rsidRPr="005010D4" w:rsidRDefault="005010D4" w:rsidP="005010D4">
      <w:pPr>
        <w:pStyle w:val="NormalWeb"/>
        <w:spacing w:line="360" w:lineRule="auto"/>
      </w:pPr>
      <w:r w:rsidRPr="005010D4">
        <w:t xml:space="preserve">The reliance-based interpretation of section 13 in </w:t>
      </w:r>
      <w:proofErr w:type="spellStart"/>
      <w:r w:rsidRPr="005010D4">
        <w:rPr>
          <w:rStyle w:val="Emphasis"/>
          <w:rFonts w:eastAsiaTheme="majorEastAsia"/>
          <w:i w:val="0"/>
          <w:iCs w:val="0"/>
        </w:rPr>
        <w:t>Harlingdon</w:t>
      </w:r>
      <w:proofErr w:type="spellEnd"/>
      <w:r w:rsidRPr="005010D4">
        <w:t xml:space="preserve"> represents a departure from established case law and raises concerns about </w:t>
      </w:r>
      <w:r w:rsidRPr="005010D4">
        <w:rPr>
          <w:rStyle w:val="Emphasis"/>
          <w:rFonts w:eastAsiaTheme="majorEastAsia"/>
          <w:i w:val="0"/>
          <w:iCs w:val="0"/>
        </w:rPr>
        <w:t>contractual disclaimers eroding statutory protections</w:t>
      </w:r>
      <w:r w:rsidRPr="005010D4">
        <w:t>. Brown argues that:</w:t>
      </w:r>
    </w:p>
    <w:p w14:paraId="40F34DE6" w14:textId="77777777" w:rsidR="005010D4" w:rsidRPr="005010D4" w:rsidRDefault="005010D4" w:rsidP="005010D4">
      <w:pPr>
        <w:numPr>
          <w:ilvl w:val="0"/>
          <w:numId w:val="12"/>
        </w:numPr>
        <w:spacing w:before="100" w:beforeAutospacing="1" w:after="100" w:afterAutospacing="1" w:line="360" w:lineRule="auto"/>
        <w:rPr>
          <w:rFonts w:ascii="Times New Roman" w:hAnsi="Times New Roman"/>
        </w:rPr>
      </w:pPr>
      <w:r w:rsidRPr="005010D4">
        <w:rPr>
          <w:rFonts w:ascii="Times New Roman" w:hAnsi="Times New Roman"/>
        </w:rPr>
        <w:t xml:space="preserve">The decision weakens </w:t>
      </w:r>
      <w:r w:rsidRPr="005010D4">
        <w:rPr>
          <w:rStyle w:val="Emphasis"/>
          <w:rFonts w:ascii="Times New Roman" w:eastAsiaTheme="majorEastAsia" w:hAnsi="Times New Roman"/>
          <w:i w:val="0"/>
          <w:iCs w:val="0"/>
        </w:rPr>
        <w:t>section 13</w:t>
      </w:r>
      <w:r w:rsidRPr="005010D4">
        <w:rPr>
          <w:rFonts w:ascii="Times New Roman" w:hAnsi="Times New Roman"/>
        </w:rPr>
        <w:t xml:space="preserve"> by making reliance a threshold requirement.</w:t>
      </w:r>
    </w:p>
    <w:p w14:paraId="510047D8" w14:textId="77777777" w:rsidR="005010D4" w:rsidRPr="005010D4" w:rsidRDefault="005010D4" w:rsidP="005010D4">
      <w:pPr>
        <w:numPr>
          <w:ilvl w:val="0"/>
          <w:numId w:val="12"/>
        </w:numPr>
        <w:spacing w:before="100" w:beforeAutospacing="1" w:after="100" w:afterAutospacing="1" w:line="360" w:lineRule="auto"/>
        <w:rPr>
          <w:rFonts w:ascii="Times New Roman" w:hAnsi="Times New Roman"/>
        </w:rPr>
      </w:pPr>
      <w:r w:rsidRPr="005010D4">
        <w:rPr>
          <w:rFonts w:ascii="Times New Roman" w:hAnsi="Times New Roman"/>
        </w:rPr>
        <w:t xml:space="preserve">It opens the door to </w:t>
      </w:r>
      <w:r w:rsidRPr="005010D4">
        <w:rPr>
          <w:rStyle w:val="Emphasis"/>
          <w:rFonts w:ascii="Times New Roman" w:eastAsiaTheme="majorEastAsia" w:hAnsi="Times New Roman"/>
          <w:i w:val="0"/>
          <w:iCs w:val="0"/>
        </w:rPr>
        <w:t>seller disclaimers</w:t>
      </w:r>
      <w:r w:rsidRPr="005010D4">
        <w:rPr>
          <w:rFonts w:ascii="Times New Roman" w:hAnsi="Times New Roman"/>
        </w:rPr>
        <w:t>, reducing liability for misattributions.</w:t>
      </w:r>
    </w:p>
    <w:p w14:paraId="12D11AC3" w14:textId="77777777" w:rsidR="005010D4" w:rsidRPr="005010D4" w:rsidRDefault="005010D4" w:rsidP="005010D4">
      <w:pPr>
        <w:numPr>
          <w:ilvl w:val="0"/>
          <w:numId w:val="12"/>
        </w:numPr>
        <w:spacing w:before="100" w:beforeAutospacing="1" w:after="100" w:afterAutospacing="1" w:line="360" w:lineRule="auto"/>
        <w:rPr>
          <w:rFonts w:ascii="Times New Roman" w:hAnsi="Times New Roman"/>
        </w:rPr>
      </w:pPr>
      <w:r w:rsidRPr="005010D4">
        <w:rPr>
          <w:rFonts w:ascii="Times New Roman" w:hAnsi="Times New Roman"/>
        </w:rPr>
        <w:t xml:space="preserve">It potentially undermines </w:t>
      </w:r>
      <w:r w:rsidRPr="005010D4">
        <w:rPr>
          <w:rStyle w:val="Emphasis"/>
          <w:rFonts w:ascii="Times New Roman" w:eastAsiaTheme="majorEastAsia" w:hAnsi="Times New Roman"/>
          <w:i w:val="0"/>
          <w:iCs w:val="0"/>
        </w:rPr>
        <w:t>UCTA 1977</w:t>
      </w:r>
      <w:r w:rsidRPr="005010D4">
        <w:rPr>
          <w:rFonts w:ascii="Times New Roman" w:hAnsi="Times New Roman"/>
        </w:rPr>
        <w:t>, allowing unfair contract terms to limit consumer rights.</w:t>
      </w:r>
    </w:p>
    <w:p w14:paraId="7AFC76E4" w14:textId="77777777" w:rsidR="005010D4" w:rsidRPr="005010D4" w:rsidRDefault="005010D4" w:rsidP="005010D4">
      <w:pPr>
        <w:numPr>
          <w:ilvl w:val="0"/>
          <w:numId w:val="12"/>
        </w:numPr>
        <w:spacing w:before="100" w:beforeAutospacing="1" w:after="100" w:afterAutospacing="1" w:line="360" w:lineRule="auto"/>
        <w:rPr>
          <w:rFonts w:ascii="Times New Roman" w:hAnsi="Times New Roman"/>
        </w:rPr>
      </w:pPr>
      <w:r w:rsidRPr="005010D4">
        <w:rPr>
          <w:rFonts w:ascii="Times New Roman" w:hAnsi="Times New Roman"/>
        </w:rPr>
        <w:t xml:space="preserve">It creates </w:t>
      </w:r>
      <w:r w:rsidRPr="005010D4">
        <w:rPr>
          <w:rStyle w:val="Emphasis"/>
          <w:rFonts w:ascii="Times New Roman" w:eastAsiaTheme="majorEastAsia" w:hAnsi="Times New Roman"/>
          <w:i w:val="0"/>
          <w:iCs w:val="0"/>
        </w:rPr>
        <w:t>legal uncertainty</w:t>
      </w:r>
      <w:r w:rsidRPr="005010D4">
        <w:rPr>
          <w:rFonts w:ascii="Times New Roman" w:hAnsi="Times New Roman"/>
        </w:rPr>
        <w:t>, particularly in transactions involving fine art and other unique goods.</w:t>
      </w:r>
    </w:p>
    <w:p w14:paraId="4269F0AE" w14:textId="77777777" w:rsidR="005010D4" w:rsidRPr="005010D4" w:rsidRDefault="005010D4" w:rsidP="005010D4">
      <w:pPr>
        <w:pStyle w:val="NormalWeb"/>
        <w:spacing w:line="360" w:lineRule="auto"/>
      </w:pPr>
      <w:r w:rsidRPr="005010D4">
        <w:t xml:space="preserve">He concludes that courts should reassess the role of </w:t>
      </w:r>
      <w:r w:rsidRPr="005010D4">
        <w:rPr>
          <w:rStyle w:val="Emphasis"/>
          <w:rFonts w:eastAsiaTheme="majorEastAsia"/>
          <w:i w:val="0"/>
          <w:iCs w:val="0"/>
        </w:rPr>
        <w:t>contractual disclaimers</w:t>
      </w:r>
      <w:r w:rsidRPr="005010D4">
        <w:t xml:space="preserve"> in statutory implied terms to ensure that </w:t>
      </w:r>
      <w:r w:rsidRPr="005010D4">
        <w:rPr>
          <w:rStyle w:val="Emphasis"/>
          <w:rFonts w:eastAsiaTheme="majorEastAsia"/>
          <w:i w:val="0"/>
          <w:iCs w:val="0"/>
        </w:rPr>
        <w:t>buyers are not unfairly disadvantaged in commercial transactions</w:t>
      </w:r>
      <w:r w:rsidRPr="005010D4">
        <w:t>.</w:t>
      </w:r>
    </w:p>
    <w:p w14:paraId="0851C659" w14:textId="77777777" w:rsidR="005010D4" w:rsidRPr="005010D4" w:rsidRDefault="005010D4" w:rsidP="005010D4">
      <w:pPr>
        <w:spacing w:before="100" w:beforeAutospacing="1" w:after="100" w:afterAutospacing="1" w:line="360" w:lineRule="auto"/>
        <w:outlineLvl w:val="3"/>
        <w:rPr>
          <w:rFonts w:ascii="Times New Roman" w:hAnsi="Times New Roman"/>
          <w:b/>
          <w:bCs/>
          <w:color w:val="2F5496" w:themeColor="accent1" w:themeShade="BF"/>
          <w:lang w:val="en-HK"/>
        </w:rPr>
      </w:pPr>
      <w:r w:rsidRPr="005010D4">
        <w:rPr>
          <w:rFonts w:ascii="Times New Roman" w:hAnsi="Times New Roman"/>
          <w:b/>
          <w:bCs/>
          <w:color w:val="2F5496" w:themeColor="accent1" w:themeShade="BF"/>
          <w:lang w:val="en-HK"/>
        </w:rPr>
        <w:t>7. Conclusion and Broader Implications</w:t>
      </w:r>
    </w:p>
    <w:p w14:paraId="4432EBAB" w14:textId="77777777" w:rsidR="005010D4" w:rsidRPr="005010D4" w:rsidRDefault="005010D4" w:rsidP="005010D4">
      <w:pPr>
        <w:spacing w:before="100" w:beforeAutospacing="1" w:after="100" w:afterAutospacing="1" w:line="360" w:lineRule="auto"/>
        <w:rPr>
          <w:rFonts w:ascii="Times New Roman" w:hAnsi="Times New Roman"/>
          <w:lang w:val="en-HK"/>
        </w:rPr>
      </w:pPr>
      <w:r w:rsidRPr="005010D4">
        <w:rPr>
          <w:rFonts w:ascii="Times New Roman" w:hAnsi="Times New Roman"/>
          <w:lang w:val="en-HK"/>
        </w:rPr>
        <w:t xml:space="preserve">Brown concludes that </w:t>
      </w:r>
      <w:proofErr w:type="spellStart"/>
      <w:r w:rsidRPr="005010D4">
        <w:rPr>
          <w:rFonts w:ascii="Times New Roman" w:hAnsi="Times New Roman"/>
          <w:lang w:val="en-HK"/>
        </w:rPr>
        <w:t>Harlingdon</w:t>
      </w:r>
      <w:proofErr w:type="spellEnd"/>
      <w:r w:rsidRPr="005010D4">
        <w:rPr>
          <w:rFonts w:ascii="Times New Roman" w:hAnsi="Times New Roman"/>
          <w:lang w:val="en-HK"/>
        </w:rPr>
        <w:t xml:space="preserve"> significantly narrows the scope of section 13 and weakens buyer protection in cases of art forgery. He argues that:</w:t>
      </w:r>
    </w:p>
    <w:p w14:paraId="7087E6D2" w14:textId="77777777" w:rsidR="005010D4" w:rsidRPr="005010D4" w:rsidRDefault="005010D4" w:rsidP="005010D4">
      <w:pPr>
        <w:numPr>
          <w:ilvl w:val="0"/>
          <w:numId w:val="3"/>
        </w:numPr>
        <w:spacing w:before="100" w:beforeAutospacing="1" w:after="100" w:afterAutospacing="1" w:line="360" w:lineRule="auto"/>
        <w:rPr>
          <w:rFonts w:ascii="Times New Roman" w:hAnsi="Times New Roman"/>
          <w:lang w:val="en-HK"/>
        </w:rPr>
      </w:pPr>
      <w:r w:rsidRPr="005010D4">
        <w:rPr>
          <w:rFonts w:ascii="Times New Roman" w:hAnsi="Times New Roman"/>
          <w:lang w:val="en-HK"/>
        </w:rPr>
        <w:t xml:space="preserve">The </w:t>
      </w:r>
      <w:r w:rsidRPr="005010D4">
        <w:rPr>
          <w:rFonts w:ascii="Times New Roman" w:hAnsi="Times New Roman"/>
          <w:b/>
          <w:bCs/>
          <w:lang w:val="en-HK"/>
        </w:rPr>
        <w:t>requirement for buyer reliance undermines statutory protection</w:t>
      </w:r>
      <w:r w:rsidRPr="005010D4">
        <w:rPr>
          <w:rFonts w:ascii="Times New Roman" w:hAnsi="Times New Roman"/>
          <w:lang w:val="en-HK"/>
        </w:rPr>
        <w:t>.</w:t>
      </w:r>
    </w:p>
    <w:p w14:paraId="28AEEF1E" w14:textId="77777777" w:rsidR="005010D4" w:rsidRPr="005010D4" w:rsidRDefault="005010D4" w:rsidP="005010D4">
      <w:pPr>
        <w:numPr>
          <w:ilvl w:val="0"/>
          <w:numId w:val="3"/>
        </w:numPr>
        <w:spacing w:before="100" w:beforeAutospacing="1" w:after="100" w:afterAutospacing="1" w:line="360" w:lineRule="auto"/>
        <w:rPr>
          <w:rFonts w:ascii="Times New Roman" w:hAnsi="Times New Roman"/>
          <w:lang w:val="en-HK"/>
        </w:rPr>
      </w:pPr>
      <w:r w:rsidRPr="005010D4">
        <w:rPr>
          <w:rFonts w:ascii="Times New Roman" w:hAnsi="Times New Roman"/>
          <w:lang w:val="en-HK"/>
        </w:rPr>
        <w:t>The treatment of forgery under section 14(2) is inconsistent with modern consumer expectations.</w:t>
      </w:r>
    </w:p>
    <w:p w14:paraId="5A1809DE" w14:textId="77777777" w:rsidR="005010D4" w:rsidRPr="005010D4" w:rsidRDefault="005010D4" w:rsidP="005010D4">
      <w:pPr>
        <w:numPr>
          <w:ilvl w:val="0"/>
          <w:numId w:val="3"/>
        </w:numPr>
        <w:spacing w:before="100" w:beforeAutospacing="1" w:after="100" w:afterAutospacing="1" w:line="360" w:lineRule="auto"/>
        <w:rPr>
          <w:rFonts w:ascii="Times New Roman" w:hAnsi="Times New Roman"/>
          <w:lang w:val="en-HK"/>
        </w:rPr>
      </w:pPr>
      <w:r w:rsidRPr="005010D4">
        <w:rPr>
          <w:rFonts w:ascii="Times New Roman" w:hAnsi="Times New Roman"/>
          <w:lang w:val="en-HK"/>
        </w:rPr>
        <w:t>Sellers disclaiming expertise can shrink their liability, potentially allowing unfair practices.</w:t>
      </w:r>
    </w:p>
    <w:p w14:paraId="673F7DC9" w14:textId="77777777" w:rsidR="005010D4" w:rsidRPr="005010D4" w:rsidRDefault="005010D4" w:rsidP="005010D4">
      <w:pPr>
        <w:spacing w:before="100" w:beforeAutospacing="1" w:after="100" w:afterAutospacing="1" w:line="360" w:lineRule="auto"/>
        <w:rPr>
          <w:rFonts w:ascii="Times New Roman" w:hAnsi="Times New Roman"/>
          <w:lang w:val="en-HK"/>
        </w:rPr>
      </w:pPr>
      <w:r w:rsidRPr="005010D4">
        <w:rPr>
          <w:rFonts w:ascii="Times New Roman" w:hAnsi="Times New Roman"/>
          <w:lang w:val="en-HK"/>
        </w:rPr>
        <w:t>The ruling raises broader concerns about the intersection of contract law, statutory implied terms, and commercial practices, particularly in high-value transactions involving unique goods like fine art.</w:t>
      </w:r>
    </w:p>
    <w:p w14:paraId="09C976B1" w14:textId="77777777" w:rsidR="005010D4" w:rsidRPr="005010D4" w:rsidRDefault="005010D4" w:rsidP="005010D4">
      <w:pPr>
        <w:spacing w:before="100" w:beforeAutospacing="1" w:after="100" w:afterAutospacing="1" w:line="360" w:lineRule="auto"/>
        <w:outlineLvl w:val="3"/>
        <w:rPr>
          <w:rFonts w:ascii="Times New Roman" w:hAnsi="Times New Roman"/>
          <w:b/>
          <w:bCs/>
          <w:lang w:val="en-HK"/>
        </w:rPr>
      </w:pPr>
      <w:r w:rsidRPr="005010D4">
        <w:rPr>
          <w:rFonts w:ascii="Times New Roman" w:hAnsi="Times New Roman"/>
          <w:b/>
          <w:bCs/>
          <w:lang w:val="en-HK"/>
        </w:rPr>
        <w:t>Final Remarks</w:t>
      </w:r>
    </w:p>
    <w:p w14:paraId="10DB22A5" w14:textId="77777777" w:rsidR="005010D4" w:rsidRPr="005010D4" w:rsidRDefault="005010D4" w:rsidP="005010D4">
      <w:pPr>
        <w:spacing w:before="100" w:beforeAutospacing="1" w:after="100" w:afterAutospacing="1" w:line="360" w:lineRule="auto"/>
        <w:rPr>
          <w:rFonts w:ascii="Times New Roman" w:hAnsi="Times New Roman"/>
          <w:lang w:val="en-HK"/>
        </w:rPr>
      </w:pPr>
      <w:r w:rsidRPr="005010D4">
        <w:rPr>
          <w:rFonts w:ascii="Times New Roman" w:hAnsi="Times New Roman"/>
          <w:lang w:val="en-HK"/>
        </w:rPr>
        <w:t xml:space="preserve">This case and Brown’s analysis illustrate the ongoing legal tension in sales law: balancing buyer expectations, seller liability, and statutory protection. While the decision in </w:t>
      </w:r>
      <w:proofErr w:type="spellStart"/>
      <w:r w:rsidRPr="005010D4">
        <w:rPr>
          <w:rFonts w:ascii="Times New Roman" w:hAnsi="Times New Roman"/>
          <w:lang w:val="en-HK"/>
        </w:rPr>
        <w:t>Harlingdon</w:t>
      </w:r>
      <w:proofErr w:type="spellEnd"/>
      <w:r w:rsidRPr="005010D4">
        <w:rPr>
          <w:rFonts w:ascii="Times New Roman" w:hAnsi="Times New Roman"/>
          <w:lang w:val="en-HK"/>
        </w:rPr>
        <w:t xml:space="preserve"> </w:t>
      </w:r>
      <w:r w:rsidRPr="005010D4">
        <w:rPr>
          <w:rFonts w:ascii="Times New Roman" w:hAnsi="Times New Roman"/>
          <w:lang w:val="en-HK"/>
        </w:rPr>
        <w:lastRenderedPageBreak/>
        <w:t>favoured commercial flexibility, it arguably left art buyers vulnerable, reinforcing the importance of clear statutory guidance and contractual due diligence in art transactions.</w:t>
      </w:r>
    </w:p>
    <w:p w14:paraId="32F53F0C" w14:textId="77777777" w:rsidR="00CD39F1" w:rsidRPr="005010D4" w:rsidRDefault="00CD39F1" w:rsidP="005010D4">
      <w:pPr>
        <w:spacing w:line="360" w:lineRule="auto"/>
        <w:rPr>
          <w:rFonts w:ascii="Times New Roman" w:hAnsi="Times New Roman"/>
        </w:rPr>
      </w:pPr>
    </w:p>
    <w:sectPr w:rsidR="00CD39F1" w:rsidRPr="005010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3B45BE"/>
    <w:multiLevelType w:val="multilevel"/>
    <w:tmpl w:val="A93E38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1EA6C35"/>
    <w:multiLevelType w:val="multilevel"/>
    <w:tmpl w:val="D6B4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E81CC1"/>
    <w:multiLevelType w:val="multilevel"/>
    <w:tmpl w:val="9C7C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AF734A"/>
    <w:multiLevelType w:val="multilevel"/>
    <w:tmpl w:val="579C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F37C78"/>
    <w:multiLevelType w:val="multilevel"/>
    <w:tmpl w:val="C02E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A62039"/>
    <w:multiLevelType w:val="multilevel"/>
    <w:tmpl w:val="B70C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480F18"/>
    <w:multiLevelType w:val="multilevel"/>
    <w:tmpl w:val="7118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0D1FC0"/>
    <w:multiLevelType w:val="multilevel"/>
    <w:tmpl w:val="9672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014843"/>
    <w:multiLevelType w:val="multilevel"/>
    <w:tmpl w:val="117A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4434DD"/>
    <w:multiLevelType w:val="multilevel"/>
    <w:tmpl w:val="8798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161F31"/>
    <w:multiLevelType w:val="multilevel"/>
    <w:tmpl w:val="9162C1E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64030AE1"/>
    <w:multiLevelType w:val="multilevel"/>
    <w:tmpl w:val="F8BE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0604787">
    <w:abstractNumId w:val="4"/>
  </w:num>
  <w:num w:numId="2" w16cid:durableId="1761022675">
    <w:abstractNumId w:val="0"/>
  </w:num>
  <w:num w:numId="3" w16cid:durableId="1021321918">
    <w:abstractNumId w:val="11"/>
  </w:num>
  <w:num w:numId="4" w16cid:durableId="646977494">
    <w:abstractNumId w:val="10"/>
  </w:num>
  <w:num w:numId="5" w16cid:durableId="607201014">
    <w:abstractNumId w:val="3"/>
  </w:num>
  <w:num w:numId="6" w16cid:durableId="622007089">
    <w:abstractNumId w:val="1"/>
  </w:num>
  <w:num w:numId="7" w16cid:durableId="1978563180">
    <w:abstractNumId w:val="2"/>
  </w:num>
  <w:num w:numId="8" w16cid:durableId="1580288874">
    <w:abstractNumId w:val="6"/>
  </w:num>
  <w:num w:numId="9" w16cid:durableId="1614290093">
    <w:abstractNumId w:val="8"/>
  </w:num>
  <w:num w:numId="10" w16cid:durableId="1436244372">
    <w:abstractNumId w:val="9"/>
  </w:num>
  <w:num w:numId="11" w16cid:durableId="421100206">
    <w:abstractNumId w:val="5"/>
  </w:num>
  <w:num w:numId="12" w16cid:durableId="5034780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71A"/>
    <w:rsid w:val="000046A5"/>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3F73"/>
    <w:rsid w:val="00101CCF"/>
    <w:rsid w:val="00121A80"/>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8028D"/>
    <w:rsid w:val="00291F37"/>
    <w:rsid w:val="0029568E"/>
    <w:rsid w:val="00297C6E"/>
    <w:rsid w:val="002B3377"/>
    <w:rsid w:val="002C38C0"/>
    <w:rsid w:val="002C6D8B"/>
    <w:rsid w:val="002D715D"/>
    <w:rsid w:val="002E3864"/>
    <w:rsid w:val="002E46F2"/>
    <w:rsid w:val="002F1DB1"/>
    <w:rsid w:val="002F20B2"/>
    <w:rsid w:val="002F53C9"/>
    <w:rsid w:val="003048A0"/>
    <w:rsid w:val="0031138E"/>
    <w:rsid w:val="0031474F"/>
    <w:rsid w:val="00315815"/>
    <w:rsid w:val="003278F5"/>
    <w:rsid w:val="00330665"/>
    <w:rsid w:val="00342A18"/>
    <w:rsid w:val="00357561"/>
    <w:rsid w:val="0036177C"/>
    <w:rsid w:val="00361975"/>
    <w:rsid w:val="00376E23"/>
    <w:rsid w:val="0039416B"/>
    <w:rsid w:val="003A1271"/>
    <w:rsid w:val="003A5DF7"/>
    <w:rsid w:val="003B3510"/>
    <w:rsid w:val="003C116C"/>
    <w:rsid w:val="003D0CDD"/>
    <w:rsid w:val="003D710F"/>
    <w:rsid w:val="003E1CAA"/>
    <w:rsid w:val="0040210F"/>
    <w:rsid w:val="00412F9B"/>
    <w:rsid w:val="004222FD"/>
    <w:rsid w:val="004319FA"/>
    <w:rsid w:val="00442F56"/>
    <w:rsid w:val="0044616D"/>
    <w:rsid w:val="00474DD1"/>
    <w:rsid w:val="004751B5"/>
    <w:rsid w:val="0048097D"/>
    <w:rsid w:val="0048175B"/>
    <w:rsid w:val="004829F2"/>
    <w:rsid w:val="004845CE"/>
    <w:rsid w:val="004A553E"/>
    <w:rsid w:val="004B0B8B"/>
    <w:rsid w:val="004B1048"/>
    <w:rsid w:val="004D01FE"/>
    <w:rsid w:val="004D582C"/>
    <w:rsid w:val="004D5B1A"/>
    <w:rsid w:val="004E1930"/>
    <w:rsid w:val="004E458E"/>
    <w:rsid w:val="004F0E12"/>
    <w:rsid w:val="004F43CC"/>
    <w:rsid w:val="004F5A36"/>
    <w:rsid w:val="005010D4"/>
    <w:rsid w:val="00505437"/>
    <w:rsid w:val="005120A1"/>
    <w:rsid w:val="00542B57"/>
    <w:rsid w:val="005525C9"/>
    <w:rsid w:val="00557B52"/>
    <w:rsid w:val="005743EA"/>
    <w:rsid w:val="005770A9"/>
    <w:rsid w:val="0058416B"/>
    <w:rsid w:val="00595357"/>
    <w:rsid w:val="005A1930"/>
    <w:rsid w:val="005A6EEA"/>
    <w:rsid w:val="005B34ED"/>
    <w:rsid w:val="005B61CD"/>
    <w:rsid w:val="005B74C5"/>
    <w:rsid w:val="005C4FF3"/>
    <w:rsid w:val="005C50B3"/>
    <w:rsid w:val="005C6B83"/>
    <w:rsid w:val="005C7AAA"/>
    <w:rsid w:val="005D57DA"/>
    <w:rsid w:val="005E7702"/>
    <w:rsid w:val="005F33FC"/>
    <w:rsid w:val="00605F8E"/>
    <w:rsid w:val="00613954"/>
    <w:rsid w:val="00622488"/>
    <w:rsid w:val="00650543"/>
    <w:rsid w:val="00654D8B"/>
    <w:rsid w:val="00661136"/>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2575"/>
    <w:rsid w:val="0078776B"/>
    <w:rsid w:val="00796A93"/>
    <w:rsid w:val="007975B6"/>
    <w:rsid w:val="007B48C2"/>
    <w:rsid w:val="007C231D"/>
    <w:rsid w:val="007D68F0"/>
    <w:rsid w:val="007E1559"/>
    <w:rsid w:val="007E4AE6"/>
    <w:rsid w:val="007F776E"/>
    <w:rsid w:val="00816563"/>
    <w:rsid w:val="00830C88"/>
    <w:rsid w:val="00845AB5"/>
    <w:rsid w:val="00861B11"/>
    <w:rsid w:val="008829C2"/>
    <w:rsid w:val="008A54BE"/>
    <w:rsid w:val="008C7B0A"/>
    <w:rsid w:val="008D0642"/>
    <w:rsid w:val="008E43C2"/>
    <w:rsid w:val="008E745B"/>
    <w:rsid w:val="008F4EA7"/>
    <w:rsid w:val="008F5A10"/>
    <w:rsid w:val="00905ED0"/>
    <w:rsid w:val="0093405B"/>
    <w:rsid w:val="0094782D"/>
    <w:rsid w:val="00966189"/>
    <w:rsid w:val="00973661"/>
    <w:rsid w:val="00974434"/>
    <w:rsid w:val="00975B2D"/>
    <w:rsid w:val="00977514"/>
    <w:rsid w:val="009A48B0"/>
    <w:rsid w:val="009B24D6"/>
    <w:rsid w:val="009B2F21"/>
    <w:rsid w:val="009B3EF4"/>
    <w:rsid w:val="009C6498"/>
    <w:rsid w:val="009E62AF"/>
    <w:rsid w:val="009F726A"/>
    <w:rsid w:val="00A03BBD"/>
    <w:rsid w:val="00A21254"/>
    <w:rsid w:val="00A220B7"/>
    <w:rsid w:val="00A2728B"/>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8622A"/>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E7B86"/>
    <w:rsid w:val="00CF74EF"/>
    <w:rsid w:val="00D01E71"/>
    <w:rsid w:val="00D02AC8"/>
    <w:rsid w:val="00D0623C"/>
    <w:rsid w:val="00D07271"/>
    <w:rsid w:val="00D16917"/>
    <w:rsid w:val="00D64DCE"/>
    <w:rsid w:val="00D65735"/>
    <w:rsid w:val="00D73E2C"/>
    <w:rsid w:val="00D76D14"/>
    <w:rsid w:val="00D77B1F"/>
    <w:rsid w:val="00DA31CB"/>
    <w:rsid w:val="00DA3D31"/>
    <w:rsid w:val="00DA4488"/>
    <w:rsid w:val="00DB2E35"/>
    <w:rsid w:val="00DC0040"/>
    <w:rsid w:val="00DC0B7B"/>
    <w:rsid w:val="00DC228E"/>
    <w:rsid w:val="00DC495B"/>
    <w:rsid w:val="00DC7181"/>
    <w:rsid w:val="00DD6F5C"/>
    <w:rsid w:val="00DE6C87"/>
    <w:rsid w:val="00E06E11"/>
    <w:rsid w:val="00E14A1A"/>
    <w:rsid w:val="00E14E1F"/>
    <w:rsid w:val="00E2730E"/>
    <w:rsid w:val="00E4366A"/>
    <w:rsid w:val="00E438AC"/>
    <w:rsid w:val="00E51987"/>
    <w:rsid w:val="00E5689E"/>
    <w:rsid w:val="00E60DF5"/>
    <w:rsid w:val="00E64DD3"/>
    <w:rsid w:val="00E80D33"/>
    <w:rsid w:val="00E9484C"/>
    <w:rsid w:val="00E95D8D"/>
    <w:rsid w:val="00EA6ED5"/>
    <w:rsid w:val="00EB7051"/>
    <w:rsid w:val="00EC67FC"/>
    <w:rsid w:val="00EC68EB"/>
    <w:rsid w:val="00EC7C43"/>
    <w:rsid w:val="00EE0191"/>
    <w:rsid w:val="00EE4F6A"/>
    <w:rsid w:val="00EF271A"/>
    <w:rsid w:val="00EF3EF4"/>
    <w:rsid w:val="00F012E4"/>
    <w:rsid w:val="00F0631B"/>
    <w:rsid w:val="00F248D2"/>
    <w:rsid w:val="00F27F00"/>
    <w:rsid w:val="00F33570"/>
    <w:rsid w:val="00F655F4"/>
    <w:rsid w:val="00F71153"/>
    <w:rsid w:val="00F858D4"/>
    <w:rsid w:val="00FA0450"/>
    <w:rsid w:val="00FA4E8A"/>
    <w:rsid w:val="00FB2653"/>
    <w:rsid w:val="00FB5C49"/>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37FA26C"/>
  <w15:chartTrackingRefBased/>
  <w15:docId w15:val="{4D36F700-F330-EF47-9958-A34908A3E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EF27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27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F271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F271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F271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F271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F271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F271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F271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71A"/>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EF271A"/>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EF271A"/>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EF271A"/>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EF271A"/>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EF271A"/>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EF271A"/>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EF271A"/>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EF271A"/>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EF271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71A"/>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EF271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71A"/>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EF271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F271A"/>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EF271A"/>
    <w:pPr>
      <w:ind w:left="720"/>
      <w:contextualSpacing/>
    </w:pPr>
  </w:style>
  <w:style w:type="character" w:styleId="IntenseEmphasis">
    <w:name w:val="Intense Emphasis"/>
    <w:basedOn w:val="DefaultParagraphFont"/>
    <w:uiPriority w:val="21"/>
    <w:qFormat/>
    <w:rsid w:val="00EF271A"/>
    <w:rPr>
      <w:i/>
      <w:iCs/>
      <w:color w:val="2F5496" w:themeColor="accent1" w:themeShade="BF"/>
    </w:rPr>
  </w:style>
  <w:style w:type="paragraph" w:styleId="IntenseQuote">
    <w:name w:val="Intense Quote"/>
    <w:basedOn w:val="Normal"/>
    <w:next w:val="Normal"/>
    <w:link w:val="IntenseQuoteChar"/>
    <w:uiPriority w:val="30"/>
    <w:qFormat/>
    <w:rsid w:val="00EF27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271A"/>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EF271A"/>
    <w:rPr>
      <w:b/>
      <w:bCs/>
      <w:smallCaps/>
      <w:color w:val="2F5496" w:themeColor="accent1" w:themeShade="BF"/>
      <w:spacing w:val="5"/>
    </w:rPr>
  </w:style>
  <w:style w:type="character" w:styleId="Strong">
    <w:name w:val="Strong"/>
    <w:basedOn w:val="DefaultParagraphFont"/>
    <w:uiPriority w:val="22"/>
    <w:qFormat/>
    <w:rsid w:val="005010D4"/>
    <w:rPr>
      <w:b/>
      <w:bCs/>
    </w:rPr>
  </w:style>
  <w:style w:type="paragraph" w:styleId="NormalWeb">
    <w:name w:val="Normal (Web)"/>
    <w:basedOn w:val="Normal"/>
    <w:uiPriority w:val="99"/>
    <w:semiHidden/>
    <w:unhideWhenUsed/>
    <w:rsid w:val="005010D4"/>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5010D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6995197">
      <w:bodyDiv w:val="1"/>
      <w:marLeft w:val="0"/>
      <w:marRight w:val="0"/>
      <w:marTop w:val="0"/>
      <w:marBottom w:val="0"/>
      <w:divBdr>
        <w:top w:val="none" w:sz="0" w:space="0" w:color="auto"/>
        <w:left w:val="none" w:sz="0" w:space="0" w:color="auto"/>
        <w:bottom w:val="none" w:sz="0" w:space="0" w:color="auto"/>
        <w:right w:val="none" w:sz="0" w:space="0" w:color="auto"/>
      </w:divBdr>
      <w:divsChild>
        <w:div w:id="21357099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2162607">
      <w:bodyDiv w:val="1"/>
      <w:marLeft w:val="0"/>
      <w:marRight w:val="0"/>
      <w:marTop w:val="0"/>
      <w:marBottom w:val="0"/>
      <w:divBdr>
        <w:top w:val="none" w:sz="0" w:space="0" w:color="auto"/>
        <w:left w:val="none" w:sz="0" w:space="0" w:color="auto"/>
        <w:bottom w:val="none" w:sz="0" w:space="0" w:color="auto"/>
        <w:right w:val="none" w:sz="0" w:space="0" w:color="auto"/>
      </w:divBdr>
    </w:div>
    <w:div w:id="1691834753">
      <w:bodyDiv w:val="1"/>
      <w:marLeft w:val="0"/>
      <w:marRight w:val="0"/>
      <w:marTop w:val="0"/>
      <w:marBottom w:val="0"/>
      <w:divBdr>
        <w:top w:val="none" w:sz="0" w:space="0" w:color="auto"/>
        <w:left w:val="none" w:sz="0" w:space="0" w:color="auto"/>
        <w:bottom w:val="none" w:sz="0" w:space="0" w:color="auto"/>
        <w:right w:val="none" w:sz="0" w:space="0" w:color="auto"/>
      </w:divBdr>
      <w:divsChild>
        <w:div w:id="963845610">
          <w:blockQuote w:val="1"/>
          <w:marLeft w:val="720"/>
          <w:marRight w:val="720"/>
          <w:marTop w:val="100"/>
          <w:marBottom w:val="100"/>
          <w:divBdr>
            <w:top w:val="none" w:sz="0" w:space="0" w:color="auto"/>
            <w:left w:val="none" w:sz="0" w:space="0" w:color="auto"/>
            <w:bottom w:val="none" w:sz="0" w:space="0" w:color="auto"/>
            <w:right w:val="none" w:sz="0" w:space="0" w:color="auto"/>
          </w:divBdr>
        </w:div>
        <w:div w:id="928387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3098</Words>
  <Characters>17664</Characters>
  <Application>Microsoft Office Word</Application>
  <DocSecurity>0</DocSecurity>
  <Lines>147</Lines>
  <Paragraphs>41</Paragraphs>
  <ScaleCrop>false</ScaleCrop>
  <Company/>
  <LinksUpToDate>false</LinksUpToDate>
  <CharactersWithSpaces>20721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3</cp:revision>
  <dcterms:created xsi:type="dcterms:W3CDTF">2025-02-12T13:52:00Z</dcterms:created>
  <dcterms:modified xsi:type="dcterms:W3CDTF">2025-02-13T09:32:00Z</dcterms:modified>
</cp:coreProperties>
</file>