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71144E" w14:textId="77777777" w:rsidR="004E35DB" w:rsidRPr="004E35DB" w:rsidRDefault="004E35DB" w:rsidP="00984FC7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color w:val="FF0000"/>
          <w:lang w:val="en-HK"/>
        </w:rPr>
      </w:pPr>
      <w:r w:rsidRPr="004E35DB">
        <w:rPr>
          <w:rFonts w:ascii="Times New Roman" w:hAnsi="Times New Roman"/>
          <w:b/>
          <w:bCs/>
          <w:color w:val="2F5496" w:themeColor="accent1" w:themeShade="BF"/>
          <w:lang w:val="en-HK"/>
        </w:rPr>
        <w:t>1. Introduction</w:t>
      </w:r>
    </w:p>
    <w:p w14:paraId="6024F1D7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James Wilson’s article </w:t>
      </w:r>
      <w:r w:rsidRPr="004E35DB">
        <w:rPr>
          <w:rFonts w:ascii="Times New Roman" w:hAnsi="Times New Roman"/>
          <w:i/>
          <w:iCs/>
          <w:lang w:val="en-HK"/>
        </w:rPr>
        <w:t>Battle of the Bentley</w:t>
      </w:r>
      <w:r w:rsidRPr="004E35DB">
        <w:rPr>
          <w:rFonts w:ascii="Times New Roman" w:hAnsi="Times New Roman"/>
          <w:lang w:val="en-HK"/>
        </w:rPr>
        <w:t xml:space="preserve"> discusses a legal dispute concerning the sale of a classic Bentley Speed Six and the legal questions surrounding its authenticity. The case highlights issues of </w:t>
      </w:r>
      <w:r w:rsidRPr="004E35DB">
        <w:rPr>
          <w:rFonts w:ascii="Times New Roman" w:hAnsi="Times New Roman"/>
          <w:i/>
          <w:iCs/>
          <w:lang w:val="en-HK"/>
        </w:rPr>
        <w:t>contractual warranties</w:t>
      </w:r>
      <w:r w:rsidRPr="004E35DB">
        <w:rPr>
          <w:rFonts w:ascii="Times New Roman" w:hAnsi="Times New Roman"/>
          <w:lang w:val="en-HK"/>
        </w:rPr>
        <w:t xml:space="preserve">, </w:t>
      </w:r>
      <w:r w:rsidRPr="004E35DB">
        <w:rPr>
          <w:rFonts w:ascii="Times New Roman" w:hAnsi="Times New Roman"/>
          <w:i/>
          <w:iCs/>
          <w:lang w:val="en-HK"/>
        </w:rPr>
        <w:t>misrepresentation</w:t>
      </w:r>
      <w:r w:rsidRPr="004E35DB">
        <w:rPr>
          <w:rFonts w:ascii="Times New Roman" w:hAnsi="Times New Roman"/>
          <w:lang w:val="en-HK"/>
        </w:rPr>
        <w:t xml:space="preserve">, and </w:t>
      </w:r>
      <w:r w:rsidRPr="004E35DB">
        <w:rPr>
          <w:rFonts w:ascii="Times New Roman" w:hAnsi="Times New Roman"/>
          <w:i/>
          <w:iCs/>
          <w:lang w:val="en-HK"/>
        </w:rPr>
        <w:t>the definition of originality in classic car transactions</w:t>
      </w:r>
      <w:r w:rsidRPr="004E35DB">
        <w:rPr>
          <w:rFonts w:ascii="Times New Roman" w:hAnsi="Times New Roman"/>
          <w:lang w:val="en-HK"/>
        </w:rPr>
        <w:t>. The dispute arose when the buyer, Mercedes Brewer, claimed that the vehicle did not match its description, leading to litigation against the seller, Stanley Mann, his company, and a finance company. The case ultimately reached the Court of Appeal, which significantly revised the trial judge’s findings.</w:t>
      </w:r>
    </w:p>
    <w:p w14:paraId="045EA88A" w14:textId="77777777" w:rsidR="004E35DB" w:rsidRPr="004E35DB" w:rsidRDefault="004E35DB" w:rsidP="00984FC7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color w:val="2F5496" w:themeColor="accent1" w:themeShade="BF"/>
          <w:lang w:val="en-HK"/>
        </w:rPr>
      </w:pPr>
      <w:r w:rsidRPr="004E35DB">
        <w:rPr>
          <w:rFonts w:ascii="Times New Roman" w:hAnsi="Times New Roman"/>
          <w:b/>
          <w:bCs/>
          <w:color w:val="2F5496" w:themeColor="accent1" w:themeShade="BF"/>
          <w:lang w:val="en-HK"/>
        </w:rPr>
        <w:t>2. The Initial Transaction and Dispute</w:t>
      </w:r>
    </w:p>
    <w:p w14:paraId="3E746B08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Mercedes Brewer purchased a </w:t>
      </w:r>
      <w:r w:rsidRPr="004E35DB">
        <w:rPr>
          <w:rFonts w:ascii="Times New Roman" w:hAnsi="Times New Roman"/>
          <w:b/>
          <w:bCs/>
          <w:lang w:val="en-HK"/>
        </w:rPr>
        <w:t>1930 Bentley Speed Six</w:t>
      </w:r>
      <w:r w:rsidRPr="004E35DB">
        <w:rPr>
          <w:rFonts w:ascii="Times New Roman" w:hAnsi="Times New Roman"/>
          <w:lang w:val="en-HK"/>
        </w:rPr>
        <w:t xml:space="preserve"> from Stanley Mann for </w:t>
      </w:r>
      <w:r w:rsidRPr="004E35DB">
        <w:rPr>
          <w:rFonts w:ascii="Times New Roman" w:hAnsi="Times New Roman"/>
          <w:b/>
          <w:bCs/>
          <w:lang w:val="en-HK"/>
        </w:rPr>
        <w:t>£425,000</w:t>
      </w:r>
      <w:r w:rsidRPr="004E35DB">
        <w:rPr>
          <w:rFonts w:ascii="Times New Roman" w:hAnsi="Times New Roman"/>
          <w:lang w:val="en-HK"/>
        </w:rPr>
        <w:t>, financing the purchase with a loan from a finance company. After a year of using the car, Brewer stopped making payments on the hire purchase agreement. She had consulted an auction house, which informed her that the vehicle was not a true Speed Six because the Speed Six engine had only been added later during a restoration. This revelation led to a complex legal dispute, despite the fact that the car had been repossessed by the finance company and resold to Mann for the same amount Brewer had paid.</w:t>
      </w:r>
    </w:p>
    <w:p w14:paraId="133AF4E4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>At this stage, the dispute seemed resolved:</w:t>
      </w:r>
    </w:p>
    <w:p w14:paraId="57D18048" w14:textId="77777777" w:rsidR="004E35DB" w:rsidRPr="004E35DB" w:rsidRDefault="004E35DB" w:rsidP="00984FC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>Brewer no longer owned the car.</w:t>
      </w:r>
    </w:p>
    <w:p w14:paraId="1B331F81" w14:textId="77777777" w:rsidR="004E35DB" w:rsidRPr="004E35DB" w:rsidRDefault="004E35DB" w:rsidP="00984FC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>The finance company had recovered its funds.</w:t>
      </w:r>
    </w:p>
    <w:p w14:paraId="134C4712" w14:textId="77777777" w:rsidR="004E35DB" w:rsidRPr="004E35DB" w:rsidRDefault="004E35DB" w:rsidP="00984FC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Mann resold the restored Bentley for </w:t>
      </w:r>
      <w:r w:rsidRPr="004E35DB">
        <w:rPr>
          <w:rFonts w:ascii="Times New Roman" w:hAnsi="Times New Roman"/>
          <w:b/>
          <w:bCs/>
          <w:lang w:val="en-HK"/>
        </w:rPr>
        <w:t>£675,000</w:t>
      </w:r>
      <w:r w:rsidRPr="004E35DB">
        <w:rPr>
          <w:rFonts w:ascii="Times New Roman" w:hAnsi="Times New Roman"/>
          <w:lang w:val="en-HK"/>
        </w:rPr>
        <w:t>, making a substantial profit.</w:t>
      </w:r>
    </w:p>
    <w:p w14:paraId="704F41A5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However, Brewer and the finance company were still dissatisfied. Brewer claimed she had been </w:t>
      </w:r>
      <w:r w:rsidRPr="004E35DB">
        <w:rPr>
          <w:rFonts w:ascii="Times New Roman" w:hAnsi="Times New Roman"/>
          <w:i/>
          <w:iCs/>
          <w:lang w:val="en-HK"/>
        </w:rPr>
        <w:t>misled</w:t>
      </w:r>
      <w:r w:rsidRPr="004E35DB">
        <w:rPr>
          <w:rFonts w:ascii="Times New Roman" w:hAnsi="Times New Roman"/>
          <w:lang w:val="en-HK"/>
        </w:rPr>
        <w:t xml:space="preserve"> into believing the car was an original Speed Six, while the finance company sought to recover </w:t>
      </w:r>
      <w:r w:rsidRPr="004E35DB">
        <w:rPr>
          <w:rFonts w:ascii="Times New Roman" w:hAnsi="Times New Roman"/>
          <w:b/>
          <w:bCs/>
          <w:lang w:val="en-HK"/>
        </w:rPr>
        <w:t>£61,000</w:t>
      </w:r>
      <w:r w:rsidRPr="004E35DB">
        <w:rPr>
          <w:rFonts w:ascii="Times New Roman" w:hAnsi="Times New Roman"/>
          <w:lang w:val="en-HK"/>
        </w:rPr>
        <w:t xml:space="preserve"> in costs associated with repossession and storage.</w:t>
      </w:r>
    </w:p>
    <w:p w14:paraId="2B965B6B" w14:textId="77777777" w:rsidR="004E35DB" w:rsidRPr="004E35DB" w:rsidRDefault="004E35DB" w:rsidP="00984FC7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color w:val="2F5496" w:themeColor="accent1" w:themeShade="BF"/>
          <w:lang w:val="en-HK"/>
        </w:rPr>
      </w:pPr>
      <w:r w:rsidRPr="004E35DB">
        <w:rPr>
          <w:rFonts w:ascii="Times New Roman" w:hAnsi="Times New Roman"/>
          <w:b/>
          <w:bCs/>
          <w:color w:val="2F5496" w:themeColor="accent1" w:themeShade="BF"/>
          <w:lang w:val="en-HK"/>
        </w:rPr>
        <w:t>3. Brewer’s Legal Claims and Trial Judgment</w:t>
      </w:r>
    </w:p>
    <w:p w14:paraId="423DD0BE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Brewer’s claim was based on </w:t>
      </w:r>
      <w:r w:rsidRPr="004E35DB">
        <w:rPr>
          <w:rFonts w:ascii="Times New Roman" w:hAnsi="Times New Roman"/>
          <w:b/>
          <w:bCs/>
          <w:lang w:val="en-HK"/>
        </w:rPr>
        <w:t>collateral warranty</w:t>
      </w:r>
      <w:r w:rsidRPr="004E35DB">
        <w:rPr>
          <w:rFonts w:ascii="Times New Roman" w:hAnsi="Times New Roman"/>
          <w:lang w:val="en-HK"/>
        </w:rPr>
        <w:t xml:space="preserve">, arguing that Mann had orally assured her that the Bentley was a </w:t>
      </w:r>
      <w:r w:rsidRPr="004E35DB">
        <w:rPr>
          <w:rFonts w:ascii="Times New Roman" w:hAnsi="Times New Roman"/>
          <w:b/>
          <w:bCs/>
          <w:lang w:val="en-HK"/>
        </w:rPr>
        <w:t>genuine 1930 Speed Six</w:t>
      </w:r>
      <w:r w:rsidRPr="004E35DB">
        <w:rPr>
          <w:rFonts w:ascii="Times New Roman" w:hAnsi="Times New Roman"/>
          <w:lang w:val="en-HK"/>
        </w:rPr>
        <w:t xml:space="preserve"> containing an </w:t>
      </w:r>
      <w:r w:rsidRPr="004E35DB">
        <w:rPr>
          <w:rFonts w:ascii="Times New Roman" w:hAnsi="Times New Roman"/>
          <w:i/>
          <w:iCs/>
          <w:lang w:val="en-HK"/>
        </w:rPr>
        <w:t>original</w:t>
      </w:r>
      <w:r w:rsidRPr="004E35DB">
        <w:rPr>
          <w:rFonts w:ascii="Times New Roman" w:hAnsi="Times New Roman"/>
          <w:lang w:val="en-HK"/>
        </w:rPr>
        <w:t xml:space="preserve"> Speed Six engine. She alleged that this amounted to a </w:t>
      </w:r>
      <w:r w:rsidRPr="004E35DB">
        <w:rPr>
          <w:rFonts w:ascii="Times New Roman" w:hAnsi="Times New Roman"/>
          <w:i/>
          <w:iCs/>
          <w:lang w:val="en-HK"/>
        </w:rPr>
        <w:t>contractual warranty</w:t>
      </w:r>
      <w:r w:rsidRPr="004E35DB">
        <w:rPr>
          <w:rFonts w:ascii="Times New Roman" w:hAnsi="Times New Roman"/>
          <w:lang w:val="en-HK"/>
        </w:rPr>
        <w:t xml:space="preserve"> rather than a </w:t>
      </w:r>
      <w:r w:rsidRPr="004E35DB">
        <w:rPr>
          <w:rFonts w:ascii="Times New Roman" w:hAnsi="Times New Roman"/>
          <w:i/>
          <w:iCs/>
          <w:lang w:val="en-HK"/>
        </w:rPr>
        <w:t>mere statement of opinion</w:t>
      </w:r>
      <w:r w:rsidRPr="004E35DB">
        <w:rPr>
          <w:rFonts w:ascii="Times New Roman" w:hAnsi="Times New Roman"/>
          <w:lang w:val="en-HK"/>
        </w:rPr>
        <w:t>.</w:t>
      </w:r>
    </w:p>
    <w:p w14:paraId="587DDDB1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lastRenderedPageBreak/>
        <w:t>Mann, in contrast, contended that:</w:t>
      </w:r>
    </w:p>
    <w:p w14:paraId="6FAEB2E1" w14:textId="77777777" w:rsidR="004E35DB" w:rsidRPr="004E35DB" w:rsidRDefault="004E35DB" w:rsidP="00984FC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His reference to the car as a </w:t>
      </w:r>
      <w:r w:rsidRPr="004E35DB">
        <w:rPr>
          <w:rFonts w:ascii="Times New Roman" w:hAnsi="Times New Roman"/>
          <w:b/>
          <w:bCs/>
          <w:lang w:val="en-HK"/>
        </w:rPr>
        <w:t>Speed Six</w:t>
      </w:r>
      <w:r w:rsidRPr="004E35DB">
        <w:rPr>
          <w:rFonts w:ascii="Times New Roman" w:hAnsi="Times New Roman"/>
          <w:lang w:val="en-HK"/>
        </w:rPr>
        <w:t xml:space="preserve"> was </w:t>
      </w:r>
      <w:r w:rsidRPr="004E35DB">
        <w:rPr>
          <w:rFonts w:ascii="Times New Roman" w:hAnsi="Times New Roman"/>
          <w:i/>
          <w:iCs/>
          <w:lang w:val="en-HK"/>
        </w:rPr>
        <w:t>an opinion</w:t>
      </w:r>
      <w:r w:rsidRPr="004E35DB">
        <w:rPr>
          <w:rFonts w:ascii="Times New Roman" w:hAnsi="Times New Roman"/>
          <w:lang w:val="en-HK"/>
        </w:rPr>
        <w:t>, not a contractual guarantee.</w:t>
      </w:r>
    </w:p>
    <w:p w14:paraId="1C114AF1" w14:textId="77777777" w:rsidR="004E35DB" w:rsidRPr="004E35DB" w:rsidRDefault="004E35DB" w:rsidP="00984FC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>He never warranted that the car’s engine was original but only stated it was "prepared to Speed Six specification."</w:t>
      </w:r>
    </w:p>
    <w:p w14:paraId="5E74B3ED" w14:textId="77777777" w:rsidR="004E35DB" w:rsidRPr="004E35DB" w:rsidRDefault="004E35DB" w:rsidP="00984FC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>The contract was with his company, not himself personally, thereby insulating him from direct liability.</w:t>
      </w:r>
    </w:p>
    <w:p w14:paraId="3E2763AA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Brewer also sued the </w:t>
      </w:r>
      <w:r w:rsidRPr="004E35DB">
        <w:rPr>
          <w:rFonts w:ascii="Times New Roman" w:hAnsi="Times New Roman"/>
          <w:b/>
          <w:bCs/>
          <w:lang w:val="en-HK"/>
        </w:rPr>
        <w:t>finance company</w:t>
      </w:r>
      <w:r w:rsidRPr="004E35DB">
        <w:rPr>
          <w:rFonts w:ascii="Times New Roman" w:hAnsi="Times New Roman"/>
          <w:lang w:val="en-HK"/>
        </w:rPr>
        <w:t xml:space="preserve">, arguing that the hire purchase agreement had been breached because the vehicle did not match the description provided at the time of sale. The finance company </w:t>
      </w:r>
      <w:r w:rsidRPr="004E35DB">
        <w:rPr>
          <w:rFonts w:ascii="Times New Roman" w:hAnsi="Times New Roman"/>
          <w:b/>
          <w:bCs/>
          <w:lang w:val="en-HK"/>
        </w:rPr>
        <w:t>denied liability</w:t>
      </w:r>
      <w:r w:rsidRPr="004E35DB">
        <w:rPr>
          <w:rFonts w:ascii="Times New Roman" w:hAnsi="Times New Roman"/>
          <w:lang w:val="en-HK"/>
        </w:rPr>
        <w:t xml:space="preserve"> and counterclaimed for the </w:t>
      </w:r>
      <w:r w:rsidRPr="004E35DB">
        <w:rPr>
          <w:rFonts w:ascii="Times New Roman" w:hAnsi="Times New Roman"/>
          <w:b/>
          <w:bCs/>
          <w:lang w:val="en-HK"/>
        </w:rPr>
        <w:t>£61,000</w:t>
      </w:r>
      <w:r w:rsidRPr="004E35DB">
        <w:rPr>
          <w:rFonts w:ascii="Times New Roman" w:hAnsi="Times New Roman"/>
          <w:lang w:val="en-HK"/>
        </w:rPr>
        <w:t xml:space="preserve"> incurred in repossession and storage costs.</w:t>
      </w:r>
    </w:p>
    <w:p w14:paraId="08273F10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The </w:t>
      </w:r>
      <w:r w:rsidRPr="004E35DB">
        <w:rPr>
          <w:rFonts w:ascii="Times New Roman" w:hAnsi="Times New Roman"/>
          <w:b/>
          <w:bCs/>
          <w:lang w:val="en-HK"/>
        </w:rPr>
        <w:t>High Court’s trial judge, Anthony Thornton QC, ruled entirely in Brewer’s favour</w:t>
      </w:r>
      <w:r w:rsidRPr="004E35DB">
        <w:rPr>
          <w:rFonts w:ascii="Times New Roman" w:hAnsi="Times New Roman"/>
          <w:lang w:val="en-HK"/>
        </w:rPr>
        <w:t xml:space="preserve">, including on </w:t>
      </w:r>
      <w:r w:rsidRPr="004E35DB">
        <w:rPr>
          <w:rFonts w:ascii="Times New Roman" w:hAnsi="Times New Roman"/>
          <w:i/>
          <w:iCs/>
          <w:lang w:val="en-HK"/>
        </w:rPr>
        <w:t>legal points she had not even argued in court</w:t>
      </w:r>
      <w:r w:rsidRPr="004E35DB">
        <w:rPr>
          <w:rFonts w:ascii="Times New Roman" w:hAnsi="Times New Roman"/>
          <w:lang w:val="en-HK"/>
        </w:rPr>
        <w:t xml:space="preserve">. His judgment was seen as highly controversial, leading to a </w:t>
      </w:r>
      <w:r w:rsidRPr="004E35DB">
        <w:rPr>
          <w:rFonts w:ascii="Times New Roman" w:hAnsi="Times New Roman"/>
          <w:b/>
          <w:bCs/>
          <w:lang w:val="en-HK"/>
        </w:rPr>
        <w:t>swift appeal by the defendants</w:t>
      </w:r>
      <w:r w:rsidRPr="004E35DB">
        <w:rPr>
          <w:rFonts w:ascii="Times New Roman" w:hAnsi="Times New Roman"/>
          <w:lang w:val="en-HK"/>
        </w:rPr>
        <w:t>.</w:t>
      </w:r>
    </w:p>
    <w:p w14:paraId="3F53EDF6" w14:textId="0432D3BB" w:rsidR="004E35DB" w:rsidRPr="00984FC7" w:rsidRDefault="004E35DB" w:rsidP="00984FC7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lang w:val="en-HK"/>
        </w:rPr>
      </w:pPr>
      <w:r w:rsidRPr="00984FC7">
        <w:rPr>
          <w:rFonts w:ascii="Times New Roman" w:eastAsia="Times New Roman" w:hAnsi="Times New Roman" w:cs="Times New Roman"/>
          <w:b/>
          <w:bCs/>
          <w:i w:val="0"/>
          <w:iCs w:val="0"/>
          <w:lang w:val="en-HK"/>
        </w:rPr>
        <w:t>4</w:t>
      </w:r>
      <w:r w:rsidRPr="00984FC7">
        <w:rPr>
          <w:rFonts w:ascii="Times New Roman" w:eastAsia="Times New Roman" w:hAnsi="Times New Roman" w:cs="Times New Roman"/>
          <w:b/>
          <w:bCs/>
          <w:i w:val="0"/>
          <w:iCs w:val="0"/>
          <w:lang w:val="en-HK"/>
        </w:rPr>
        <w:t>.</w:t>
      </w:r>
      <w:r w:rsidRPr="00984FC7">
        <w:rPr>
          <w:rFonts w:ascii="Times New Roman" w:eastAsia="Times New Roman" w:hAnsi="Times New Roman" w:cs="Times New Roman"/>
          <w:b/>
          <w:bCs/>
          <w:i w:val="0"/>
          <w:iCs w:val="0"/>
          <w:lang w:val="en-HK"/>
        </w:rPr>
        <w:t xml:space="preserve"> Court of Appeal’s Overturning of the High Court Judgment</w:t>
      </w:r>
    </w:p>
    <w:p w14:paraId="11DCD827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The High Court’s initial ruling in </w:t>
      </w:r>
      <w:r w:rsidRPr="004E35DB">
        <w:rPr>
          <w:rFonts w:ascii="Times New Roman" w:hAnsi="Times New Roman"/>
          <w:i/>
          <w:iCs/>
          <w:lang w:val="en-HK"/>
        </w:rPr>
        <w:t xml:space="preserve">Mercedes Brewer v Stanley Mann &amp; </w:t>
      </w:r>
      <w:proofErr w:type="spellStart"/>
      <w:r w:rsidRPr="004E35DB">
        <w:rPr>
          <w:rFonts w:ascii="Times New Roman" w:hAnsi="Times New Roman"/>
          <w:i/>
          <w:iCs/>
          <w:lang w:val="en-HK"/>
        </w:rPr>
        <w:t>Ors</w:t>
      </w:r>
      <w:proofErr w:type="spellEnd"/>
      <w:r w:rsidRPr="004E35DB">
        <w:rPr>
          <w:rFonts w:ascii="Times New Roman" w:hAnsi="Times New Roman"/>
          <w:lang w:val="en-HK"/>
        </w:rPr>
        <w:t xml:space="preserve"> was subject to a </w:t>
      </w:r>
      <w:r w:rsidRPr="004E35DB">
        <w:rPr>
          <w:rFonts w:ascii="Times New Roman" w:hAnsi="Times New Roman"/>
          <w:i/>
          <w:iCs/>
          <w:lang w:val="en-HK"/>
        </w:rPr>
        <w:t>severe and detailed critique</w:t>
      </w:r>
      <w:r w:rsidRPr="004E35DB">
        <w:rPr>
          <w:rFonts w:ascii="Times New Roman" w:hAnsi="Times New Roman"/>
          <w:lang w:val="en-HK"/>
        </w:rPr>
        <w:t xml:space="preserve"> by the Court of Appeal, which </w:t>
      </w:r>
      <w:r w:rsidRPr="004E35DB">
        <w:rPr>
          <w:rFonts w:ascii="Times New Roman" w:hAnsi="Times New Roman"/>
          <w:i/>
          <w:iCs/>
          <w:lang w:val="en-HK"/>
        </w:rPr>
        <w:t>overturned</w:t>
      </w:r>
      <w:r w:rsidRPr="004E35DB">
        <w:rPr>
          <w:rFonts w:ascii="Times New Roman" w:hAnsi="Times New Roman"/>
          <w:lang w:val="en-HK"/>
        </w:rPr>
        <w:t xml:space="preserve"> the lower court’s findings in a decisive manner. The case demonstrates </w:t>
      </w:r>
      <w:r w:rsidRPr="004E35DB">
        <w:rPr>
          <w:rFonts w:ascii="Times New Roman" w:hAnsi="Times New Roman"/>
          <w:b/>
          <w:bCs/>
          <w:lang w:val="en-HK"/>
        </w:rPr>
        <w:t>significant legal issues regarding judicial conduct, contract law, and the proper application of misdescription claims in commercial transactions</w:t>
      </w:r>
      <w:r w:rsidRPr="004E35DB">
        <w:rPr>
          <w:rFonts w:ascii="Times New Roman" w:hAnsi="Times New Roman"/>
          <w:lang w:val="en-HK"/>
        </w:rPr>
        <w:t>.</w:t>
      </w:r>
    </w:p>
    <w:p w14:paraId="605D0537" w14:textId="77777777" w:rsidR="004E35DB" w:rsidRPr="004E35DB" w:rsidRDefault="004E35DB" w:rsidP="00984FC7">
      <w:pPr>
        <w:spacing w:before="100" w:beforeAutospacing="1" w:after="100" w:afterAutospacing="1" w:line="360" w:lineRule="auto"/>
        <w:outlineLvl w:val="4"/>
        <w:rPr>
          <w:rFonts w:ascii="Times New Roman" w:hAnsi="Times New Roman"/>
          <w:b/>
          <w:bCs/>
          <w:lang w:val="en-HK"/>
        </w:rPr>
      </w:pPr>
      <w:r w:rsidRPr="004E35DB">
        <w:rPr>
          <w:rFonts w:ascii="Times New Roman" w:hAnsi="Times New Roman"/>
          <w:b/>
          <w:bCs/>
          <w:lang w:val="en-HK"/>
        </w:rPr>
        <w:t>1. Judicial Conduct and Procedural Irregularities</w:t>
      </w:r>
    </w:p>
    <w:p w14:paraId="6B9DFFE5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One of the Court of Appeal’s most striking criticisms was directed at the </w:t>
      </w:r>
      <w:r w:rsidRPr="004E35DB">
        <w:rPr>
          <w:rFonts w:ascii="Times New Roman" w:hAnsi="Times New Roman"/>
          <w:b/>
          <w:bCs/>
          <w:lang w:val="en-HK"/>
        </w:rPr>
        <w:t>judicial conduct</w:t>
      </w:r>
      <w:r w:rsidRPr="004E35DB">
        <w:rPr>
          <w:rFonts w:ascii="Times New Roman" w:hAnsi="Times New Roman"/>
          <w:lang w:val="en-HK"/>
        </w:rPr>
        <w:t xml:space="preserve"> of Anthony Thornton QC, the trial judge. The appellate court observed that Thornton QC had </w:t>
      </w:r>
      <w:r w:rsidRPr="004E35DB">
        <w:rPr>
          <w:rFonts w:ascii="Times New Roman" w:hAnsi="Times New Roman"/>
          <w:b/>
          <w:bCs/>
          <w:lang w:val="en-HK"/>
        </w:rPr>
        <w:t>attempted to rewrite his judgment</w:t>
      </w:r>
      <w:r w:rsidRPr="004E35DB">
        <w:rPr>
          <w:rFonts w:ascii="Times New Roman" w:hAnsi="Times New Roman"/>
          <w:lang w:val="en-HK"/>
        </w:rPr>
        <w:t xml:space="preserve"> after it had been handed down, which is procedurally improper and raises concerns about </w:t>
      </w:r>
      <w:r w:rsidRPr="004E35DB">
        <w:rPr>
          <w:rFonts w:ascii="Times New Roman" w:hAnsi="Times New Roman"/>
          <w:i/>
          <w:iCs/>
          <w:lang w:val="en-HK"/>
        </w:rPr>
        <w:t>judicial impartiality and case management</w:t>
      </w:r>
      <w:r w:rsidRPr="004E35DB">
        <w:rPr>
          <w:rFonts w:ascii="Times New Roman" w:hAnsi="Times New Roman"/>
          <w:lang w:val="en-HK"/>
        </w:rPr>
        <w:t>.</w:t>
      </w:r>
    </w:p>
    <w:p w14:paraId="276EEA21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Additionally, the judge had, without clear justification, </w:t>
      </w:r>
      <w:r w:rsidRPr="004E35DB">
        <w:rPr>
          <w:rFonts w:ascii="Times New Roman" w:hAnsi="Times New Roman"/>
          <w:b/>
          <w:bCs/>
          <w:lang w:val="en-HK"/>
        </w:rPr>
        <w:t>questioned the honesty of Stanley Mann</w:t>
      </w:r>
      <w:r w:rsidRPr="004E35DB">
        <w:rPr>
          <w:rFonts w:ascii="Times New Roman" w:hAnsi="Times New Roman"/>
          <w:lang w:val="en-HK"/>
        </w:rPr>
        <w:t xml:space="preserve">, even though </w:t>
      </w:r>
      <w:r w:rsidRPr="004E35DB">
        <w:rPr>
          <w:rFonts w:ascii="Times New Roman" w:hAnsi="Times New Roman"/>
          <w:i/>
          <w:iCs/>
          <w:lang w:val="en-HK"/>
        </w:rPr>
        <w:t>Mann’s honesty was not an issue formally raised in the litigation</w:t>
      </w:r>
      <w:r w:rsidRPr="004E35DB">
        <w:rPr>
          <w:rFonts w:ascii="Times New Roman" w:hAnsi="Times New Roman"/>
          <w:lang w:val="en-HK"/>
        </w:rPr>
        <w:t xml:space="preserve">. Such an approach </w:t>
      </w:r>
      <w:r w:rsidRPr="004E35DB">
        <w:rPr>
          <w:rFonts w:ascii="Times New Roman" w:hAnsi="Times New Roman"/>
          <w:b/>
          <w:bCs/>
          <w:lang w:val="en-HK"/>
        </w:rPr>
        <w:t>exceeded the scope of the case</w:t>
      </w:r>
      <w:r w:rsidRPr="004E35DB">
        <w:rPr>
          <w:rFonts w:ascii="Times New Roman" w:hAnsi="Times New Roman"/>
          <w:lang w:val="en-HK"/>
        </w:rPr>
        <w:t xml:space="preserve"> and arguably prejudiced the outcome. This </w:t>
      </w:r>
      <w:r w:rsidRPr="004E35DB">
        <w:rPr>
          <w:rFonts w:ascii="Times New Roman" w:hAnsi="Times New Roman"/>
          <w:lang w:val="en-HK"/>
        </w:rPr>
        <w:lastRenderedPageBreak/>
        <w:t xml:space="preserve">aspect of the ruling underscores the principle that </w:t>
      </w:r>
      <w:r w:rsidRPr="004E35DB">
        <w:rPr>
          <w:rFonts w:ascii="Times New Roman" w:hAnsi="Times New Roman"/>
          <w:b/>
          <w:bCs/>
          <w:lang w:val="en-HK"/>
        </w:rPr>
        <w:t>judicial reasoning must remain within the bounds of pleaded issues and evidential findings</w:t>
      </w:r>
      <w:r w:rsidRPr="004E35DB">
        <w:rPr>
          <w:rFonts w:ascii="Times New Roman" w:hAnsi="Times New Roman"/>
          <w:lang w:val="en-HK"/>
        </w:rPr>
        <w:t>.</w:t>
      </w:r>
    </w:p>
    <w:p w14:paraId="6518CA14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The Court of Appeal’s strict rebuke highlights the </w:t>
      </w:r>
      <w:r w:rsidRPr="004E35DB">
        <w:rPr>
          <w:rFonts w:ascii="Times New Roman" w:hAnsi="Times New Roman"/>
          <w:b/>
          <w:bCs/>
          <w:lang w:val="en-HK"/>
        </w:rPr>
        <w:t>importance of procedural integrity in commercial litigation</w:t>
      </w:r>
      <w:r w:rsidRPr="004E35DB">
        <w:rPr>
          <w:rFonts w:ascii="Times New Roman" w:hAnsi="Times New Roman"/>
          <w:lang w:val="en-HK"/>
        </w:rPr>
        <w:t xml:space="preserve">. A judge’s role is not to act as an advocate for one party but to determine issues strictly based on </w:t>
      </w:r>
      <w:r w:rsidRPr="004E35DB">
        <w:rPr>
          <w:rFonts w:ascii="Times New Roman" w:hAnsi="Times New Roman"/>
          <w:b/>
          <w:bCs/>
          <w:lang w:val="en-HK"/>
        </w:rPr>
        <w:t>evidence, pleadings, and applicable law</w:t>
      </w:r>
      <w:r w:rsidRPr="004E35DB">
        <w:rPr>
          <w:rFonts w:ascii="Times New Roman" w:hAnsi="Times New Roman"/>
          <w:lang w:val="en-HK"/>
        </w:rPr>
        <w:t xml:space="preserve">. The judgment in </w:t>
      </w:r>
      <w:r w:rsidRPr="004E35DB">
        <w:rPr>
          <w:rFonts w:ascii="Times New Roman" w:hAnsi="Times New Roman"/>
          <w:i/>
          <w:iCs/>
          <w:lang w:val="en-HK"/>
        </w:rPr>
        <w:t>Brewer v Mann</w:t>
      </w:r>
      <w:r w:rsidRPr="004E35DB">
        <w:rPr>
          <w:rFonts w:ascii="Times New Roman" w:hAnsi="Times New Roman"/>
          <w:lang w:val="en-HK"/>
        </w:rPr>
        <w:t xml:space="preserve"> serves as an important precedent regarding </w:t>
      </w:r>
      <w:r w:rsidRPr="004E35DB">
        <w:rPr>
          <w:rFonts w:ascii="Times New Roman" w:hAnsi="Times New Roman"/>
          <w:b/>
          <w:bCs/>
          <w:lang w:val="en-HK"/>
        </w:rPr>
        <w:t>judicial intervention and the limits of judicial discretion in contract disputes</w:t>
      </w:r>
      <w:r w:rsidRPr="004E35DB">
        <w:rPr>
          <w:rFonts w:ascii="Times New Roman" w:hAnsi="Times New Roman"/>
          <w:lang w:val="en-HK"/>
        </w:rPr>
        <w:t>.</w:t>
      </w:r>
    </w:p>
    <w:p w14:paraId="030D5628" w14:textId="77777777" w:rsidR="004E35DB" w:rsidRPr="004E35DB" w:rsidRDefault="004E35DB" w:rsidP="00984FC7">
      <w:pPr>
        <w:spacing w:before="100" w:beforeAutospacing="1" w:after="100" w:afterAutospacing="1" w:line="360" w:lineRule="auto"/>
        <w:outlineLvl w:val="4"/>
        <w:rPr>
          <w:rFonts w:ascii="Times New Roman" w:hAnsi="Times New Roman"/>
          <w:b/>
          <w:bCs/>
          <w:lang w:val="en-HK"/>
        </w:rPr>
      </w:pPr>
      <w:r w:rsidRPr="004E35DB">
        <w:rPr>
          <w:rFonts w:ascii="Times New Roman" w:hAnsi="Times New Roman"/>
          <w:b/>
          <w:bCs/>
          <w:lang w:val="en-HK"/>
        </w:rPr>
        <w:t>2. Dismissal of the Misdescription Claim Against the Finance Company</w:t>
      </w:r>
    </w:p>
    <w:p w14:paraId="31AEFDCC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A crucial component of the appeal concerned the liability of the </w:t>
      </w:r>
      <w:r w:rsidRPr="004E35DB">
        <w:rPr>
          <w:rFonts w:ascii="Times New Roman" w:hAnsi="Times New Roman"/>
          <w:b/>
          <w:bCs/>
          <w:lang w:val="en-HK"/>
        </w:rPr>
        <w:t>finance company</w:t>
      </w:r>
      <w:r w:rsidRPr="004E35DB">
        <w:rPr>
          <w:rFonts w:ascii="Times New Roman" w:hAnsi="Times New Roman"/>
          <w:lang w:val="en-HK"/>
        </w:rPr>
        <w:t xml:space="preserve">, which had repossessed the Bentley from Brewer following her default on hire purchase payments. Brewer’s claim against the finance company alleged that the </w:t>
      </w:r>
      <w:r w:rsidRPr="004E35DB">
        <w:rPr>
          <w:rFonts w:ascii="Times New Roman" w:hAnsi="Times New Roman"/>
          <w:b/>
          <w:bCs/>
          <w:lang w:val="en-HK"/>
        </w:rPr>
        <w:t>hire purchase contract had been breached</w:t>
      </w:r>
      <w:r w:rsidRPr="004E35DB">
        <w:rPr>
          <w:rFonts w:ascii="Times New Roman" w:hAnsi="Times New Roman"/>
          <w:lang w:val="en-HK"/>
        </w:rPr>
        <w:t xml:space="preserve">, as the vehicle she had financed was </w:t>
      </w:r>
      <w:r w:rsidRPr="004E35DB">
        <w:rPr>
          <w:rFonts w:ascii="Times New Roman" w:hAnsi="Times New Roman"/>
          <w:i/>
          <w:iCs/>
          <w:lang w:val="en-HK"/>
        </w:rPr>
        <w:t>not</w:t>
      </w:r>
      <w:r w:rsidRPr="004E35DB">
        <w:rPr>
          <w:rFonts w:ascii="Times New Roman" w:hAnsi="Times New Roman"/>
          <w:lang w:val="en-HK"/>
        </w:rPr>
        <w:t xml:space="preserve"> a genuine </w:t>
      </w:r>
      <w:r w:rsidRPr="004E35DB">
        <w:rPr>
          <w:rFonts w:ascii="Times New Roman" w:hAnsi="Times New Roman"/>
          <w:b/>
          <w:bCs/>
          <w:lang w:val="en-HK"/>
        </w:rPr>
        <w:t>Speed Six</w:t>
      </w:r>
      <w:r w:rsidRPr="004E35DB">
        <w:rPr>
          <w:rFonts w:ascii="Times New Roman" w:hAnsi="Times New Roman"/>
          <w:lang w:val="en-HK"/>
        </w:rPr>
        <w:t>.</w:t>
      </w:r>
    </w:p>
    <w:p w14:paraId="214B369B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The Court of Appeal </w:t>
      </w:r>
      <w:r w:rsidRPr="004E35DB">
        <w:rPr>
          <w:rFonts w:ascii="Times New Roman" w:hAnsi="Times New Roman"/>
          <w:b/>
          <w:bCs/>
          <w:lang w:val="en-HK"/>
        </w:rPr>
        <w:t>categorically rejected this argument</w:t>
      </w:r>
      <w:r w:rsidRPr="004E35DB">
        <w:rPr>
          <w:rFonts w:ascii="Times New Roman" w:hAnsi="Times New Roman"/>
          <w:lang w:val="en-HK"/>
        </w:rPr>
        <w:t xml:space="preserve">, reasoning that the </w:t>
      </w:r>
      <w:r w:rsidRPr="004E35DB">
        <w:rPr>
          <w:rFonts w:ascii="Times New Roman" w:hAnsi="Times New Roman"/>
          <w:color w:val="FF0000"/>
          <w:lang w:val="en-HK"/>
        </w:rPr>
        <w:t xml:space="preserve">finance company had </w:t>
      </w:r>
      <w:r w:rsidRPr="004E35DB">
        <w:rPr>
          <w:rFonts w:ascii="Times New Roman" w:hAnsi="Times New Roman"/>
          <w:b/>
          <w:bCs/>
          <w:color w:val="FF0000"/>
          <w:lang w:val="en-HK"/>
        </w:rPr>
        <w:t>not been responsible for describing the car</w:t>
      </w:r>
      <w:r w:rsidRPr="004E35DB">
        <w:rPr>
          <w:rFonts w:ascii="Times New Roman" w:hAnsi="Times New Roman"/>
          <w:color w:val="FF0000"/>
          <w:lang w:val="en-HK"/>
        </w:rPr>
        <w:t xml:space="preserve"> at the time of sale</w:t>
      </w:r>
      <w:r w:rsidRPr="004E35DB">
        <w:rPr>
          <w:rFonts w:ascii="Times New Roman" w:hAnsi="Times New Roman"/>
          <w:lang w:val="en-HK"/>
        </w:rPr>
        <w:t xml:space="preserve">. </w:t>
      </w:r>
      <w:r w:rsidRPr="004E35DB">
        <w:rPr>
          <w:rFonts w:ascii="Times New Roman" w:hAnsi="Times New Roman"/>
          <w:b/>
          <w:bCs/>
          <w:lang w:val="en-HK"/>
        </w:rPr>
        <w:t>No misrepresentation</w:t>
      </w:r>
      <w:r w:rsidRPr="004E35DB">
        <w:rPr>
          <w:rFonts w:ascii="Times New Roman" w:hAnsi="Times New Roman"/>
          <w:lang w:val="en-HK"/>
        </w:rPr>
        <w:t xml:space="preserve"> had been made by the finance company, nor had it engaged in any conduct that could be construed as </w:t>
      </w:r>
      <w:r w:rsidRPr="004E35DB">
        <w:rPr>
          <w:rFonts w:ascii="Times New Roman" w:hAnsi="Times New Roman"/>
          <w:b/>
          <w:bCs/>
          <w:lang w:val="en-HK"/>
        </w:rPr>
        <w:t>misdescribing the vehicle’s authenticity</w:t>
      </w:r>
      <w:r w:rsidRPr="004E35DB">
        <w:rPr>
          <w:rFonts w:ascii="Times New Roman" w:hAnsi="Times New Roman"/>
          <w:lang w:val="en-HK"/>
        </w:rPr>
        <w:t xml:space="preserve">. Accordingly, the appellate court </w:t>
      </w:r>
      <w:r w:rsidRPr="004E35DB">
        <w:rPr>
          <w:rFonts w:ascii="Times New Roman" w:hAnsi="Times New Roman"/>
          <w:b/>
          <w:bCs/>
          <w:lang w:val="en-HK"/>
        </w:rPr>
        <w:t>upheld the finance company’s counterclaim</w:t>
      </w:r>
      <w:r w:rsidRPr="004E35DB">
        <w:rPr>
          <w:rFonts w:ascii="Times New Roman" w:hAnsi="Times New Roman"/>
          <w:lang w:val="en-HK"/>
        </w:rPr>
        <w:t xml:space="preserve">, ruling that Brewer was liable for </w:t>
      </w:r>
      <w:r w:rsidRPr="004E35DB">
        <w:rPr>
          <w:rFonts w:ascii="Times New Roman" w:hAnsi="Times New Roman"/>
          <w:b/>
          <w:bCs/>
          <w:lang w:val="en-HK"/>
        </w:rPr>
        <w:t>£61,000</w:t>
      </w:r>
      <w:r w:rsidRPr="004E35DB">
        <w:rPr>
          <w:rFonts w:ascii="Times New Roman" w:hAnsi="Times New Roman"/>
          <w:lang w:val="en-HK"/>
        </w:rPr>
        <w:t xml:space="preserve"> in costs associated with </w:t>
      </w:r>
      <w:r w:rsidRPr="004E35DB">
        <w:rPr>
          <w:rFonts w:ascii="Times New Roman" w:hAnsi="Times New Roman"/>
          <w:b/>
          <w:bCs/>
          <w:lang w:val="en-HK"/>
        </w:rPr>
        <w:t>repossession, storage, and resale</w:t>
      </w:r>
      <w:r w:rsidRPr="004E35DB">
        <w:rPr>
          <w:rFonts w:ascii="Times New Roman" w:hAnsi="Times New Roman"/>
          <w:lang w:val="en-HK"/>
        </w:rPr>
        <w:t xml:space="preserve"> of the Bentley.</w:t>
      </w:r>
    </w:p>
    <w:p w14:paraId="5D7AAB54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This aspect of the case reinforces a </w:t>
      </w:r>
      <w:r w:rsidRPr="004E35DB">
        <w:rPr>
          <w:rFonts w:ascii="Times New Roman" w:hAnsi="Times New Roman"/>
          <w:b/>
          <w:bCs/>
          <w:lang w:val="en-HK"/>
        </w:rPr>
        <w:t>fundamental distinction in sales and financing transactions</w:t>
      </w:r>
      <w:r w:rsidRPr="004E35DB">
        <w:rPr>
          <w:rFonts w:ascii="Times New Roman" w:hAnsi="Times New Roman"/>
          <w:lang w:val="en-HK"/>
        </w:rPr>
        <w:t>:</w:t>
      </w:r>
    </w:p>
    <w:p w14:paraId="460B993F" w14:textId="77777777" w:rsidR="004E35DB" w:rsidRPr="004E35DB" w:rsidRDefault="004E35DB" w:rsidP="00984FC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The </w:t>
      </w:r>
      <w:r w:rsidRPr="004E35DB">
        <w:rPr>
          <w:rFonts w:ascii="Times New Roman" w:hAnsi="Times New Roman"/>
          <w:b/>
          <w:bCs/>
          <w:lang w:val="en-HK"/>
        </w:rPr>
        <w:t>seller</w:t>
      </w:r>
      <w:r w:rsidRPr="004E35DB">
        <w:rPr>
          <w:rFonts w:ascii="Times New Roman" w:hAnsi="Times New Roman"/>
          <w:lang w:val="en-HK"/>
        </w:rPr>
        <w:t xml:space="preserve">, not the </w:t>
      </w:r>
      <w:r w:rsidRPr="004E35DB">
        <w:rPr>
          <w:rFonts w:ascii="Times New Roman" w:hAnsi="Times New Roman"/>
          <w:b/>
          <w:bCs/>
          <w:lang w:val="en-HK"/>
        </w:rPr>
        <w:t>finance provider</w:t>
      </w:r>
      <w:r w:rsidRPr="004E35DB">
        <w:rPr>
          <w:rFonts w:ascii="Times New Roman" w:hAnsi="Times New Roman"/>
          <w:lang w:val="en-HK"/>
        </w:rPr>
        <w:t xml:space="preserve">, bears responsibility for </w:t>
      </w:r>
      <w:r w:rsidRPr="004E35DB">
        <w:rPr>
          <w:rFonts w:ascii="Times New Roman" w:hAnsi="Times New Roman"/>
          <w:b/>
          <w:bCs/>
          <w:lang w:val="en-HK"/>
        </w:rPr>
        <w:t>the accuracy of product descriptions</w:t>
      </w:r>
      <w:r w:rsidRPr="004E35DB">
        <w:rPr>
          <w:rFonts w:ascii="Times New Roman" w:hAnsi="Times New Roman"/>
          <w:lang w:val="en-HK"/>
        </w:rPr>
        <w:t>.</w:t>
      </w:r>
    </w:p>
    <w:p w14:paraId="4602D6A9" w14:textId="77777777" w:rsidR="004E35DB" w:rsidRPr="004E35DB" w:rsidRDefault="004E35DB" w:rsidP="00984FC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A </w:t>
      </w:r>
      <w:r w:rsidRPr="004E35DB">
        <w:rPr>
          <w:rFonts w:ascii="Times New Roman" w:hAnsi="Times New Roman"/>
          <w:b/>
          <w:bCs/>
          <w:lang w:val="en-HK"/>
        </w:rPr>
        <w:t>hire purchase agreement does not transfer liability for misdescription from the seller to the lender</w:t>
      </w:r>
      <w:r w:rsidRPr="004E35DB">
        <w:rPr>
          <w:rFonts w:ascii="Times New Roman" w:hAnsi="Times New Roman"/>
          <w:lang w:val="en-HK"/>
        </w:rPr>
        <w:t>.</w:t>
      </w:r>
    </w:p>
    <w:p w14:paraId="75F1E3E3" w14:textId="77777777" w:rsidR="004E35DB" w:rsidRPr="004E35DB" w:rsidRDefault="004E35DB" w:rsidP="00984FC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Buyers financing vehicles through </w:t>
      </w:r>
      <w:r w:rsidRPr="004E35DB">
        <w:rPr>
          <w:rFonts w:ascii="Times New Roman" w:hAnsi="Times New Roman"/>
          <w:b/>
          <w:bCs/>
          <w:lang w:val="en-HK"/>
        </w:rPr>
        <w:t>third parties cannot seek legal recourse against the financier for defects or misrepresentation in the goods</w:t>
      </w:r>
      <w:r w:rsidRPr="004E35DB">
        <w:rPr>
          <w:rFonts w:ascii="Times New Roman" w:hAnsi="Times New Roman"/>
          <w:lang w:val="en-HK"/>
        </w:rPr>
        <w:t>.</w:t>
      </w:r>
    </w:p>
    <w:p w14:paraId="5BC07B24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The Court of Appeal’s ruling is consistent with the well-established principles of </w:t>
      </w:r>
      <w:r w:rsidRPr="004E35DB">
        <w:rPr>
          <w:rFonts w:ascii="Times New Roman" w:hAnsi="Times New Roman"/>
          <w:b/>
          <w:bCs/>
          <w:lang w:val="en-HK"/>
        </w:rPr>
        <w:t>contract law and consumer credit regulation</w:t>
      </w:r>
      <w:r w:rsidRPr="004E35DB">
        <w:rPr>
          <w:rFonts w:ascii="Times New Roman" w:hAnsi="Times New Roman"/>
          <w:lang w:val="en-HK"/>
        </w:rPr>
        <w:t xml:space="preserve">, ensuring that </w:t>
      </w:r>
      <w:r w:rsidRPr="004E35DB">
        <w:rPr>
          <w:rFonts w:ascii="Times New Roman" w:hAnsi="Times New Roman"/>
          <w:b/>
          <w:bCs/>
          <w:lang w:val="en-HK"/>
        </w:rPr>
        <w:t>finance companies are not unfairly held liable for defects in goods they do not directly market or sell</w:t>
      </w:r>
      <w:r w:rsidRPr="004E35DB">
        <w:rPr>
          <w:rFonts w:ascii="Times New Roman" w:hAnsi="Times New Roman"/>
          <w:lang w:val="en-HK"/>
        </w:rPr>
        <w:t>.</w:t>
      </w:r>
    </w:p>
    <w:p w14:paraId="024101B4" w14:textId="77777777" w:rsidR="004E35DB" w:rsidRPr="004E35DB" w:rsidRDefault="004E35DB" w:rsidP="00984FC7">
      <w:pPr>
        <w:spacing w:before="100" w:beforeAutospacing="1" w:after="100" w:afterAutospacing="1" w:line="360" w:lineRule="auto"/>
        <w:outlineLvl w:val="4"/>
        <w:rPr>
          <w:rFonts w:ascii="Times New Roman" w:hAnsi="Times New Roman"/>
          <w:b/>
          <w:bCs/>
          <w:lang w:val="en-HK"/>
        </w:rPr>
      </w:pPr>
      <w:r w:rsidRPr="004E35DB">
        <w:rPr>
          <w:rFonts w:ascii="Times New Roman" w:hAnsi="Times New Roman"/>
          <w:b/>
          <w:bCs/>
          <w:lang w:val="en-HK"/>
        </w:rPr>
        <w:lastRenderedPageBreak/>
        <w:t>3. The Legal Definition of “Speed Six” and the Market’s Interpretation of Authenticity</w:t>
      </w:r>
    </w:p>
    <w:p w14:paraId="12EAFFE7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The final and most commercially significant issue examined by the Court of Appeal was the </w:t>
      </w:r>
      <w:r w:rsidRPr="004E35DB">
        <w:rPr>
          <w:rFonts w:ascii="Times New Roman" w:hAnsi="Times New Roman"/>
          <w:b/>
          <w:bCs/>
          <w:lang w:val="en-HK"/>
        </w:rPr>
        <w:t>definition of authenticity in vintage car sales</w:t>
      </w:r>
      <w:r w:rsidRPr="004E35DB">
        <w:rPr>
          <w:rFonts w:ascii="Times New Roman" w:hAnsi="Times New Roman"/>
          <w:lang w:val="en-HK"/>
        </w:rPr>
        <w:t xml:space="preserve">, specifically whether the Bentley sold to Brewer </w:t>
      </w:r>
      <w:r w:rsidRPr="004E35DB">
        <w:rPr>
          <w:rFonts w:ascii="Times New Roman" w:hAnsi="Times New Roman"/>
          <w:b/>
          <w:bCs/>
          <w:i/>
          <w:iCs/>
          <w:color w:val="FF0000"/>
          <w:lang w:val="en-HK"/>
        </w:rPr>
        <w:t>deserved the title</w:t>
      </w:r>
      <w:r w:rsidRPr="004E35DB">
        <w:rPr>
          <w:rFonts w:ascii="Times New Roman" w:hAnsi="Times New Roman"/>
          <w:color w:val="FF0000"/>
          <w:lang w:val="en-HK"/>
        </w:rPr>
        <w:t xml:space="preserve"> </w:t>
      </w:r>
      <w:r w:rsidRPr="004E35DB">
        <w:rPr>
          <w:rFonts w:ascii="Times New Roman" w:hAnsi="Times New Roman"/>
          <w:b/>
          <w:bCs/>
          <w:lang w:val="en-HK"/>
        </w:rPr>
        <w:t>“Speed Six”</w:t>
      </w:r>
      <w:r w:rsidRPr="004E35DB">
        <w:rPr>
          <w:rFonts w:ascii="Times New Roman" w:hAnsi="Times New Roman"/>
          <w:lang w:val="en-HK"/>
        </w:rPr>
        <w:t>.</w:t>
      </w:r>
    </w:p>
    <w:p w14:paraId="5C680C86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The </w:t>
      </w:r>
      <w:r w:rsidRPr="004E35DB">
        <w:rPr>
          <w:rFonts w:ascii="Times New Roman" w:hAnsi="Times New Roman"/>
          <w:b/>
          <w:bCs/>
          <w:lang w:val="en-HK"/>
        </w:rPr>
        <w:t>key legal issue</w:t>
      </w:r>
      <w:r w:rsidRPr="004E35DB">
        <w:rPr>
          <w:rFonts w:ascii="Times New Roman" w:hAnsi="Times New Roman"/>
          <w:lang w:val="en-HK"/>
        </w:rPr>
        <w:t xml:space="preserve"> was whether a vehicle could be described as a </w:t>
      </w:r>
      <w:r w:rsidRPr="004E35DB">
        <w:rPr>
          <w:rFonts w:ascii="Times New Roman" w:hAnsi="Times New Roman"/>
          <w:b/>
          <w:bCs/>
          <w:lang w:val="en-HK"/>
        </w:rPr>
        <w:t>Speed Six</w:t>
      </w:r>
      <w:r w:rsidRPr="004E35DB">
        <w:rPr>
          <w:rFonts w:ascii="Times New Roman" w:hAnsi="Times New Roman"/>
          <w:lang w:val="en-HK"/>
        </w:rPr>
        <w:t xml:space="preserve"> solely on the basis of its </w:t>
      </w:r>
      <w:r w:rsidRPr="004E35DB">
        <w:rPr>
          <w:rFonts w:ascii="Times New Roman" w:hAnsi="Times New Roman"/>
          <w:b/>
          <w:bCs/>
          <w:lang w:val="en-HK"/>
        </w:rPr>
        <w:t>chassis number and structure</w:t>
      </w:r>
      <w:r w:rsidRPr="004E35DB">
        <w:rPr>
          <w:rFonts w:ascii="Times New Roman" w:hAnsi="Times New Roman"/>
          <w:lang w:val="en-HK"/>
        </w:rPr>
        <w:t xml:space="preserve">, or whether the presence of an </w:t>
      </w:r>
      <w:r w:rsidRPr="004E35DB">
        <w:rPr>
          <w:rFonts w:ascii="Times New Roman" w:hAnsi="Times New Roman"/>
          <w:b/>
          <w:bCs/>
          <w:lang w:val="en-HK"/>
        </w:rPr>
        <w:t>original Speed Six engine</w:t>
      </w:r>
      <w:r w:rsidRPr="004E35DB">
        <w:rPr>
          <w:rFonts w:ascii="Times New Roman" w:hAnsi="Times New Roman"/>
          <w:lang w:val="en-HK"/>
        </w:rPr>
        <w:t xml:space="preserve"> was an </w:t>
      </w:r>
      <w:r w:rsidRPr="004E35DB">
        <w:rPr>
          <w:rFonts w:ascii="Times New Roman" w:hAnsi="Times New Roman"/>
          <w:i/>
          <w:iCs/>
          <w:lang w:val="en-HK"/>
        </w:rPr>
        <w:t>essential requirement</w:t>
      </w:r>
      <w:r w:rsidRPr="004E35DB">
        <w:rPr>
          <w:rFonts w:ascii="Times New Roman" w:hAnsi="Times New Roman"/>
          <w:lang w:val="en-HK"/>
        </w:rPr>
        <w:t xml:space="preserve"> for such a description.</w:t>
      </w:r>
    </w:p>
    <w:p w14:paraId="1EB545BA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>Brewer’s position was clear:</w:t>
      </w:r>
    </w:p>
    <w:p w14:paraId="2B40AA44" w14:textId="77777777" w:rsidR="004E35DB" w:rsidRPr="004E35DB" w:rsidRDefault="004E35DB" w:rsidP="00984FC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A car could only be called a </w:t>
      </w:r>
      <w:r w:rsidRPr="004E35DB">
        <w:rPr>
          <w:rFonts w:ascii="Times New Roman" w:hAnsi="Times New Roman"/>
          <w:b/>
          <w:bCs/>
          <w:lang w:val="en-HK"/>
        </w:rPr>
        <w:t>genuine Speed Six</w:t>
      </w:r>
      <w:r w:rsidRPr="004E35DB">
        <w:rPr>
          <w:rFonts w:ascii="Times New Roman" w:hAnsi="Times New Roman"/>
          <w:lang w:val="en-HK"/>
        </w:rPr>
        <w:t xml:space="preserve"> if it had a factory-installed </w:t>
      </w:r>
      <w:r w:rsidRPr="004E35DB">
        <w:rPr>
          <w:rFonts w:ascii="Times New Roman" w:hAnsi="Times New Roman"/>
          <w:b/>
          <w:bCs/>
          <w:lang w:val="en-HK"/>
        </w:rPr>
        <w:t>Speed Six engine</w:t>
      </w:r>
      <w:r w:rsidRPr="004E35DB">
        <w:rPr>
          <w:rFonts w:ascii="Times New Roman" w:hAnsi="Times New Roman"/>
          <w:lang w:val="en-HK"/>
        </w:rPr>
        <w:t>.</w:t>
      </w:r>
    </w:p>
    <w:p w14:paraId="6AD0C74B" w14:textId="77777777" w:rsidR="004E35DB" w:rsidRPr="004E35DB" w:rsidRDefault="004E35DB" w:rsidP="00984FC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>Any post-production modifications, including engine changes, rendered the description inaccurate.</w:t>
      </w:r>
    </w:p>
    <w:p w14:paraId="667A8B38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>Conversely, Mann’s argument was:</w:t>
      </w:r>
    </w:p>
    <w:p w14:paraId="063BD0AB" w14:textId="77777777" w:rsidR="004E35DB" w:rsidRPr="004E35DB" w:rsidRDefault="004E35DB" w:rsidP="00984FC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b/>
          <w:bCs/>
          <w:lang w:val="en-HK"/>
        </w:rPr>
        <w:t>The core identifier of a Bentley Speed Six is the chassis, not the engine.</w:t>
      </w:r>
    </w:p>
    <w:p w14:paraId="3FC0E41F" w14:textId="77777777" w:rsidR="004E35DB" w:rsidRPr="004E35DB" w:rsidRDefault="004E35DB" w:rsidP="00984FC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b/>
          <w:bCs/>
          <w:lang w:val="en-HK"/>
        </w:rPr>
        <w:t>Market practice in classic car sales</w:t>
      </w:r>
      <w:r w:rsidRPr="004E35DB">
        <w:rPr>
          <w:rFonts w:ascii="Times New Roman" w:hAnsi="Times New Roman"/>
          <w:lang w:val="en-HK"/>
        </w:rPr>
        <w:t xml:space="preserve"> accepts that original parts are often replaced or modified.</w:t>
      </w:r>
    </w:p>
    <w:p w14:paraId="65FC5559" w14:textId="77777777" w:rsidR="004E35DB" w:rsidRPr="004E35DB" w:rsidRDefault="004E35DB" w:rsidP="00984FC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The </w:t>
      </w:r>
      <w:r w:rsidRPr="004E35DB">
        <w:rPr>
          <w:rFonts w:ascii="Times New Roman" w:hAnsi="Times New Roman"/>
          <w:b/>
          <w:bCs/>
          <w:lang w:val="en-HK"/>
        </w:rPr>
        <w:t>Bentley Drivers Club</w:t>
      </w:r>
      <w:r w:rsidRPr="004E35DB">
        <w:rPr>
          <w:rFonts w:ascii="Times New Roman" w:hAnsi="Times New Roman"/>
          <w:lang w:val="en-HK"/>
        </w:rPr>
        <w:t xml:space="preserve"> and </w:t>
      </w:r>
      <w:r w:rsidRPr="004E35DB">
        <w:rPr>
          <w:rFonts w:ascii="Times New Roman" w:hAnsi="Times New Roman"/>
          <w:b/>
          <w:bCs/>
          <w:lang w:val="en-HK"/>
        </w:rPr>
        <w:t>Mann’s expert witness</w:t>
      </w:r>
      <w:r w:rsidRPr="004E35DB">
        <w:rPr>
          <w:rFonts w:ascii="Times New Roman" w:hAnsi="Times New Roman"/>
          <w:lang w:val="en-HK"/>
        </w:rPr>
        <w:t xml:space="preserve"> confirmed that a </w:t>
      </w:r>
      <w:r w:rsidRPr="004E35DB">
        <w:rPr>
          <w:rFonts w:ascii="Times New Roman" w:hAnsi="Times New Roman"/>
          <w:b/>
          <w:bCs/>
          <w:lang w:val="en-HK"/>
        </w:rPr>
        <w:t>chassis number matching a Speed Six production record was sufficient for classification</w:t>
      </w:r>
      <w:r w:rsidRPr="004E35DB">
        <w:rPr>
          <w:rFonts w:ascii="Times New Roman" w:hAnsi="Times New Roman"/>
          <w:lang w:val="en-HK"/>
        </w:rPr>
        <w:t xml:space="preserve"> as a Speed Six.</w:t>
      </w:r>
    </w:p>
    <w:p w14:paraId="1C631A3D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The Court of Appeal ultimately </w:t>
      </w:r>
      <w:r w:rsidRPr="004E35DB">
        <w:rPr>
          <w:rFonts w:ascii="Times New Roman" w:hAnsi="Times New Roman"/>
          <w:b/>
          <w:bCs/>
          <w:color w:val="FF0000"/>
          <w:lang w:val="en-HK"/>
        </w:rPr>
        <w:t>accepted Mann’s argument</w:t>
      </w:r>
      <w:r w:rsidRPr="004E35DB">
        <w:rPr>
          <w:rFonts w:ascii="Times New Roman" w:hAnsi="Times New Roman"/>
          <w:lang w:val="en-HK"/>
        </w:rPr>
        <w:t xml:space="preserve">, concluding that a </w:t>
      </w:r>
      <w:r w:rsidRPr="004E35DB">
        <w:rPr>
          <w:rFonts w:ascii="Times New Roman" w:hAnsi="Times New Roman"/>
          <w:b/>
          <w:bCs/>
          <w:lang w:val="en-HK"/>
        </w:rPr>
        <w:t>Bentley rebuilt around an original Speed Six chassis with the correct chassis number</w:t>
      </w:r>
      <w:r w:rsidRPr="004E35DB">
        <w:rPr>
          <w:rFonts w:ascii="Times New Roman" w:hAnsi="Times New Roman"/>
          <w:lang w:val="en-HK"/>
        </w:rPr>
        <w:t xml:space="preserve"> remained </w:t>
      </w:r>
      <w:r w:rsidRPr="004E35DB">
        <w:rPr>
          <w:rFonts w:ascii="Times New Roman" w:hAnsi="Times New Roman"/>
          <w:b/>
          <w:bCs/>
          <w:lang w:val="en-HK"/>
        </w:rPr>
        <w:t>legitimately classified</w:t>
      </w:r>
      <w:r w:rsidRPr="004E35DB">
        <w:rPr>
          <w:rFonts w:ascii="Times New Roman" w:hAnsi="Times New Roman"/>
          <w:lang w:val="en-HK"/>
        </w:rPr>
        <w:t xml:space="preserve"> as a Speed Six.</w:t>
      </w:r>
    </w:p>
    <w:p w14:paraId="20F26703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This ruling aligns with broader </w:t>
      </w:r>
      <w:r w:rsidRPr="004E35DB">
        <w:rPr>
          <w:rFonts w:ascii="Times New Roman" w:hAnsi="Times New Roman"/>
          <w:b/>
          <w:bCs/>
          <w:lang w:val="en-HK"/>
        </w:rPr>
        <w:t>commercial realities in vintage car transactions</w:t>
      </w:r>
      <w:r w:rsidRPr="004E35DB">
        <w:rPr>
          <w:rFonts w:ascii="Times New Roman" w:hAnsi="Times New Roman"/>
          <w:lang w:val="en-HK"/>
        </w:rPr>
        <w:t>, recognising that:</w:t>
      </w:r>
    </w:p>
    <w:p w14:paraId="0E669132" w14:textId="77777777" w:rsidR="004E35DB" w:rsidRPr="004E35DB" w:rsidRDefault="004E35DB" w:rsidP="00984FC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b/>
          <w:bCs/>
          <w:lang w:val="en-HK"/>
        </w:rPr>
        <w:t>Authenticity is not absolute</w:t>
      </w:r>
      <w:r w:rsidRPr="004E35DB">
        <w:rPr>
          <w:rFonts w:ascii="Times New Roman" w:hAnsi="Times New Roman"/>
          <w:lang w:val="en-HK"/>
        </w:rPr>
        <w:t>: Classic cars often undergo restorations, and strict originality is rarely maintained.</w:t>
      </w:r>
    </w:p>
    <w:p w14:paraId="0FDCD9FF" w14:textId="77777777" w:rsidR="004E35DB" w:rsidRPr="004E35DB" w:rsidRDefault="004E35DB" w:rsidP="00984FC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b/>
          <w:bCs/>
          <w:lang w:val="en-HK"/>
        </w:rPr>
        <w:lastRenderedPageBreak/>
        <w:t>Legal description is separate from provenance</w:t>
      </w:r>
      <w:r w:rsidRPr="004E35DB">
        <w:rPr>
          <w:rFonts w:ascii="Times New Roman" w:hAnsi="Times New Roman"/>
          <w:lang w:val="en-HK"/>
        </w:rPr>
        <w:t xml:space="preserve">: A car may still carry its original name if its </w:t>
      </w:r>
      <w:r w:rsidRPr="004E35DB">
        <w:rPr>
          <w:rFonts w:ascii="Times New Roman" w:hAnsi="Times New Roman"/>
          <w:i/>
          <w:iCs/>
          <w:lang w:val="en-HK"/>
        </w:rPr>
        <w:t>structural integrity is preserved</w:t>
      </w:r>
      <w:r w:rsidRPr="004E35DB">
        <w:rPr>
          <w:rFonts w:ascii="Times New Roman" w:hAnsi="Times New Roman"/>
          <w:lang w:val="en-HK"/>
        </w:rPr>
        <w:t>, even with modifications.</w:t>
      </w:r>
    </w:p>
    <w:p w14:paraId="26A3D345" w14:textId="77777777" w:rsidR="004E35DB" w:rsidRPr="004E35DB" w:rsidRDefault="004E35DB" w:rsidP="00984FC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b/>
          <w:bCs/>
          <w:lang w:val="en-HK"/>
        </w:rPr>
        <w:t>Market valuation reflects degrees of originality</w:t>
      </w:r>
      <w:r w:rsidRPr="004E35DB">
        <w:rPr>
          <w:rFonts w:ascii="Times New Roman" w:hAnsi="Times New Roman"/>
          <w:lang w:val="en-HK"/>
        </w:rPr>
        <w:t xml:space="preserve">: While </w:t>
      </w:r>
      <w:r w:rsidRPr="004E35DB">
        <w:rPr>
          <w:rFonts w:ascii="Times New Roman" w:hAnsi="Times New Roman"/>
          <w:b/>
          <w:bCs/>
          <w:lang w:val="en-HK"/>
        </w:rPr>
        <w:t>a car with its original engine may be more valuable</w:t>
      </w:r>
      <w:r w:rsidRPr="004E35DB">
        <w:rPr>
          <w:rFonts w:ascii="Times New Roman" w:hAnsi="Times New Roman"/>
          <w:lang w:val="en-HK"/>
        </w:rPr>
        <w:t xml:space="preserve">, this is a matter of </w:t>
      </w:r>
      <w:r w:rsidRPr="004E35DB">
        <w:rPr>
          <w:rFonts w:ascii="Times New Roman" w:hAnsi="Times New Roman"/>
          <w:i/>
          <w:iCs/>
          <w:lang w:val="en-HK"/>
        </w:rPr>
        <w:t>market pricing rather than legal classification</w:t>
      </w:r>
      <w:r w:rsidRPr="004E35DB">
        <w:rPr>
          <w:rFonts w:ascii="Times New Roman" w:hAnsi="Times New Roman"/>
          <w:lang w:val="en-HK"/>
        </w:rPr>
        <w:t>.</w:t>
      </w:r>
    </w:p>
    <w:p w14:paraId="181E483C" w14:textId="25372855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This decision aligns with previous case law, particularly </w:t>
      </w:r>
      <w:proofErr w:type="spellStart"/>
      <w:r w:rsidRPr="004E35DB">
        <w:rPr>
          <w:rFonts w:ascii="Times New Roman" w:hAnsi="Times New Roman"/>
          <w:i/>
          <w:iCs/>
          <w:lang w:val="en-HK"/>
        </w:rPr>
        <w:t>Harlingdon</w:t>
      </w:r>
      <w:proofErr w:type="spellEnd"/>
      <w:r w:rsidRPr="004E35DB">
        <w:rPr>
          <w:rFonts w:ascii="Times New Roman" w:hAnsi="Times New Roman"/>
          <w:i/>
          <w:iCs/>
          <w:lang w:val="en-HK"/>
        </w:rPr>
        <w:t xml:space="preserve"> &amp; Leinster Enterprises Ltd v Christopher Hull Fine Art Ltd</w:t>
      </w:r>
      <w:r w:rsidRPr="004E35DB">
        <w:rPr>
          <w:rFonts w:ascii="Times New Roman" w:hAnsi="Times New Roman"/>
          <w:lang w:val="en-HK"/>
        </w:rPr>
        <w:t xml:space="preserve"> [1991] 1 QB 564, which distinguished between </w:t>
      </w:r>
      <w:r w:rsidRPr="004E35DB">
        <w:rPr>
          <w:rFonts w:ascii="Times New Roman" w:hAnsi="Times New Roman"/>
          <w:b/>
          <w:bCs/>
          <w:lang w:val="en-HK"/>
        </w:rPr>
        <w:t>the legal description of an item and the factors that determine its commercial worth</w:t>
      </w:r>
      <w:r w:rsidRPr="004E35DB">
        <w:rPr>
          <w:rFonts w:ascii="Times New Roman" w:hAnsi="Times New Roman"/>
          <w:lang w:val="en-HK"/>
        </w:rPr>
        <w:t>.</w:t>
      </w:r>
    </w:p>
    <w:p w14:paraId="5CC5E5B6" w14:textId="5EE0FAB4" w:rsidR="004E35DB" w:rsidRPr="004E35DB" w:rsidRDefault="004E35DB" w:rsidP="00984FC7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color w:val="2F5496" w:themeColor="accent1" w:themeShade="BF"/>
          <w:lang w:val="en-HK"/>
        </w:rPr>
      </w:pPr>
      <w:r w:rsidRPr="004E35DB">
        <w:rPr>
          <w:rFonts w:ascii="Times New Roman" w:hAnsi="Times New Roman"/>
          <w:b/>
          <w:bCs/>
          <w:color w:val="2F5496" w:themeColor="accent1" w:themeShade="BF"/>
          <w:lang w:val="en-HK"/>
        </w:rPr>
        <w:t>5</w:t>
      </w:r>
      <w:r w:rsidRPr="00984FC7">
        <w:rPr>
          <w:rFonts w:ascii="Times New Roman" w:hAnsi="Times New Roman"/>
          <w:b/>
          <w:bCs/>
          <w:color w:val="2F5496" w:themeColor="accent1" w:themeShade="BF"/>
          <w:lang w:val="en-HK"/>
        </w:rPr>
        <w:t>.</w:t>
      </w:r>
      <w:r w:rsidRPr="004E35DB">
        <w:rPr>
          <w:rFonts w:ascii="Times New Roman" w:hAnsi="Times New Roman"/>
          <w:b/>
          <w:bCs/>
          <w:color w:val="2F5496" w:themeColor="accent1" w:themeShade="BF"/>
          <w:lang w:val="en-HK"/>
        </w:rPr>
        <w:t xml:space="preserve"> Defining Authenticity in Classic Cars – The Market vs Legal Perspectives</w:t>
      </w:r>
    </w:p>
    <w:p w14:paraId="2F0A4EA3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The Court of Appeal’s ruling in </w:t>
      </w:r>
      <w:r w:rsidRPr="004E35DB">
        <w:rPr>
          <w:rFonts w:ascii="Times New Roman" w:hAnsi="Times New Roman"/>
          <w:i/>
          <w:iCs/>
          <w:lang w:val="en-HK"/>
        </w:rPr>
        <w:t>Brewer v Mann</w:t>
      </w:r>
      <w:r w:rsidRPr="004E35DB">
        <w:rPr>
          <w:rFonts w:ascii="Times New Roman" w:hAnsi="Times New Roman"/>
          <w:lang w:val="en-HK"/>
        </w:rPr>
        <w:t xml:space="preserve"> provides a significant precedent for </w:t>
      </w:r>
      <w:r w:rsidRPr="004E35DB">
        <w:rPr>
          <w:rFonts w:ascii="Times New Roman" w:hAnsi="Times New Roman"/>
          <w:b/>
          <w:bCs/>
          <w:lang w:val="en-HK"/>
        </w:rPr>
        <w:t>contractual disputes involving authenticity claims</w:t>
      </w:r>
      <w:r w:rsidRPr="004E35DB">
        <w:rPr>
          <w:rFonts w:ascii="Times New Roman" w:hAnsi="Times New Roman"/>
          <w:lang w:val="en-HK"/>
        </w:rPr>
        <w:t xml:space="preserve"> in classic car sales. This section explores </w:t>
      </w:r>
      <w:r w:rsidRPr="004E35DB">
        <w:rPr>
          <w:rFonts w:ascii="Times New Roman" w:hAnsi="Times New Roman"/>
          <w:b/>
          <w:bCs/>
          <w:lang w:val="en-HK"/>
        </w:rPr>
        <w:t>the broader commercial implications</w:t>
      </w:r>
      <w:r w:rsidRPr="004E35DB">
        <w:rPr>
          <w:rFonts w:ascii="Times New Roman" w:hAnsi="Times New Roman"/>
          <w:lang w:val="en-HK"/>
        </w:rPr>
        <w:t xml:space="preserve"> of the judgment and how it influences the legal treatment of </w:t>
      </w:r>
      <w:r w:rsidRPr="004E35DB">
        <w:rPr>
          <w:rFonts w:ascii="Times New Roman" w:hAnsi="Times New Roman"/>
          <w:b/>
          <w:bCs/>
          <w:lang w:val="en-HK"/>
        </w:rPr>
        <w:t>authenticity in the collector’s market</w:t>
      </w:r>
      <w:r w:rsidRPr="004E35DB">
        <w:rPr>
          <w:rFonts w:ascii="Times New Roman" w:hAnsi="Times New Roman"/>
          <w:lang w:val="en-HK"/>
        </w:rPr>
        <w:t>.</w:t>
      </w:r>
    </w:p>
    <w:p w14:paraId="39777CB0" w14:textId="77777777" w:rsidR="004E35DB" w:rsidRPr="004E35DB" w:rsidRDefault="004E35DB" w:rsidP="00984FC7">
      <w:pPr>
        <w:spacing w:before="100" w:beforeAutospacing="1" w:after="100" w:afterAutospacing="1" w:line="360" w:lineRule="auto"/>
        <w:outlineLvl w:val="4"/>
        <w:rPr>
          <w:rFonts w:ascii="Times New Roman" w:hAnsi="Times New Roman"/>
          <w:b/>
          <w:bCs/>
          <w:color w:val="FF0000"/>
          <w:lang w:val="en-HK"/>
        </w:rPr>
      </w:pPr>
      <w:r w:rsidRPr="004E35DB">
        <w:rPr>
          <w:rFonts w:ascii="Times New Roman" w:hAnsi="Times New Roman"/>
          <w:b/>
          <w:bCs/>
          <w:color w:val="FF0000"/>
          <w:lang w:val="en-HK"/>
        </w:rPr>
        <w:t>1. Market-Defined vs Legally-Defined Authenticity</w:t>
      </w:r>
    </w:p>
    <w:p w14:paraId="37F72BA1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The ruling highlights the </w:t>
      </w:r>
      <w:r w:rsidRPr="004E35DB">
        <w:rPr>
          <w:rFonts w:ascii="Times New Roman" w:hAnsi="Times New Roman"/>
          <w:i/>
          <w:iCs/>
          <w:lang w:val="en-HK"/>
        </w:rPr>
        <w:t>fundamental difference</w:t>
      </w:r>
      <w:r w:rsidRPr="004E35DB">
        <w:rPr>
          <w:rFonts w:ascii="Times New Roman" w:hAnsi="Times New Roman"/>
          <w:lang w:val="en-HK"/>
        </w:rPr>
        <w:t xml:space="preserve"> between </w:t>
      </w:r>
      <w:r w:rsidRPr="004E35DB">
        <w:rPr>
          <w:rFonts w:ascii="Times New Roman" w:hAnsi="Times New Roman"/>
          <w:b/>
          <w:bCs/>
          <w:lang w:val="en-HK"/>
        </w:rPr>
        <w:t>how courts define authenticity</w:t>
      </w:r>
      <w:r w:rsidRPr="004E35DB">
        <w:rPr>
          <w:rFonts w:ascii="Times New Roman" w:hAnsi="Times New Roman"/>
          <w:lang w:val="en-HK"/>
        </w:rPr>
        <w:t xml:space="preserve"> and </w:t>
      </w:r>
      <w:r w:rsidRPr="004E35DB">
        <w:rPr>
          <w:rFonts w:ascii="Times New Roman" w:hAnsi="Times New Roman"/>
          <w:b/>
          <w:bCs/>
          <w:lang w:val="en-HK"/>
        </w:rPr>
        <w:t>how the market values originality</w:t>
      </w:r>
      <w:r w:rsidRPr="004E35DB">
        <w:rPr>
          <w:rFonts w:ascii="Times New Roman" w:hAnsi="Times New Roman"/>
          <w:lang w:val="en-HK"/>
        </w:rPr>
        <w:t>.</w:t>
      </w:r>
    </w:p>
    <w:p w14:paraId="2051821A" w14:textId="77777777" w:rsidR="004E35DB" w:rsidRPr="004E35DB" w:rsidRDefault="004E35DB" w:rsidP="00984FC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b/>
          <w:bCs/>
          <w:lang w:val="en-HK"/>
        </w:rPr>
        <w:t>Market Perspective:</w:t>
      </w:r>
      <w:r w:rsidRPr="004E35DB">
        <w:rPr>
          <w:rFonts w:ascii="Times New Roman" w:hAnsi="Times New Roman"/>
          <w:lang w:val="en-HK"/>
        </w:rPr>
        <w:t xml:space="preserve"> A car’s </w:t>
      </w:r>
      <w:r w:rsidRPr="004E35DB">
        <w:rPr>
          <w:rFonts w:ascii="Times New Roman" w:hAnsi="Times New Roman"/>
          <w:b/>
          <w:bCs/>
          <w:lang w:val="en-HK"/>
        </w:rPr>
        <w:t>value</w:t>
      </w:r>
      <w:r w:rsidRPr="004E35DB">
        <w:rPr>
          <w:rFonts w:ascii="Times New Roman" w:hAnsi="Times New Roman"/>
          <w:lang w:val="en-HK"/>
        </w:rPr>
        <w:t xml:space="preserve"> is influenced by </w:t>
      </w:r>
      <w:r w:rsidRPr="004E35DB">
        <w:rPr>
          <w:rFonts w:ascii="Times New Roman" w:hAnsi="Times New Roman"/>
          <w:i/>
          <w:iCs/>
          <w:lang w:val="en-HK"/>
        </w:rPr>
        <w:t>how much of it remains original</w:t>
      </w:r>
      <w:r w:rsidRPr="004E35DB">
        <w:rPr>
          <w:rFonts w:ascii="Times New Roman" w:hAnsi="Times New Roman"/>
          <w:lang w:val="en-HK"/>
        </w:rPr>
        <w:t>, how extensively it has been restored, and whether key components have been replaced.</w:t>
      </w:r>
    </w:p>
    <w:p w14:paraId="71F8E547" w14:textId="77777777" w:rsidR="004E35DB" w:rsidRPr="004E35DB" w:rsidRDefault="004E35DB" w:rsidP="00984FC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b/>
          <w:bCs/>
          <w:lang w:val="en-HK"/>
        </w:rPr>
        <w:t>Legal Perspective:</w:t>
      </w:r>
      <w:r w:rsidRPr="004E35DB">
        <w:rPr>
          <w:rFonts w:ascii="Times New Roman" w:hAnsi="Times New Roman"/>
          <w:lang w:val="en-HK"/>
        </w:rPr>
        <w:t xml:space="preserve"> A car’s </w:t>
      </w:r>
      <w:r w:rsidRPr="004E35DB">
        <w:rPr>
          <w:rFonts w:ascii="Times New Roman" w:hAnsi="Times New Roman"/>
          <w:b/>
          <w:bCs/>
          <w:lang w:val="en-HK"/>
        </w:rPr>
        <w:t>description</w:t>
      </w:r>
      <w:r w:rsidRPr="004E35DB">
        <w:rPr>
          <w:rFonts w:ascii="Times New Roman" w:hAnsi="Times New Roman"/>
          <w:lang w:val="en-HK"/>
        </w:rPr>
        <w:t xml:space="preserve"> remains valid so long as it retains a </w:t>
      </w:r>
      <w:r w:rsidRPr="004E35DB">
        <w:rPr>
          <w:rFonts w:ascii="Times New Roman" w:hAnsi="Times New Roman"/>
          <w:b/>
          <w:bCs/>
          <w:lang w:val="en-HK"/>
        </w:rPr>
        <w:t>core structural identity</w:t>
      </w:r>
      <w:r w:rsidRPr="004E35DB">
        <w:rPr>
          <w:rFonts w:ascii="Times New Roman" w:hAnsi="Times New Roman"/>
          <w:lang w:val="en-HK"/>
        </w:rPr>
        <w:t xml:space="preserve">, in this case, the </w:t>
      </w:r>
      <w:r w:rsidRPr="004E35DB">
        <w:rPr>
          <w:rFonts w:ascii="Times New Roman" w:hAnsi="Times New Roman"/>
          <w:i/>
          <w:iCs/>
          <w:lang w:val="en-HK"/>
        </w:rPr>
        <w:t>chassis and corresponding serial number</w:t>
      </w:r>
      <w:r w:rsidRPr="004E35DB">
        <w:rPr>
          <w:rFonts w:ascii="Times New Roman" w:hAnsi="Times New Roman"/>
          <w:lang w:val="en-HK"/>
        </w:rPr>
        <w:t>.</w:t>
      </w:r>
    </w:p>
    <w:p w14:paraId="7480B9B8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This distinction is </w:t>
      </w:r>
      <w:r w:rsidRPr="004E35DB">
        <w:rPr>
          <w:rFonts w:ascii="Times New Roman" w:hAnsi="Times New Roman"/>
          <w:i/>
          <w:iCs/>
          <w:lang w:val="en-HK"/>
        </w:rPr>
        <w:t>critical</w:t>
      </w:r>
      <w:r w:rsidRPr="004E35DB">
        <w:rPr>
          <w:rFonts w:ascii="Times New Roman" w:hAnsi="Times New Roman"/>
          <w:lang w:val="en-HK"/>
        </w:rPr>
        <w:t xml:space="preserve"> in ensuring legal certainty in </w:t>
      </w:r>
      <w:r w:rsidRPr="004E35DB">
        <w:rPr>
          <w:rFonts w:ascii="Times New Roman" w:hAnsi="Times New Roman"/>
          <w:b/>
          <w:bCs/>
          <w:lang w:val="en-HK"/>
        </w:rPr>
        <w:t>high-value transactions</w:t>
      </w:r>
      <w:r w:rsidRPr="004E35DB">
        <w:rPr>
          <w:rFonts w:ascii="Times New Roman" w:hAnsi="Times New Roman"/>
          <w:lang w:val="en-HK"/>
        </w:rPr>
        <w:t xml:space="preserve">. The Court of Appeal’s approach prevents </w:t>
      </w:r>
      <w:r w:rsidRPr="004E35DB">
        <w:rPr>
          <w:rFonts w:ascii="Times New Roman" w:hAnsi="Times New Roman"/>
          <w:b/>
          <w:bCs/>
          <w:lang w:val="en-HK"/>
        </w:rPr>
        <w:t>over-litigation of modifications in the classic car industry</w:t>
      </w:r>
      <w:r w:rsidRPr="004E35DB">
        <w:rPr>
          <w:rFonts w:ascii="Times New Roman" w:hAnsi="Times New Roman"/>
          <w:lang w:val="en-HK"/>
        </w:rPr>
        <w:t>, where restorations are a standard part of ownership.</w:t>
      </w:r>
    </w:p>
    <w:p w14:paraId="0961BB76" w14:textId="77777777" w:rsidR="004E35DB" w:rsidRPr="004E35DB" w:rsidRDefault="004E35DB" w:rsidP="00984FC7">
      <w:pPr>
        <w:spacing w:before="100" w:beforeAutospacing="1" w:after="100" w:afterAutospacing="1" w:line="360" w:lineRule="auto"/>
        <w:outlineLvl w:val="4"/>
        <w:rPr>
          <w:rFonts w:ascii="Times New Roman" w:hAnsi="Times New Roman"/>
          <w:b/>
          <w:bCs/>
          <w:lang w:val="en-HK"/>
        </w:rPr>
      </w:pPr>
      <w:r w:rsidRPr="004E35DB">
        <w:rPr>
          <w:rFonts w:ascii="Times New Roman" w:hAnsi="Times New Roman"/>
          <w:b/>
          <w:bCs/>
          <w:lang w:val="en-HK"/>
        </w:rPr>
        <w:t>2. The Economic Consequences of Litigation</w:t>
      </w:r>
    </w:p>
    <w:p w14:paraId="05615BD6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Wilson’s article notes that </w:t>
      </w:r>
      <w:r w:rsidRPr="004E35DB">
        <w:rPr>
          <w:rFonts w:ascii="Times New Roman" w:hAnsi="Times New Roman"/>
          <w:b/>
          <w:bCs/>
          <w:lang w:val="en-HK"/>
        </w:rPr>
        <w:t>litigating authenticity in vintage car sales can often be an exercise in futility</w:t>
      </w:r>
      <w:r w:rsidRPr="004E35DB">
        <w:rPr>
          <w:rFonts w:ascii="Times New Roman" w:hAnsi="Times New Roman"/>
          <w:lang w:val="en-HK"/>
        </w:rPr>
        <w:t xml:space="preserve">. The case of </w:t>
      </w:r>
      <w:r w:rsidRPr="004E35DB">
        <w:rPr>
          <w:rFonts w:ascii="Times New Roman" w:hAnsi="Times New Roman"/>
          <w:i/>
          <w:iCs/>
          <w:lang w:val="en-HK"/>
        </w:rPr>
        <w:t>Brewer v Mann</w:t>
      </w:r>
      <w:r w:rsidRPr="004E35DB">
        <w:rPr>
          <w:rFonts w:ascii="Times New Roman" w:hAnsi="Times New Roman"/>
          <w:lang w:val="en-HK"/>
        </w:rPr>
        <w:t xml:space="preserve"> illustrates this clearly:</w:t>
      </w:r>
    </w:p>
    <w:p w14:paraId="030CDC8A" w14:textId="77777777" w:rsidR="004E35DB" w:rsidRPr="004E35DB" w:rsidRDefault="004E35DB" w:rsidP="00984FC7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The </w:t>
      </w:r>
      <w:r w:rsidRPr="004E35DB">
        <w:rPr>
          <w:rFonts w:ascii="Times New Roman" w:hAnsi="Times New Roman"/>
          <w:b/>
          <w:bCs/>
          <w:lang w:val="en-HK"/>
        </w:rPr>
        <w:t>legal fees incurred by all parties exceeded the price of multiple Bentleys</w:t>
      </w:r>
      <w:r w:rsidRPr="004E35DB">
        <w:rPr>
          <w:rFonts w:ascii="Times New Roman" w:hAnsi="Times New Roman"/>
          <w:lang w:val="en-HK"/>
        </w:rPr>
        <w:t>.</w:t>
      </w:r>
    </w:p>
    <w:p w14:paraId="1F754BAA" w14:textId="77777777" w:rsidR="004E35DB" w:rsidRPr="004E35DB" w:rsidRDefault="004E35DB" w:rsidP="00984FC7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b/>
          <w:bCs/>
          <w:lang w:val="en-HK"/>
        </w:rPr>
        <w:lastRenderedPageBreak/>
        <w:t>Mann ultimately resold the Bentley for £675,000</w:t>
      </w:r>
      <w:r w:rsidRPr="004E35DB">
        <w:rPr>
          <w:rFonts w:ascii="Times New Roman" w:hAnsi="Times New Roman"/>
          <w:lang w:val="en-HK"/>
        </w:rPr>
        <w:t>, a profit of £250,000 beyond Brewer’s purchase price.</w:t>
      </w:r>
    </w:p>
    <w:p w14:paraId="71E46EB5" w14:textId="77777777" w:rsidR="004E35DB" w:rsidRPr="004E35DB" w:rsidRDefault="004E35DB" w:rsidP="00984FC7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Brewer, despite initiating the litigation, </w:t>
      </w:r>
      <w:r w:rsidRPr="004E35DB">
        <w:rPr>
          <w:rFonts w:ascii="Times New Roman" w:hAnsi="Times New Roman"/>
          <w:b/>
          <w:bCs/>
          <w:lang w:val="en-HK"/>
        </w:rPr>
        <w:t>ended up liable for the finance company’s costs</w:t>
      </w:r>
      <w:r w:rsidRPr="004E35DB">
        <w:rPr>
          <w:rFonts w:ascii="Times New Roman" w:hAnsi="Times New Roman"/>
          <w:lang w:val="en-HK"/>
        </w:rPr>
        <w:t>.</w:t>
      </w:r>
    </w:p>
    <w:p w14:paraId="6377FE34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The case serves as a cautionary example of </w:t>
      </w:r>
      <w:r w:rsidRPr="004E35DB">
        <w:rPr>
          <w:rFonts w:ascii="Times New Roman" w:hAnsi="Times New Roman"/>
          <w:b/>
          <w:bCs/>
          <w:lang w:val="en-HK"/>
        </w:rPr>
        <w:t>how litigation over authenticity in commercial transactions can result in significant financial loss, even when valid concerns exist</w:t>
      </w:r>
      <w:r w:rsidRPr="004E35DB">
        <w:rPr>
          <w:rFonts w:ascii="Times New Roman" w:hAnsi="Times New Roman"/>
          <w:lang w:val="en-HK"/>
        </w:rPr>
        <w:t>.</w:t>
      </w:r>
    </w:p>
    <w:p w14:paraId="0D5FF2AD" w14:textId="77777777" w:rsidR="004E35DB" w:rsidRPr="004E35DB" w:rsidRDefault="004E35DB" w:rsidP="00984FC7">
      <w:pPr>
        <w:spacing w:before="100" w:beforeAutospacing="1" w:after="100" w:afterAutospacing="1" w:line="360" w:lineRule="auto"/>
        <w:outlineLvl w:val="4"/>
        <w:rPr>
          <w:rFonts w:ascii="Times New Roman" w:hAnsi="Times New Roman"/>
          <w:b/>
          <w:bCs/>
          <w:lang w:val="en-HK"/>
        </w:rPr>
      </w:pPr>
      <w:r w:rsidRPr="004E35DB">
        <w:rPr>
          <w:rFonts w:ascii="Times New Roman" w:hAnsi="Times New Roman"/>
          <w:b/>
          <w:bCs/>
          <w:lang w:val="en-HK"/>
        </w:rPr>
        <w:t>3. Commercial and Legal Precedents Moving Forward</w:t>
      </w:r>
    </w:p>
    <w:p w14:paraId="34ED8BE6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The ruling sets an important precedent for </w:t>
      </w:r>
      <w:r w:rsidRPr="004E35DB">
        <w:rPr>
          <w:rFonts w:ascii="Times New Roman" w:hAnsi="Times New Roman"/>
          <w:b/>
          <w:bCs/>
          <w:lang w:val="en-HK"/>
        </w:rPr>
        <w:t>contract law in vintage and high-value asset sales</w:t>
      </w:r>
      <w:r w:rsidRPr="004E35DB">
        <w:rPr>
          <w:rFonts w:ascii="Times New Roman" w:hAnsi="Times New Roman"/>
          <w:lang w:val="en-HK"/>
        </w:rPr>
        <w:t>, reinforcing that:</w:t>
      </w:r>
    </w:p>
    <w:p w14:paraId="181CC11C" w14:textId="77777777" w:rsidR="004E35DB" w:rsidRPr="004E35DB" w:rsidRDefault="004E35DB" w:rsidP="00984FC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b/>
          <w:bCs/>
          <w:lang w:val="en-HK"/>
        </w:rPr>
        <w:t>Buyers should conduct due diligence before purchase</w:t>
      </w:r>
      <w:r w:rsidRPr="004E35DB">
        <w:rPr>
          <w:rFonts w:ascii="Times New Roman" w:hAnsi="Times New Roman"/>
          <w:lang w:val="en-HK"/>
        </w:rPr>
        <w:t>.</w:t>
      </w:r>
    </w:p>
    <w:p w14:paraId="22291EBF" w14:textId="77777777" w:rsidR="004E35DB" w:rsidRPr="004E35DB" w:rsidRDefault="004E35DB" w:rsidP="00984FC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b/>
          <w:bCs/>
          <w:lang w:val="en-HK"/>
        </w:rPr>
        <w:t>Courts will favour practical and reasonable definitions of authenticity</w:t>
      </w:r>
      <w:r w:rsidRPr="004E35DB">
        <w:rPr>
          <w:rFonts w:ascii="Times New Roman" w:hAnsi="Times New Roman"/>
          <w:lang w:val="en-HK"/>
        </w:rPr>
        <w:t>, rather than rigid, historical interpretations.</w:t>
      </w:r>
    </w:p>
    <w:p w14:paraId="1E8D5B7B" w14:textId="77777777" w:rsidR="004E35DB" w:rsidRPr="004E35DB" w:rsidRDefault="004E35DB" w:rsidP="00984FC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b/>
          <w:bCs/>
          <w:lang w:val="en-HK"/>
        </w:rPr>
        <w:t>The market, not the courts, determines how much originality impacts value</w:t>
      </w:r>
      <w:r w:rsidRPr="004E35DB">
        <w:rPr>
          <w:rFonts w:ascii="Times New Roman" w:hAnsi="Times New Roman"/>
          <w:lang w:val="en-HK"/>
        </w:rPr>
        <w:t>.</w:t>
      </w:r>
    </w:p>
    <w:p w14:paraId="2FFB4C36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Ultimately, the Court of Appeal’s ruling </w:t>
      </w:r>
      <w:r w:rsidRPr="004E35DB">
        <w:rPr>
          <w:rFonts w:ascii="Times New Roman" w:hAnsi="Times New Roman"/>
          <w:b/>
          <w:bCs/>
          <w:lang w:val="en-HK"/>
        </w:rPr>
        <w:t>prioritises commercial efficiency over litigation</w:t>
      </w:r>
      <w:r w:rsidRPr="004E35DB">
        <w:rPr>
          <w:rFonts w:ascii="Times New Roman" w:hAnsi="Times New Roman"/>
          <w:lang w:val="en-HK"/>
        </w:rPr>
        <w:t xml:space="preserve">, ensuring that </w:t>
      </w:r>
      <w:r w:rsidRPr="004E35DB">
        <w:rPr>
          <w:rFonts w:ascii="Times New Roman" w:hAnsi="Times New Roman"/>
          <w:b/>
          <w:bCs/>
          <w:lang w:val="en-HK"/>
        </w:rPr>
        <w:t>buyers and sellers in niche markets maintain practical expectations regarding authenticity and originality</w:t>
      </w:r>
      <w:r w:rsidRPr="004E35DB">
        <w:rPr>
          <w:rFonts w:ascii="Times New Roman" w:hAnsi="Times New Roman"/>
          <w:lang w:val="en-HK"/>
        </w:rPr>
        <w:t>.</w:t>
      </w:r>
    </w:p>
    <w:p w14:paraId="0010C51E" w14:textId="56A774E1" w:rsidR="004E35DB" w:rsidRPr="004E35DB" w:rsidRDefault="004E35DB" w:rsidP="00984FC7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color w:val="2F5496" w:themeColor="accent1" w:themeShade="BF"/>
          <w:lang w:val="en-HK"/>
        </w:rPr>
      </w:pPr>
      <w:r w:rsidRPr="004E35DB">
        <w:rPr>
          <w:rFonts w:ascii="Times New Roman" w:hAnsi="Times New Roman"/>
          <w:b/>
          <w:bCs/>
          <w:color w:val="2F5496" w:themeColor="accent1" w:themeShade="BF"/>
          <w:lang w:val="en-HK"/>
        </w:rPr>
        <w:t>6. The Futility of the Litigation</w:t>
      </w:r>
    </w:p>
    <w:p w14:paraId="1E66C001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The Court of Appeal found that much of the litigation was </w:t>
      </w:r>
      <w:r w:rsidRPr="004E35DB">
        <w:rPr>
          <w:rFonts w:ascii="Times New Roman" w:hAnsi="Times New Roman"/>
          <w:b/>
          <w:bCs/>
          <w:lang w:val="en-HK"/>
        </w:rPr>
        <w:t>unnecessary and illogical</w:t>
      </w:r>
      <w:r w:rsidRPr="004E35DB">
        <w:rPr>
          <w:rFonts w:ascii="Times New Roman" w:hAnsi="Times New Roman"/>
          <w:lang w:val="en-HK"/>
        </w:rPr>
        <w:t>:</w:t>
      </w:r>
    </w:p>
    <w:p w14:paraId="66E0B15E" w14:textId="77777777" w:rsidR="004E35DB" w:rsidRPr="004E35DB" w:rsidRDefault="004E35DB" w:rsidP="00984FC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b/>
          <w:bCs/>
          <w:lang w:val="en-HK"/>
        </w:rPr>
        <w:t>Brewer had already disposed of the car</w:t>
      </w:r>
      <w:r w:rsidRPr="004E35DB">
        <w:rPr>
          <w:rFonts w:ascii="Times New Roman" w:hAnsi="Times New Roman"/>
          <w:lang w:val="en-HK"/>
        </w:rPr>
        <w:t>, so her claim for misrepresentation seemed redundant.</w:t>
      </w:r>
    </w:p>
    <w:p w14:paraId="550143CE" w14:textId="77777777" w:rsidR="004E35DB" w:rsidRPr="004E35DB" w:rsidRDefault="004E35DB" w:rsidP="00984FC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b/>
          <w:bCs/>
          <w:lang w:val="en-HK"/>
        </w:rPr>
        <w:t>The finance company had been repaid</w:t>
      </w:r>
      <w:r w:rsidRPr="004E35DB">
        <w:rPr>
          <w:rFonts w:ascii="Times New Roman" w:hAnsi="Times New Roman"/>
          <w:lang w:val="en-HK"/>
        </w:rPr>
        <w:t>, making its role in the dispute marginal.</w:t>
      </w:r>
    </w:p>
    <w:p w14:paraId="2C931BD1" w14:textId="77777777" w:rsidR="004E35DB" w:rsidRPr="004E35DB" w:rsidRDefault="004E35DB" w:rsidP="00984FC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b/>
          <w:bCs/>
          <w:lang w:val="en-HK"/>
        </w:rPr>
        <w:t>Legal costs had already surpassed the value of several Bentleys</w:t>
      </w:r>
      <w:r w:rsidRPr="004E35DB">
        <w:rPr>
          <w:rFonts w:ascii="Times New Roman" w:hAnsi="Times New Roman"/>
          <w:lang w:val="en-HK"/>
        </w:rPr>
        <w:t>, making further litigation economically irrational.</w:t>
      </w:r>
    </w:p>
    <w:p w14:paraId="229EDC92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Despite this, certain </w:t>
      </w:r>
      <w:r w:rsidRPr="004E35DB">
        <w:rPr>
          <w:rFonts w:ascii="Times New Roman" w:hAnsi="Times New Roman"/>
          <w:b/>
          <w:bCs/>
          <w:lang w:val="en-HK"/>
        </w:rPr>
        <w:t>remaining issues must still be retried in the High Court</w:t>
      </w:r>
      <w:r w:rsidRPr="004E35DB">
        <w:rPr>
          <w:rFonts w:ascii="Times New Roman" w:hAnsi="Times New Roman"/>
          <w:lang w:val="en-HK"/>
        </w:rPr>
        <w:t>, unless the parties reach a settlement.</w:t>
      </w:r>
    </w:p>
    <w:p w14:paraId="438096FE" w14:textId="77777777" w:rsidR="004E35DB" w:rsidRPr="004E35DB" w:rsidRDefault="004E35DB" w:rsidP="00984FC7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color w:val="2F5496" w:themeColor="accent1" w:themeShade="BF"/>
          <w:lang w:val="en-HK"/>
        </w:rPr>
      </w:pPr>
      <w:r w:rsidRPr="004E35DB">
        <w:rPr>
          <w:rFonts w:ascii="Times New Roman" w:hAnsi="Times New Roman"/>
          <w:b/>
          <w:bCs/>
          <w:color w:val="2F5496" w:themeColor="accent1" w:themeShade="BF"/>
          <w:lang w:val="en-HK"/>
        </w:rPr>
        <w:t>7. Conclusion: Key Legal and Commercial Implications</w:t>
      </w:r>
    </w:p>
    <w:p w14:paraId="372D72D4" w14:textId="77777777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lastRenderedPageBreak/>
        <w:t xml:space="preserve">Wilson’s article highlights several </w:t>
      </w:r>
      <w:r w:rsidRPr="004E35DB">
        <w:rPr>
          <w:rFonts w:ascii="Times New Roman" w:hAnsi="Times New Roman"/>
          <w:b/>
          <w:bCs/>
          <w:lang w:val="en-HK"/>
        </w:rPr>
        <w:t>important legal and commercial principles</w:t>
      </w:r>
      <w:r w:rsidRPr="004E35DB">
        <w:rPr>
          <w:rFonts w:ascii="Times New Roman" w:hAnsi="Times New Roman"/>
          <w:lang w:val="en-HK"/>
        </w:rPr>
        <w:t xml:space="preserve"> that emerge from the </w:t>
      </w:r>
      <w:r w:rsidRPr="004E35DB">
        <w:rPr>
          <w:rFonts w:ascii="Times New Roman" w:hAnsi="Times New Roman"/>
          <w:i/>
          <w:iCs/>
          <w:lang w:val="en-HK"/>
        </w:rPr>
        <w:t>Battle of the Bentley</w:t>
      </w:r>
      <w:r w:rsidRPr="004E35DB">
        <w:rPr>
          <w:rFonts w:ascii="Times New Roman" w:hAnsi="Times New Roman"/>
          <w:lang w:val="en-HK"/>
        </w:rPr>
        <w:t>:</w:t>
      </w:r>
    </w:p>
    <w:p w14:paraId="659AFFB6" w14:textId="77777777" w:rsidR="004E35DB" w:rsidRPr="004E35DB" w:rsidRDefault="004E35DB" w:rsidP="00984FC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b/>
          <w:bCs/>
          <w:lang w:val="en-HK"/>
        </w:rPr>
        <w:t>Reliance on Statements of Authenticity</w:t>
      </w:r>
      <w:r w:rsidRPr="004E35DB">
        <w:rPr>
          <w:rFonts w:ascii="Times New Roman" w:hAnsi="Times New Roman"/>
          <w:lang w:val="en-HK"/>
        </w:rPr>
        <w:br/>
        <w:t xml:space="preserve">The case reiterates that for a </w:t>
      </w:r>
      <w:r w:rsidRPr="004E35DB">
        <w:rPr>
          <w:rFonts w:ascii="Times New Roman" w:hAnsi="Times New Roman"/>
          <w:b/>
          <w:bCs/>
          <w:lang w:val="en-HK"/>
        </w:rPr>
        <w:t>contractual warranty</w:t>
      </w:r>
      <w:r w:rsidRPr="004E35DB">
        <w:rPr>
          <w:rFonts w:ascii="Times New Roman" w:hAnsi="Times New Roman"/>
          <w:lang w:val="en-HK"/>
        </w:rPr>
        <w:t xml:space="preserve"> to exist, a seller’s statement must be more than an </w:t>
      </w:r>
      <w:r w:rsidRPr="004E35DB">
        <w:rPr>
          <w:rFonts w:ascii="Times New Roman" w:hAnsi="Times New Roman"/>
          <w:b/>
          <w:bCs/>
          <w:lang w:val="en-HK"/>
        </w:rPr>
        <w:t>opinion</w:t>
      </w:r>
      <w:r w:rsidRPr="004E35DB">
        <w:rPr>
          <w:rFonts w:ascii="Times New Roman" w:hAnsi="Times New Roman"/>
          <w:lang w:val="en-HK"/>
        </w:rPr>
        <w:t xml:space="preserve">. Buyers must prove </w:t>
      </w:r>
      <w:r w:rsidRPr="004E35DB">
        <w:rPr>
          <w:rFonts w:ascii="Times New Roman" w:hAnsi="Times New Roman"/>
          <w:i/>
          <w:iCs/>
          <w:lang w:val="en-HK"/>
        </w:rPr>
        <w:t>reasonable reliance</w:t>
      </w:r>
      <w:r w:rsidRPr="004E35DB">
        <w:rPr>
          <w:rFonts w:ascii="Times New Roman" w:hAnsi="Times New Roman"/>
          <w:lang w:val="en-HK"/>
        </w:rPr>
        <w:t xml:space="preserve"> on a seller’s representations.</w:t>
      </w:r>
    </w:p>
    <w:p w14:paraId="0650DB03" w14:textId="77777777" w:rsidR="004E35DB" w:rsidRPr="004E35DB" w:rsidRDefault="004E35DB" w:rsidP="00984FC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b/>
          <w:bCs/>
          <w:lang w:val="en-HK"/>
        </w:rPr>
        <w:t>Contractual Responsibility and Corporate Liability</w:t>
      </w:r>
      <w:r w:rsidRPr="004E35DB">
        <w:rPr>
          <w:rFonts w:ascii="Times New Roman" w:hAnsi="Times New Roman"/>
          <w:lang w:val="en-HK"/>
        </w:rPr>
        <w:br/>
        <w:t xml:space="preserve">The ruling underscores the importance of </w:t>
      </w:r>
      <w:r w:rsidRPr="004E35DB">
        <w:rPr>
          <w:rFonts w:ascii="Times New Roman" w:hAnsi="Times New Roman"/>
          <w:b/>
          <w:bCs/>
          <w:lang w:val="en-HK"/>
        </w:rPr>
        <w:t>contractual structures</w:t>
      </w:r>
      <w:r w:rsidRPr="004E35DB">
        <w:rPr>
          <w:rFonts w:ascii="Times New Roman" w:hAnsi="Times New Roman"/>
          <w:lang w:val="en-HK"/>
        </w:rPr>
        <w:t xml:space="preserve">. Since Brewer contracted with Mann’s </w:t>
      </w:r>
      <w:r w:rsidRPr="004E35DB">
        <w:rPr>
          <w:rFonts w:ascii="Times New Roman" w:hAnsi="Times New Roman"/>
          <w:b/>
          <w:bCs/>
          <w:lang w:val="en-HK"/>
        </w:rPr>
        <w:t>company</w:t>
      </w:r>
      <w:r w:rsidRPr="004E35DB">
        <w:rPr>
          <w:rFonts w:ascii="Times New Roman" w:hAnsi="Times New Roman"/>
          <w:lang w:val="en-HK"/>
        </w:rPr>
        <w:t>, rather than Mann personally, her claim against him directly failed.</w:t>
      </w:r>
    </w:p>
    <w:p w14:paraId="66EEB929" w14:textId="77777777" w:rsidR="004E35DB" w:rsidRPr="004E35DB" w:rsidRDefault="004E35DB" w:rsidP="00984FC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b/>
          <w:bCs/>
          <w:lang w:val="en-HK"/>
        </w:rPr>
        <w:t>The Market Definition of Authenticity</w:t>
      </w:r>
      <w:r w:rsidRPr="004E35DB">
        <w:rPr>
          <w:rFonts w:ascii="Times New Roman" w:hAnsi="Times New Roman"/>
          <w:lang w:val="en-HK"/>
        </w:rPr>
        <w:br/>
        <w:t xml:space="preserve">The Court of Appeal’s decision </w:t>
      </w:r>
      <w:r w:rsidRPr="004E35DB">
        <w:rPr>
          <w:rFonts w:ascii="Times New Roman" w:hAnsi="Times New Roman"/>
          <w:b/>
          <w:bCs/>
          <w:lang w:val="en-HK"/>
        </w:rPr>
        <w:t>protects industry norms</w:t>
      </w:r>
      <w:r w:rsidRPr="004E35DB">
        <w:rPr>
          <w:rFonts w:ascii="Times New Roman" w:hAnsi="Times New Roman"/>
          <w:lang w:val="en-HK"/>
        </w:rPr>
        <w:t xml:space="preserve">, recognising that classic cars are often rebuilt with newer parts. Legal authenticity does not require </w:t>
      </w:r>
      <w:r w:rsidRPr="004E35DB">
        <w:rPr>
          <w:rFonts w:ascii="Times New Roman" w:hAnsi="Times New Roman"/>
          <w:b/>
          <w:bCs/>
          <w:lang w:val="en-HK"/>
        </w:rPr>
        <w:t>100% originality</w:t>
      </w:r>
      <w:r w:rsidRPr="004E35DB">
        <w:rPr>
          <w:rFonts w:ascii="Times New Roman" w:hAnsi="Times New Roman"/>
          <w:lang w:val="en-HK"/>
        </w:rPr>
        <w:t>, only continuity of provenance.</w:t>
      </w:r>
    </w:p>
    <w:p w14:paraId="6F424723" w14:textId="77777777" w:rsidR="004E35DB" w:rsidRPr="004E35DB" w:rsidRDefault="004E35DB" w:rsidP="00984FC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b/>
          <w:bCs/>
          <w:lang w:val="en-HK"/>
        </w:rPr>
        <w:t>The Limits of Litigation in Commercial Disputes</w:t>
      </w:r>
      <w:r w:rsidRPr="004E35DB">
        <w:rPr>
          <w:rFonts w:ascii="Times New Roman" w:hAnsi="Times New Roman"/>
          <w:lang w:val="en-HK"/>
        </w:rPr>
        <w:br/>
        <w:t xml:space="preserve">The case demonstrates the </w:t>
      </w:r>
      <w:r w:rsidRPr="004E35DB">
        <w:rPr>
          <w:rFonts w:ascii="Times New Roman" w:hAnsi="Times New Roman"/>
          <w:b/>
          <w:bCs/>
          <w:lang w:val="en-HK"/>
        </w:rPr>
        <w:t>economic futility of protracted litigation</w:t>
      </w:r>
      <w:r w:rsidRPr="004E35DB">
        <w:rPr>
          <w:rFonts w:ascii="Times New Roman" w:hAnsi="Times New Roman"/>
          <w:lang w:val="en-HK"/>
        </w:rPr>
        <w:t>. The legal costs far outweighed the potential compensation, and further legal proceedings will only increase this imbalance.</w:t>
      </w:r>
    </w:p>
    <w:p w14:paraId="6782193D" w14:textId="11230DA8" w:rsidR="004E35DB" w:rsidRPr="004E35DB" w:rsidRDefault="004E35DB" w:rsidP="00984FC7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4E35DB">
        <w:rPr>
          <w:rFonts w:ascii="Times New Roman" w:hAnsi="Times New Roman"/>
          <w:lang w:val="en-HK"/>
        </w:rPr>
        <w:t xml:space="preserve">Ultimately, Wilson suggests that the case should serve as a </w:t>
      </w:r>
      <w:r w:rsidRPr="004E35DB">
        <w:rPr>
          <w:rFonts w:ascii="Times New Roman" w:hAnsi="Times New Roman"/>
          <w:b/>
          <w:bCs/>
          <w:lang w:val="en-HK"/>
        </w:rPr>
        <w:t>cautionary tale for both buyers and sellers</w:t>
      </w:r>
      <w:r w:rsidRPr="004E35DB">
        <w:rPr>
          <w:rFonts w:ascii="Times New Roman" w:hAnsi="Times New Roman"/>
          <w:lang w:val="en-HK"/>
        </w:rPr>
        <w:t xml:space="preserve"> in the classic car market, particularly regarding how </w:t>
      </w:r>
      <w:r w:rsidRPr="004E35DB">
        <w:rPr>
          <w:rFonts w:ascii="Times New Roman" w:hAnsi="Times New Roman"/>
          <w:b/>
          <w:bCs/>
          <w:lang w:val="en-HK"/>
        </w:rPr>
        <w:t>descriptions, warranties, and restoration histories</w:t>
      </w:r>
      <w:r w:rsidRPr="004E35DB">
        <w:rPr>
          <w:rFonts w:ascii="Times New Roman" w:hAnsi="Times New Roman"/>
          <w:lang w:val="en-HK"/>
        </w:rPr>
        <w:t xml:space="preserve"> influence contractual liability.</w:t>
      </w:r>
    </w:p>
    <w:p w14:paraId="3C9F9A6F" w14:textId="77777777" w:rsidR="00CD39F1" w:rsidRPr="00984FC7" w:rsidRDefault="00CD39F1" w:rsidP="00984FC7">
      <w:pPr>
        <w:spacing w:line="360" w:lineRule="auto"/>
      </w:pPr>
    </w:p>
    <w:sectPr w:rsidR="00CD39F1" w:rsidRPr="00984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E1D5B"/>
    <w:multiLevelType w:val="multilevel"/>
    <w:tmpl w:val="B2B8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04D6E"/>
    <w:multiLevelType w:val="multilevel"/>
    <w:tmpl w:val="6F2C53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F653F"/>
    <w:multiLevelType w:val="multilevel"/>
    <w:tmpl w:val="EB40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43E0E"/>
    <w:multiLevelType w:val="multilevel"/>
    <w:tmpl w:val="B1187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71227"/>
    <w:multiLevelType w:val="multilevel"/>
    <w:tmpl w:val="86E0C6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90271"/>
    <w:multiLevelType w:val="multilevel"/>
    <w:tmpl w:val="AD4845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B0744"/>
    <w:multiLevelType w:val="multilevel"/>
    <w:tmpl w:val="D9CE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56453"/>
    <w:multiLevelType w:val="multilevel"/>
    <w:tmpl w:val="15EEBF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C07CB"/>
    <w:multiLevelType w:val="multilevel"/>
    <w:tmpl w:val="70EC66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8793C"/>
    <w:multiLevelType w:val="multilevel"/>
    <w:tmpl w:val="9FF053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7429E"/>
    <w:multiLevelType w:val="multilevel"/>
    <w:tmpl w:val="BC26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00ABB"/>
    <w:multiLevelType w:val="multilevel"/>
    <w:tmpl w:val="B3EC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E227F"/>
    <w:multiLevelType w:val="multilevel"/>
    <w:tmpl w:val="406E4C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F284A"/>
    <w:multiLevelType w:val="multilevel"/>
    <w:tmpl w:val="CCF69F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492060323">
    <w:abstractNumId w:val="6"/>
  </w:num>
  <w:num w:numId="2" w16cid:durableId="663510481">
    <w:abstractNumId w:val="0"/>
  </w:num>
  <w:num w:numId="3" w16cid:durableId="633027291">
    <w:abstractNumId w:val="10"/>
  </w:num>
  <w:num w:numId="4" w16cid:durableId="1160728066">
    <w:abstractNumId w:val="2"/>
  </w:num>
  <w:num w:numId="5" w16cid:durableId="1468549252">
    <w:abstractNumId w:val="11"/>
  </w:num>
  <w:num w:numId="6" w16cid:durableId="38864739">
    <w:abstractNumId w:val="7"/>
  </w:num>
  <w:num w:numId="7" w16cid:durableId="1752265786">
    <w:abstractNumId w:val="4"/>
  </w:num>
  <w:num w:numId="8" w16cid:durableId="124936061">
    <w:abstractNumId w:val="5"/>
  </w:num>
  <w:num w:numId="9" w16cid:durableId="1271275265">
    <w:abstractNumId w:val="3"/>
  </w:num>
  <w:num w:numId="10" w16cid:durableId="344483169">
    <w:abstractNumId w:val="1"/>
  </w:num>
  <w:num w:numId="11" w16cid:durableId="1335256619">
    <w:abstractNumId w:val="12"/>
  </w:num>
  <w:num w:numId="12" w16cid:durableId="2129273396">
    <w:abstractNumId w:val="9"/>
  </w:num>
  <w:num w:numId="13" w16cid:durableId="1931231102">
    <w:abstractNumId w:val="8"/>
  </w:num>
  <w:num w:numId="14" w16cid:durableId="5450288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232"/>
    <w:rsid w:val="000046A5"/>
    <w:rsid w:val="00012117"/>
    <w:rsid w:val="000147A9"/>
    <w:rsid w:val="00042755"/>
    <w:rsid w:val="0006107D"/>
    <w:rsid w:val="000623A3"/>
    <w:rsid w:val="00066D1D"/>
    <w:rsid w:val="000719DA"/>
    <w:rsid w:val="00094D65"/>
    <w:rsid w:val="000A2074"/>
    <w:rsid w:val="000A3F4D"/>
    <w:rsid w:val="000A64DA"/>
    <w:rsid w:val="000C4ABC"/>
    <w:rsid w:val="000C58D7"/>
    <w:rsid w:val="000E15ED"/>
    <w:rsid w:val="000F3F73"/>
    <w:rsid w:val="00101CCF"/>
    <w:rsid w:val="00121A80"/>
    <w:rsid w:val="001372F7"/>
    <w:rsid w:val="00175AB8"/>
    <w:rsid w:val="0019260C"/>
    <w:rsid w:val="001A41D2"/>
    <w:rsid w:val="001B0E31"/>
    <w:rsid w:val="001D360C"/>
    <w:rsid w:val="001E2584"/>
    <w:rsid w:val="002033A2"/>
    <w:rsid w:val="00204B6E"/>
    <w:rsid w:val="00206232"/>
    <w:rsid w:val="00223837"/>
    <w:rsid w:val="00243CED"/>
    <w:rsid w:val="00247BCC"/>
    <w:rsid w:val="00257540"/>
    <w:rsid w:val="0026510F"/>
    <w:rsid w:val="0028028D"/>
    <w:rsid w:val="00291F37"/>
    <w:rsid w:val="0029568E"/>
    <w:rsid w:val="00297C6E"/>
    <w:rsid w:val="002B3377"/>
    <w:rsid w:val="002C38C0"/>
    <w:rsid w:val="002C6D8B"/>
    <w:rsid w:val="002D715D"/>
    <w:rsid w:val="002E3864"/>
    <w:rsid w:val="002E46F2"/>
    <w:rsid w:val="002F1DB1"/>
    <w:rsid w:val="002F20B2"/>
    <w:rsid w:val="002F53C9"/>
    <w:rsid w:val="003048A0"/>
    <w:rsid w:val="0031138E"/>
    <w:rsid w:val="0031474F"/>
    <w:rsid w:val="00315815"/>
    <w:rsid w:val="003278F5"/>
    <w:rsid w:val="00330665"/>
    <w:rsid w:val="00342A18"/>
    <w:rsid w:val="00357561"/>
    <w:rsid w:val="0036177C"/>
    <w:rsid w:val="00361975"/>
    <w:rsid w:val="00376E23"/>
    <w:rsid w:val="0039416B"/>
    <w:rsid w:val="003A1271"/>
    <w:rsid w:val="003A5DF7"/>
    <w:rsid w:val="003B3510"/>
    <w:rsid w:val="003C116C"/>
    <w:rsid w:val="003D0CDD"/>
    <w:rsid w:val="003D710F"/>
    <w:rsid w:val="003E1CAA"/>
    <w:rsid w:val="0040210F"/>
    <w:rsid w:val="00412F9B"/>
    <w:rsid w:val="004222FD"/>
    <w:rsid w:val="004319FA"/>
    <w:rsid w:val="00442F56"/>
    <w:rsid w:val="0044616D"/>
    <w:rsid w:val="00474DD1"/>
    <w:rsid w:val="004751B5"/>
    <w:rsid w:val="0048097D"/>
    <w:rsid w:val="0048175B"/>
    <w:rsid w:val="004829F2"/>
    <w:rsid w:val="004845CE"/>
    <w:rsid w:val="004A553E"/>
    <w:rsid w:val="004B0B8B"/>
    <w:rsid w:val="004B1048"/>
    <w:rsid w:val="004D01FE"/>
    <w:rsid w:val="004D582C"/>
    <w:rsid w:val="004D5B1A"/>
    <w:rsid w:val="004E1930"/>
    <w:rsid w:val="004E35DB"/>
    <w:rsid w:val="004E458E"/>
    <w:rsid w:val="004F0E12"/>
    <w:rsid w:val="004F43CC"/>
    <w:rsid w:val="004F5A36"/>
    <w:rsid w:val="00505437"/>
    <w:rsid w:val="005120A1"/>
    <w:rsid w:val="00542B57"/>
    <w:rsid w:val="005525C9"/>
    <w:rsid w:val="00557B52"/>
    <w:rsid w:val="005743EA"/>
    <w:rsid w:val="005770A9"/>
    <w:rsid w:val="0058416B"/>
    <w:rsid w:val="00595357"/>
    <w:rsid w:val="005A1930"/>
    <w:rsid w:val="005A6EEA"/>
    <w:rsid w:val="005B34ED"/>
    <w:rsid w:val="005B61CD"/>
    <w:rsid w:val="005B74C5"/>
    <w:rsid w:val="005C4FF3"/>
    <w:rsid w:val="005C50B3"/>
    <w:rsid w:val="005C6B83"/>
    <w:rsid w:val="005C7AAA"/>
    <w:rsid w:val="005D57DA"/>
    <w:rsid w:val="005E7702"/>
    <w:rsid w:val="005F33FC"/>
    <w:rsid w:val="00605F8E"/>
    <w:rsid w:val="00613954"/>
    <w:rsid w:val="00622488"/>
    <w:rsid w:val="00650543"/>
    <w:rsid w:val="00654D8B"/>
    <w:rsid w:val="00661136"/>
    <w:rsid w:val="0068027B"/>
    <w:rsid w:val="006B7BA3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2575"/>
    <w:rsid w:val="0078776B"/>
    <w:rsid w:val="00796A93"/>
    <w:rsid w:val="007975B6"/>
    <w:rsid w:val="007B48C2"/>
    <w:rsid w:val="007C231D"/>
    <w:rsid w:val="007D68F0"/>
    <w:rsid w:val="007E1559"/>
    <w:rsid w:val="007E4AE6"/>
    <w:rsid w:val="007F776E"/>
    <w:rsid w:val="00816563"/>
    <w:rsid w:val="00830C88"/>
    <w:rsid w:val="00845AB5"/>
    <w:rsid w:val="00861B11"/>
    <w:rsid w:val="008829C2"/>
    <w:rsid w:val="008A54BE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66189"/>
    <w:rsid w:val="00973661"/>
    <w:rsid w:val="00974434"/>
    <w:rsid w:val="00975B2D"/>
    <w:rsid w:val="00977514"/>
    <w:rsid w:val="00984FC7"/>
    <w:rsid w:val="009A48B0"/>
    <w:rsid w:val="009B24D6"/>
    <w:rsid w:val="009B2F21"/>
    <w:rsid w:val="009B3EF4"/>
    <w:rsid w:val="009C6498"/>
    <w:rsid w:val="009E62AF"/>
    <w:rsid w:val="009F726A"/>
    <w:rsid w:val="00A03BBD"/>
    <w:rsid w:val="00A21254"/>
    <w:rsid w:val="00A220B7"/>
    <w:rsid w:val="00A2728B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8622A"/>
    <w:rsid w:val="00B914E6"/>
    <w:rsid w:val="00B95747"/>
    <w:rsid w:val="00BC4186"/>
    <w:rsid w:val="00BC5F25"/>
    <w:rsid w:val="00BD1450"/>
    <w:rsid w:val="00BD7714"/>
    <w:rsid w:val="00BD7C9B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E7B86"/>
    <w:rsid w:val="00CF74EF"/>
    <w:rsid w:val="00D01E71"/>
    <w:rsid w:val="00D02AC8"/>
    <w:rsid w:val="00D0623C"/>
    <w:rsid w:val="00D07271"/>
    <w:rsid w:val="00D16917"/>
    <w:rsid w:val="00D64DCE"/>
    <w:rsid w:val="00D65735"/>
    <w:rsid w:val="00D73E2C"/>
    <w:rsid w:val="00D76D14"/>
    <w:rsid w:val="00DA31CB"/>
    <w:rsid w:val="00DA3D31"/>
    <w:rsid w:val="00DA4488"/>
    <w:rsid w:val="00DB2E35"/>
    <w:rsid w:val="00DC0040"/>
    <w:rsid w:val="00DC0B7B"/>
    <w:rsid w:val="00DC228E"/>
    <w:rsid w:val="00DC3AD7"/>
    <w:rsid w:val="00DC495B"/>
    <w:rsid w:val="00DC7181"/>
    <w:rsid w:val="00DD6F5C"/>
    <w:rsid w:val="00DE6C87"/>
    <w:rsid w:val="00E06E11"/>
    <w:rsid w:val="00E14A1A"/>
    <w:rsid w:val="00E14E1F"/>
    <w:rsid w:val="00E2730E"/>
    <w:rsid w:val="00E4366A"/>
    <w:rsid w:val="00E438AC"/>
    <w:rsid w:val="00E51987"/>
    <w:rsid w:val="00E5689E"/>
    <w:rsid w:val="00E60DF5"/>
    <w:rsid w:val="00E64DD3"/>
    <w:rsid w:val="00E80D33"/>
    <w:rsid w:val="00E9484C"/>
    <w:rsid w:val="00E95D8D"/>
    <w:rsid w:val="00EA6ED5"/>
    <w:rsid w:val="00EB7051"/>
    <w:rsid w:val="00EC67FC"/>
    <w:rsid w:val="00EC68EB"/>
    <w:rsid w:val="00EC7C43"/>
    <w:rsid w:val="00EE0191"/>
    <w:rsid w:val="00EE4F6A"/>
    <w:rsid w:val="00EF3EF4"/>
    <w:rsid w:val="00F012E4"/>
    <w:rsid w:val="00F0631B"/>
    <w:rsid w:val="00F248D2"/>
    <w:rsid w:val="00F27F00"/>
    <w:rsid w:val="00F33570"/>
    <w:rsid w:val="00F655F4"/>
    <w:rsid w:val="00F71153"/>
    <w:rsid w:val="00F858D4"/>
    <w:rsid w:val="00FA0450"/>
    <w:rsid w:val="00FA4E8A"/>
    <w:rsid w:val="00FB2653"/>
    <w:rsid w:val="00FB5C49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8EE83"/>
  <w15:chartTrackingRefBased/>
  <w15:docId w15:val="{A9F80D08-D2DD-D140-AB91-5E7A7DE73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2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62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062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2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23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23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23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23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23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232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06232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206232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232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232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232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232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062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23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23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23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062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232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206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232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0623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E35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35DB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Emphasis">
    <w:name w:val="Emphasis"/>
    <w:basedOn w:val="DefaultParagraphFont"/>
    <w:uiPriority w:val="20"/>
    <w:qFormat/>
    <w:rsid w:val="004E35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10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1886</Words>
  <Characters>10752</Characters>
  <Application>Microsoft Office Word</Application>
  <DocSecurity>0</DocSecurity>
  <Lines>89</Lines>
  <Paragraphs>25</Paragraphs>
  <ScaleCrop>false</ScaleCrop>
  <Company/>
  <LinksUpToDate>false</LinksUpToDate>
  <CharactersWithSpaces>12613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4</cp:revision>
  <dcterms:created xsi:type="dcterms:W3CDTF">2025-02-12T13:53:00Z</dcterms:created>
  <dcterms:modified xsi:type="dcterms:W3CDTF">2025-02-13T09:42:00Z</dcterms:modified>
</cp:coreProperties>
</file>