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3744610" w14:textId="77777777" w:rsidR="00B86CB2" w:rsidRPr="00B86CB2" w:rsidRDefault="00B86CB2" w:rsidP="00B86CB2">
      <w:p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B86CB2">
        <w:rPr>
          <w:rFonts w:ascii="Times New Roman" w:hAnsi="Times New Roman"/>
          <w:lang w:val="en-HK"/>
        </w:rPr>
        <w:t xml:space="preserve">This case comment critically examines the Court of Appeal's decision in </w:t>
      </w:r>
      <w:proofErr w:type="spellStart"/>
      <w:r w:rsidRPr="00B86CB2">
        <w:rPr>
          <w:rFonts w:ascii="Times New Roman" w:hAnsi="Times New Roman"/>
          <w:b/>
          <w:bCs/>
          <w:lang w:val="en-HK"/>
        </w:rPr>
        <w:t>Bramhill</w:t>
      </w:r>
      <w:proofErr w:type="spellEnd"/>
      <w:r w:rsidRPr="00B86CB2">
        <w:rPr>
          <w:rFonts w:ascii="Times New Roman" w:hAnsi="Times New Roman"/>
          <w:b/>
          <w:bCs/>
          <w:lang w:val="en-HK"/>
        </w:rPr>
        <w:t xml:space="preserve"> v Edwards [2004] EWCA </w:t>
      </w:r>
      <w:proofErr w:type="spellStart"/>
      <w:r w:rsidRPr="00B86CB2">
        <w:rPr>
          <w:rFonts w:ascii="Times New Roman" w:hAnsi="Times New Roman"/>
          <w:b/>
          <w:bCs/>
          <w:lang w:val="en-HK"/>
        </w:rPr>
        <w:t>Civ</w:t>
      </w:r>
      <w:proofErr w:type="spellEnd"/>
      <w:r w:rsidRPr="00B86CB2">
        <w:rPr>
          <w:rFonts w:ascii="Times New Roman" w:hAnsi="Times New Roman"/>
          <w:b/>
          <w:bCs/>
          <w:lang w:val="en-HK"/>
        </w:rPr>
        <w:t xml:space="preserve"> 403</w:t>
      </w:r>
      <w:r w:rsidRPr="00B86CB2">
        <w:rPr>
          <w:rFonts w:ascii="Times New Roman" w:hAnsi="Times New Roman"/>
          <w:lang w:val="en-HK"/>
        </w:rPr>
        <w:t xml:space="preserve">, particularly its interpretation of </w:t>
      </w:r>
      <w:r w:rsidRPr="00B86CB2">
        <w:rPr>
          <w:rFonts w:ascii="Times New Roman" w:hAnsi="Times New Roman"/>
          <w:b/>
          <w:bCs/>
          <w:lang w:val="en-HK"/>
        </w:rPr>
        <w:t>section 14(2C) of the Sale of Goods Act 1979 (SGA 1979)</w:t>
      </w:r>
      <w:r w:rsidRPr="00B86CB2">
        <w:rPr>
          <w:rFonts w:ascii="Times New Roman" w:hAnsi="Times New Roman"/>
          <w:lang w:val="en-HK"/>
        </w:rPr>
        <w:t xml:space="preserve">. The author argues that the court's approach to </w:t>
      </w:r>
      <w:r w:rsidRPr="00B86CB2">
        <w:rPr>
          <w:rFonts w:ascii="Times New Roman" w:hAnsi="Times New Roman"/>
          <w:b/>
          <w:bCs/>
          <w:lang w:val="en-HK"/>
        </w:rPr>
        <w:t>examination prior to purchase</w:t>
      </w:r>
      <w:r w:rsidRPr="00B86CB2">
        <w:rPr>
          <w:rFonts w:ascii="Times New Roman" w:hAnsi="Times New Roman"/>
          <w:lang w:val="en-HK"/>
        </w:rPr>
        <w:t xml:space="preserve"> introduces problematic reasoning that may influence future decisions regarding implied terms of satisfactory quality under s.14(2) SGA 1979.</w:t>
      </w:r>
    </w:p>
    <w:p w14:paraId="0EB08FE9" w14:textId="77777777" w:rsidR="00B86CB2" w:rsidRPr="00B86CB2" w:rsidRDefault="008562D7" w:rsidP="00B86CB2">
      <w:pPr>
        <w:spacing w:line="360" w:lineRule="auto"/>
        <w:rPr>
          <w:rFonts w:ascii="Times New Roman" w:hAnsi="Times New Roman"/>
          <w:lang w:val="en-HK"/>
        </w:rPr>
      </w:pPr>
      <w:r w:rsidRPr="008562D7">
        <w:rPr>
          <w:rFonts w:ascii="Times New Roman" w:hAnsi="Times New Roman"/>
          <w:noProof/>
          <w:lang w:val="en-HK"/>
          <w14:ligatures w14:val="standardContextual"/>
        </w:rPr>
        <w:pict w14:anchorId="1C3B7C67"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14:paraId="268D84AF" w14:textId="77777777" w:rsidR="00B86CB2" w:rsidRPr="00B86CB2" w:rsidRDefault="00B86CB2" w:rsidP="00B86CB2">
      <w:pPr>
        <w:spacing w:before="100" w:beforeAutospacing="1" w:after="100" w:afterAutospacing="1" w:line="360" w:lineRule="auto"/>
        <w:outlineLvl w:val="1"/>
        <w:rPr>
          <w:rFonts w:ascii="Times New Roman" w:hAnsi="Times New Roman"/>
          <w:b/>
          <w:bCs/>
          <w:lang w:val="en-HK"/>
        </w:rPr>
      </w:pPr>
      <w:r w:rsidRPr="00B86CB2">
        <w:rPr>
          <w:rFonts w:ascii="Times New Roman" w:hAnsi="Times New Roman"/>
          <w:b/>
          <w:bCs/>
          <w:lang w:val="en-HK"/>
        </w:rPr>
        <w:t>1. Case Background and Legal Issue</w:t>
      </w:r>
    </w:p>
    <w:p w14:paraId="1E27F967" w14:textId="77777777" w:rsidR="00B86CB2" w:rsidRPr="00B86CB2" w:rsidRDefault="00B86CB2" w:rsidP="00B86CB2">
      <w:p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B86CB2">
        <w:rPr>
          <w:rFonts w:ascii="Times New Roman" w:hAnsi="Times New Roman"/>
          <w:lang w:val="en-HK"/>
        </w:rPr>
        <w:t xml:space="preserve">The case arose from the purchase of a </w:t>
      </w:r>
      <w:r w:rsidRPr="00B86CB2">
        <w:rPr>
          <w:rFonts w:ascii="Times New Roman" w:hAnsi="Times New Roman"/>
          <w:b/>
          <w:bCs/>
          <w:lang w:val="en-HK"/>
        </w:rPr>
        <w:t>second-hand US-manufactured motor home (MH)</w:t>
      </w:r>
      <w:r w:rsidRPr="00B86CB2">
        <w:rPr>
          <w:rFonts w:ascii="Times New Roman" w:hAnsi="Times New Roman"/>
          <w:lang w:val="en-HK"/>
        </w:rPr>
        <w:t xml:space="preserve">, which was found to be slightly </w:t>
      </w:r>
      <w:r w:rsidRPr="00B86CB2">
        <w:rPr>
          <w:rFonts w:ascii="Times New Roman" w:hAnsi="Times New Roman"/>
          <w:b/>
          <w:bCs/>
          <w:lang w:val="en-HK"/>
        </w:rPr>
        <w:t>wider than legally permitted</w:t>
      </w:r>
      <w:r w:rsidRPr="00B86CB2">
        <w:rPr>
          <w:rFonts w:ascii="Times New Roman" w:hAnsi="Times New Roman"/>
          <w:lang w:val="en-HK"/>
        </w:rPr>
        <w:t xml:space="preserve"> under the </w:t>
      </w:r>
      <w:r w:rsidRPr="00B86CB2">
        <w:rPr>
          <w:rFonts w:ascii="Times New Roman" w:hAnsi="Times New Roman"/>
          <w:b/>
          <w:bCs/>
          <w:lang w:val="en-HK"/>
        </w:rPr>
        <w:t>Road Vehicles (Construction and Use) Regulations 1986</w:t>
      </w:r>
      <w:r w:rsidRPr="00B86CB2">
        <w:rPr>
          <w:rFonts w:ascii="Times New Roman" w:hAnsi="Times New Roman"/>
          <w:lang w:val="en-HK"/>
        </w:rPr>
        <w:t>. This regulatory breach was not discovered until after the purchase.</w:t>
      </w:r>
    </w:p>
    <w:p w14:paraId="7E97B75C" w14:textId="77777777" w:rsidR="00B86CB2" w:rsidRPr="00B86CB2" w:rsidRDefault="00B86CB2" w:rsidP="00B86CB2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B86CB2">
        <w:rPr>
          <w:rFonts w:ascii="Times New Roman" w:hAnsi="Times New Roman"/>
          <w:b/>
          <w:bCs/>
          <w:lang w:val="en-HK"/>
        </w:rPr>
        <w:t>Buyer’s Inspection</w:t>
      </w:r>
      <w:r w:rsidRPr="00B86CB2">
        <w:rPr>
          <w:rFonts w:ascii="Times New Roman" w:hAnsi="Times New Roman"/>
          <w:lang w:val="en-HK"/>
        </w:rPr>
        <w:t xml:space="preserve">: The buyers </w:t>
      </w:r>
      <w:r w:rsidRPr="00B86CB2">
        <w:rPr>
          <w:rFonts w:ascii="Times New Roman" w:hAnsi="Times New Roman"/>
          <w:b/>
          <w:bCs/>
          <w:lang w:val="en-HK"/>
        </w:rPr>
        <w:t>only examined the interior</w:t>
      </w:r>
      <w:r w:rsidRPr="00B86CB2">
        <w:rPr>
          <w:rFonts w:ascii="Times New Roman" w:hAnsi="Times New Roman"/>
          <w:lang w:val="en-HK"/>
        </w:rPr>
        <w:t xml:space="preserve"> of the vehicle and did not measure its </w:t>
      </w:r>
      <w:r w:rsidRPr="00B86CB2">
        <w:rPr>
          <w:rFonts w:ascii="Times New Roman" w:hAnsi="Times New Roman"/>
          <w:b/>
          <w:bCs/>
          <w:lang w:val="en-HK"/>
        </w:rPr>
        <w:t>external width</w:t>
      </w:r>
      <w:r w:rsidRPr="00B86CB2">
        <w:rPr>
          <w:rFonts w:ascii="Times New Roman" w:hAnsi="Times New Roman"/>
          <w:lang w:val="en-HK"/>
        </w:rPr>
        <w:t>.</w:t>
      </w:r>
    </w:p>
    <w:p w14:paraId="1D62478C" w14:textId="77777777" w:rsidR="00B86CB2" w:rsidRPr="00B86CB2" w:rsidRDefault="00B86CB2" w:rsidP="00B86CB2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B86CB2">
        <w:rPr>
          <w:rFonts w:ascii="Times New Roman" w:hAnsi="Times New Roman"/>
          <w:b/>
          <w:bCs/>
          <w:lang w:val="en-HK"/>
        </w:rPr>
        <w:t>Legal Claim</w:t>
      </w:r>
      <w:r w:rsidRPr="00B86CB2">
        <w:rPr>
          <w:rFonts w:ascii="Times New Roman" w:hAnsi="Times New Roman"/>
          <w:lang w:val="en-HK"/>
        </w:rPr>
        <w:t xml:space="preserve">: The buyers brought an action against the seller, alleging </w:t>
      </w:r>
      <w:r w:rsidRPr="00B86CB2">
        <w:rPr>
          <w:rFonts w:ascii="Times New Roman" w:hAnsi="Times New Roman"/>
          <w:b/>
          <w:bCs/>
          <w:lang w:val="en-HK"/>
        </w:rPr>
        <w:t>breach of the implied term of satisfactory quality</w:t>
      </w:r>
      <w:r w:rsidRPr="00B86CB2">
        <w:rPr>
          <w:rFonts w:ascii="Times New Roman" w:hAnsi="Times New Roman"/>
          <w:lang w:val="en-HK"/>
        </w:rPr>
        <w:t xml:space="preserve"> under </w:t>
      </w:r>
      <w:r w:rsidRPr="00B86CB2">
        <w:rPr>
          <w:rFonts w:ascii="Times New Roman" w:hAnsi="Times New Roman"/>
          <w:b/>
          <w:bCs/>
          <w:lang w:val="en-HK"/>
        </w:rPr>
        <w:t>s.14(2) SGA 1979</w:t>
      </w:r>
      <w:r w:rsidRPr="00B86CB2">
        <w:rPr>
          <w:rFonts w:ascii="Times New Roman" w:hAnsi="Times New Roman"/>
          <w:lang w:val="en-HK"/>
        </w:rPr>
        <w:t>.</w:t>
      </w:r>
    </w:p>
    <w:p w14:paraId="5E5F9AC0" w14:textId="77777777" w:rsidR="00B86CB2" w:rsidRPr="00B86CB2" w:rsidRDefault="00B86CB2" w:rsidP="00B86CB2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B86CB2">
        <w:rPr>
          <w:rFonts w:ascii="Times New Roman" w:hAnsi="Times New Roman"/>
          <w:b/>
          <w:bCs/>
          <w:lang w:val="en-HK"/>
        </w:rPr>
        <w:t>Trial Court’s Decision</w:t>
      </w:r>
      <w:r w:rsidRPr="00B86CB2">
        <w:rPr>
          <w:rFonts w:ascii="Times New Roman" w:hAnsi="Times New Roman"/>
          <w:lang w:val="en-HK"/>
        </w:rPr>
        <w:t xml:space="preserve">: The first-instance judge held that the motor home </w:t>
      </w:r>
      <w:r w:rsidRPr="00B86CB2">
        <w:rPr>
          <w:rFonts w:ascii="Times New Roman" w:hAnsi="Times New Roman"/>
          <w:b/>
          <w:bCs/>
          <w:lang w:val="en-HK"/>
        </w:rPr>
        <w:t>was not of satisfactory quality</w:t>
      </w:r>
      <w:r w:rsidRPr="00B86CB2">
        <w:rPr>
          <w:rFonts w:ascii="Times New Roman" w:hAnsi="Times New Roman"/>
          <w:lang w:val="en-HK"/>
        </w:rPr>
        <w:t xml:space="preserve">, as some consumers would regard the risk of prosecution for using an unlawful vehicle as rendering it defective. However, the court found that </w:t>
      </w:r>
      <w:r w:rsidRPr="00B86CB2">
        <w:rPr>
          <w:rFonts w:ascii="Times New Roman" w:hAnsi="Times New Roman"/>
          <w:b/>
          <w:bCs/>
          <w:lang w:val="en-HK"/>
        </w:rPr>
        <w:t>the buyers’ prior examination ought to have revealed this issue</w:t>
      </w:r>
      <w:r w:rsidRPr="00B86CB2">
        <w:rPr>
          <w:rFonts w:ascii="Times New Roman" w:hAnsi="Times New Roman"/>
          <w:lang w:val="en-HK"/>
        </w:rPr>
        <w:t xml:space="preserve">, allowing the seller to rely on </w:t>
      </w:r>
      <w:r w:rsidRPr="00B86CB2">
        <w:rPr>
          <w:rFonts w:ascii="Times New Roman" w:hAnsi="Times New Roman"/>
          <w:b/>
          <w:bCs/>
          <w:lang w:val="en-HK"/>
        </w:rPr>
        <w:t>s.14(2C)(b) SGA 1979</w:t>
      </w:r>
      <w:r w:rsidRPr="00B86CB2">
        <w:rPr>
          <w:rFonts w:ascii="Times New Roman" w:hAnsi="Times New Roman"/>
          <w:lang w:val="en-HK"/>
        </w:rPr>
        <w:t>.</w:t>
      </w:r>
    </w:p>
    <w:p w14:paraId="14C0B03D" w14:textId="77777777" w:rsidR="00B86CB2" w:rsidRPr="00B86CB2" w:rsidRDefault="00B86CB2" w:rsidP="00B86CB2">
      <w:pPr>
        <w:spacing w:before="100" w:beforeAutospacing="1" w:after="100" w:afterAutospacing="1" w:line="360" w:lineRule="auto"/>
        <w:rPr>
          <w:rFonts w:ascii="Times New Roman" w:hAnsi="Times New Roman"/>
          <w:b/>
          <w:bCs/>
          <w:color w:val="FF0000"/>
          <w:lang w:val="en-HK"/>
        </w:rPr>
      </w:pPr>
      <w:r w:rsidRPr="00B86CB2">
        <w:rPr>
          <w:rFonts w:ascii="Times New Roman" w:hAnsi="Times New Roman"/>
          <w:lang w:val="en-HK"/>
        </w:rPr>
        <w:t xml:space="preserve">Under </w:t>
      </w:r>
      <w:r w:rsidRPr="00B86CB2">
        <w:rPr>
          <w:rFonts w:ascii="Times New Roman" w:hAnsi="Times New Roman"/>
          <w:b/>
          <w:bCs/>
          <w:lang w:val="en-HK"/>
        </w:rPr>
        <w:t>s.14(2C) SGA 1979</w:t>
      </w:r>
      <w:r w:rsidRPr="00B86CB2">
        <w:rPr>
          <w:rFonts w:ascii="Times New Roman" w:hAnsi="Times New Roman"/>
          <w:lang w:val="en-HK"/>
        </w:rPr>
        <w:t xml:space="preserve">, the </w:t>
      </w:r>
      <w:r w:rsidRPr="00B86CB2">
        <w:rPr>
          <w:rFonts w:ascii="Times New Roman" w:hAnsi="Times New Roman"/>
          <w:b/>
          <w:bCs/>
          <w:color w:val="FF0000"/>
          <w:lang w:val="en-HK"/>
        </w:rPr>
        <w:t>implied term of satisfactory quality does not cover defects that:</w:t>
      </w:r>
    </w:p>
    <w:p w14:paraId="3F35CAA2" w14:textId="77777777" w:rsidR="00B86CB2" w:rsidRPr="00B86CB2" w:rsidRDefault="00B86CB2" w:rsidP="00B86CB2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B86CB2">
        <w:rPr>
          <w:rFonts w:ascii="Times New Roman" w:hAnsi="Times New Roman"/>
          <w:b/>
          <w:bCs/>
          <w:lang w:val="en-HK"/>
        </w:rPr>
        <w:t>Were specifically brought to the buyer's attention before the contract</w:t>
      </w:r>
      <w:r w:rsidRPr="00B86CB2">
        <w:rPr>
          <w:rFonts w:ascii="Times New Roman" w:hAnsi="Times New Roman"/>
          <w:lang w:val="en-HK"/>
        </w:rPr>
        <w:t xml:space="preserve"> (</w:t>
      </w:r>
      <w:r w:rsidRPr="00B86CB2">
        <w:rPr>
          <w:rFonts w:ascii="Times New Roman" w:hAnsi="Times New Roman"/>
          <w:b/>
          <w:bCs/>
          <w:lang w:val="en-HK"/>
        </w:rPr>
        <w:t>s.14(2C)(a)</w:t>
      </w:r>
      <w:r w:rsidRPr="00B86CB2">
        <w:rPr>
          <w:rFonts w:ascii="Times New Roman" w:hAnsi="Times New Roman"/>
          <w:lang w:val="en-HK"/>
        </w:rPr>
        <w:t>), or</w:t>
      </w:r>
    </w:p>
    <w:p w14:paraId="0DAB84B8" w14:textId="77777777" w:rsidR="00B86CB2" w:rsidRPr="00B86CB2" w:rsidRDefault="00B86CB2" w:rsidP="00B86CB2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B86CB2">
        <w:rPr>
          <w:rFonts w:ascii="Times New Roman" w:hAnsi="Times New Roman"/>
          <w:b/>
          <w:bCs/>
          <w:lang w:val="en-HK"/>
        </w:rPr>
        <w:t>Should have been revealed by an examination of the goods before purchase</w:t>
      </w:r>
      <w:r w:rsidRPr="00B86CB2">
        <w:rPr>
          <w:rFonts w:ascii="Times New Roman" w:hAnsi="Times New Roman"/>
          <w:lang w:val="en-HK"/>
        </w:rPr>
        <w:t xml:space="preserve"> (</w:t>
      </w:r>
      <w:r w:rsidRPr="00B86CB2">
        <w:rPr>
          <w:rFonts w:ascii="Times New Roman" w:hAnsi="Times New Roman"/>
          <w:b/>
          <w:bCs/>
          <w:lang w:val="en-HK"/>
        </w:rPr>
        <w:t>s.14(2C)(b)</w:t>
      </w:r>
      <w:r w:rsidRPr="00B86CB2">
        <w:rPr>
          <w:rFonts w:ascii="Times New Roman" w:hAnsi="Times New Roman"/>
          <w:lang w:val="en-HK"/>
        </w:rPr>
        <w:t>).</w:t>
      </w:r>
    </w:p>
    <w:p w14:paraId="080F2E7C" w14:textId="77777777" w:rsidR="00B86CB2" w:rsidRPr="00B86CB2" w:rsidRDefault="00B86CB2" w:rsidP="00B86CB2">
      <w:p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B86CB2">
        <w:rPr>
          <w:rFonts w:ascii="Times New Roman" w:hAnsi="Times New Roman"/>
          <w:lang w:val="en-HK"/>
        </w:rPr>
        <w:t xml:space="preserve">The case thus raised a crucial </w:t>
      </w:r>
      <w:r w:rsidRPr="00B86CB2">
        <w:rPr>
          <w:rFonts w:ascii="Times New Roman" w:hAnsi="Times New Roman"/>
          <w:b/>
          <w:bCs/>
          <w:lang w:val="en-HK"/>
        </w:rPr>
        <w:t>legal question</w:t>
      </w:r>
      <w:r w:rsidRPr="00B86CB2">
        <w:rPr>
          <w:rFonts w:ascii="Times New Roman" w:hAnsi="Times New Roman"/>
          <w:lang w:val="en-HK"/>
        </w:rPr>
        <w:t>:</w:t>
      </w:r>
    </w:p>
    <w:p w14:paraId="497701E5" w14:textId="77777777" w:rsidR="00B86CB2" w:rsidRPr="00B86CB2" w:rsidRDefault="00B86CB2" w:rsidP="00B86CB2">
      <w:pPr>
        <w:numPr>
          <w:ilvl w:val="0"/>
          <w:numId w:val="3"/>
        </w:num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B86CB2">
        <w:rPr>
          <w:rFonts w:ascii="Times New Roman" w:hAnsi="Times New Roman"/>
          <w:b/>
          <w:bCs/>
          <w:lang w:val="en-HK"/>
        </w:rPr>
        <w:lastRenderedPageBreak/>
        <w:t>Can a buyer’s failure to carry out a particular examination preclude a claim for lack of satisfactory quality under s.14(2)?</w:t>
      </w:r>
    </w:p>
    <w:p w14:paraId="75908687" w14:textId="77777777" w:rsidR="00B86CB2" w:rsidRPr="00B86CB2" w:rsidRDefault="008562D7" w:rsidP="00B86CB2">
      <w:pPr>
        <w:spacing w:line="360" w:lineRule="auto"/>
        <w:rPr>
          <w:rFonts w:ascii="Times New Roman" w:hAnsi="Times New Roman"/>
          <w:lang w:val="en-HK"/>
        </w:rPr>
      </w:pPr>
      <w:r w:rsidRPr="008562D7">
        <w:rPr>
          <w:rFonts w:ascii="Times New Roman" w:hAnsi="Times New Roman"/>
          <w:noProof/>
          <w:lang w:val="en-HK"/>
          <w14:ligatures w14:val="standardContextual"/>
        </w:rPr>
        <w:pict w14:anchorId="3120454C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4485EF2A" w14:textId="77777777" w:rsidR="00B86CB2" w:rsidRPr="00B86CB2" w:rsidRDefault="00B86CB2" w:rsidP="00B86CB2">
      <w:pPr>
        <w:spacing w:before="100" w:beforeAutospacing="1" w:after="100" w:afterAutospacing="1" w:line="360" w:lineRule="auto"/>
        <w:outlineLvl w:val="1"/>
        <w:rPr>
          <w:rFonts w:ascii="Times New Roman" w:hAnsi="Times New Roman"/>
          <w:b/>
          <w:bCs/>
          <w:lang w:val="en-HK"/>
        </w:rPr>
      </w:pPr>
      <w:r w:rsidRPr="00B86CB2">
        <w:rPr>
          <w:rFonts w:ascii="Times New Roman" w:hAnsi="Times New Roman"/>
          <w:b/>
          <w:bCs/>
          <w:lang w:val="en-HK"/>
        </w:rPr>
        <w:t>2. The Court of Appeal’s Decision and Reasoning</w:t>
      </w:r>
    </w:p>
    <w:p w14:paraId="6134FD57" w14:textId="77777777" w:rsidR="00B86CB2" w:rsidRPr="00B86CB2" w:rsidRDefault="00B86CB2" w:rsidP="00B86CB2">
      <w:p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B86CB2">
        <w:rPr>
          <w:rFonts w:ascii="Times New Roman" w:hAnsi="Times New Roman"/>
          <w:lang w:val="en-HK"/>
        </w:rPr>
        <w:t xml:space="preserve">On appeal, </w:t>
      </w:r>
      <w:r w:rsidRPr="00B86CB2">
        <w:rPr>
          <w:rFonts w:ascii="Times New Roman" w:hAnsi="Times New Roman"/>
          <w:b/>
          <w:bCs/>
          <w:lang w:val="en-HK"/>
        </w:rPr>
        <w:t>Auld L.J. (with whom Thomas and Jacob L.JJ. agreed)</w:t>
      </w:r>
      <w:r w:rsidRPr="00B86CB2">
        <w:rPr>
          <w:rFonts w:ascii="Times New Roman" w:hAnsi="Times New Roman"/>
          <w:lang w:val="en-HK"/>
        </w:rPr>
        <w:t xml:space="preserve"> overturned the lower court’s ruling that the MH was not of satisfactory quality. The </w:t>
      </w:r>
      <w:r w:rsidRPr="00B86CB2">
        <w:rPr>
          <w:rFonts w:ascii="Times New Roman" w:hAnsi="Times New Roman"/>
          <w:b/>
          <w:bCs/>
          <w:lang w:val="en-HK"/>
        </w:rPr>
        <w:t>key findings</w:t>
      </w:r>
      <w:r w:rsidRPr="00B86CB2">
        <w:rPr>
          <w:rFonts w:ascii="Times New Roman" w:hAnsi="Times New Roman"/>
          <w:lang w:val="en-HK"/>
        </w:rPr>
        <w:t xml:space="preserve"> of the Court of Appeal were:</w:t>
      </w:r>
    </w:p>
    <w:p w14:paraId="48E7DFB3" w14:textId="77777777" w:rsidR="00B86CB2" w:rsidRPr="00B86CB2" w:rsidRDefault="00B86CB2" w:rsidP="00B86CB2">
      <w:pPr>
        <w:spacing w:before="100" w:beforeAutospacing="1" w:after="100" w:afterAutospacing="1" w:line="360" w:lineRule="auto"/>
        <w:outlineLvl w:val="2"/>
        <w:rPr>
          <w:rFonts w:ascii="Times New Roman" w:hAnsi="Times New Roman"/>
          <w:b/>
          <w:bCs/>
          <w:lang w:val="en-HK"/>
        </w:rPr>
      </w:pPr>
      <w:r w:rsidRPr="00B86CB2">
        <w:rPr>
          <w:rFonts w:ascii="Times New Roman" w:hAnsi="Times New Roman"/>
          <w:b/>
          <w:bCs/>
          <w:lang w:val="en-HK"/>
        </w:rPr>
        <w:t>A. The Risk of Prosecution and Satisfactory Quality</w:t>
      </w:r>
    </w:p>
    <w:p w14:paraId="027DC1DA" w14:textId="77777777" w:rsidR="00B86CB2" w:rsidRPr="00B86CB2" w:rsidRDefault="00B86CB2" w:rsidP="00B86CB2">
      <w:pPr>
        <w:numPr>
          <w:ilvl w:val="0"/>
          <w:numId w:val="4"/>
        </w:num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B86CB2">
        <w:rPr>
          <w:rFonts w:ascii="Times New Roman" w:hAnsi="Times New Roman"/>
          <w:lang w:val="en-HK"/>
        </w:rPr>
        <w:t xml:space="preserve">The trial judge ruled that the MH was </w:t>
      </w:r>
      <w:r w:rsidRPr="00B86CB2">
        <w:rPr>
          <w:rFonts w:ascii="Times New Roman" w:hAnsi="Times New Roman"/>
          <w:b/>
          <w:bCs/>
          <w:lang w:val="en-HK"/>
        </w:rPr>
        <w:t>not of satisfactory quality</w:t>
      </w:r>
      <w:r w:rsidRPr="00B86CB2">
        <w:rPr>
          <w:rFonts w:ascii="Times New Roman" w:hAnsi="Times New Roman"/>
          <w:lang w:val="en-HK"/>
        </w:rPr>
        <w:t xml:space="preserve"> because some buyers would regard the risk of </w:t>
      </w:r>
      <w:r w:rsidRPr="00B86CB2">
        <w:rPr>
          <w:rFonts w:ascii="Times New Roman" w:hAnsi="Times New Roman"/>
          <w:b/>
          <w:bCs/>
          <w:lang w:val="en-HK"/>
        </w:rPr>
        <w:t>prosecution for an unlawful vehicle</w:t>
      </w:r>
      <w:r w:rsidRPr="00B86CB2">
        <w:rPr>
          <w:rFonts w:ascii="Times New Roman" w:hAnsi="Times New Roman"/>
          <w:lang w:val="en-HK"/>
        </w:rPr>
        <w:t xml:space="preserve"> as </w:t>
      </w:r>
      <w:r w:rsidRPr="00B86CB2">
        <w:rPr>
          <w:rFonts w:ascii="Times New Roman" w:hAnsi="Times New Roman"/>
          <w:b/>
          <w:bCs/>
          <w:lang w:val="en-HK"/>
        </w:rPr>
        <w:t>rendering the MH unsatisfactory</w:t>
      </w:r>
      <w:r w:rsidRPr="00B86CB2">
        <w:rPr>
          <w:rFonts w:ascii="Times New Roman" w:hAnsi="Times New Roman"/>
          <w:lang w:val="en-HK"/>
        </w:rPr>
        <w:t>.</w:t>
      </w:r>
    </w:p>
    <w:p w14:paraId="2D828A49" w14:textId="77777777" w:rsidR="00B86CB2" w:rsidRPr="00B86CB2" w:rsidRDefault="00B86CB2" w:rsidP="00B86CB2">
      <w:pPr>
        <w:numPr>
          <w:ilvl w:val="0"/>
          <w:numId w:val="4"/>
        </w:num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B86CB2">
        <w:rPr>
          <w:rFonts w:ascii="Times New Roman" w:hAnsi="Times New Roman"/>
          <w:lang w:val="en-HK"/>
        </w:rPr>
        <w:t xml:space="preserve">The Court of Appeal rejected this argument, holding that </w:t>
      </w:r>
      <w:r w:rsidRPr="00B86CB2">
        <w:rPr>
          <w:rFonts w:ascii="Times New Roman" w:hAnsi="Times New Roman"/>
          <w:b/>
          <w:bCs/>
          <w:lang w:val="en-HK"/>
        </w:rPr>
        <w:t>the likelihood of prosecution was low</w:t>
      </w:r>
      <w:r w:rsidRPr="00B86CB2">
        <w:rPr>
          <w:rFonts w:ascii="Times New Roman" w:hAnsi="Times New Roman"/>
          <w:lang w:val="en-HK"/>
        </w:rPr>
        <w:t xml:space="preserve">, and there was </w:t>
      </w:r>
      <w:r w:rsidRPr="00B86CB2">
        <w:rPr>
          <w:rFonts w:ascii="Times New Roman" w:hAnsi="Times New Roman"/>
          <w:b/>
          <w:bCs/>
          <w:lang w:val="en-HK"/>
        </w:rPr>
        <w:t>insufficient evidence</w:t>
      </w:r>
      <w:r w:rsidRPr="00B86CB2">
        <w:rPr>
          <w:rFonts w:ascii="Times New Roman" w:hAnsi="Times New Roman"/>
          <w:lang w:val="en-HK"/>
        </w:rPr>
        <w:t xml:space="preserve"> that the authorities </w:t>
      </w:r>
      <w:r w:rsidRPr="00B86CB2">
        <w:rPr>
          <w:rFonts w:ascii="Times New Roman" w:hAnsi="Times New Roman"/>
          <w:b/>
          <w:bCs/>
          <w:lang w:val="en-HK"/>
        </w:rPr>
        <w:t>actively enforced</w:t>
      </w:r>
      <w:r w:rsidRPr="00B86CB2">
        <w:rPr>
          <w:rFonts w:ascii="Times New Roman" w:hAnsi="Times New Roman"/>
          <w:lang w:val="en-HK"/>
        </w:rPr>
        <w:t xml:space="preserve"> the relevant regulations.</w:t>
      </w:r>
    </w:p>
    <w:p w14:paraId="03FFCDF2" w14:textId="77777777" w:rsidR="00B86CB2" w:rsidRPr="00B86CB2" w:rsidRDefault="00B86CB2" w:rsidP="00B86CB2">
      <w:pPr>
        <w:numPr>
          <w:ilvl w:val="0"/>
          <w:numId w:val="4"/>
        </w:numPr>
        <w:spacing w:before="100" w:beforeAutospacing="1" w:after="100" w:afterAutospacing="1" w:line="360" w:lineRule="auto"/>
        <w:rPr>
          <w:rFonts w:ascii="Times New Roman" w:hAnsi="Times New Roman"/>
          <w:color w:val="FF0000"/>
          <w:lang w:val="en-HK"/>
        </w:rPr>
      </w:pPr>
      <w:r w:rsidRPr="00B86CB2">
        <w:rPr>
          <w:rFonts w:ascii="Times New Roman" w:hAnsi="Times New Roman"/>
          <w:color w:val="FF0000"/>
          <w:lang w:val="en-HK"/>
        </w:rPr>
        <w:t>Twigg-</w:t>
      </w:r>
      <w:proofErr w:type="spellStart"/>
      <w:r w:rsidRPr="00B86CB2">
        <w:rPr>
          <w:rFonts w:ascii="Times New Roman" w:hAnsi="Times New Roman"/>
          <w:color w:val="FF0000"/>
          <w:lang w:val="en-HK"/>
        </w:rPr>
        <w:t>Flesner</w:t>
      </w:r>
      <w:proofErr w:type="spellEnd"/>
      <w:r w:rsidRPr="00B86CB2">
        <w:rPr>
          <w:rFonts w:ascii="Times New Roman" w:hAnsi="Times New Roman"/>
          <w:color w:val="FF0000"/>
          <w:lang w:val="en-HK"/>
        </w:rPr>
        <w:t xml:space="preserve"> criticizes this reasoning, arguing that the court should have considered the </w:t>
      </w:r>
      <w:r w:rsidRPr="00B86CB2">
        <w:rPr>
          <w:rFonts w:ascii="Times New Roman" w:hAnsi="Times New Roman"/>
          <w:b/>
          <w:bCs/>
          <w:color w:val="FF0000"/>
          <w:lang w:val="en-HK"/>
        </w:rPr>
        <w:t>wider policy issue</w:t>
      </w:r>
      <w:r w:rsidRPr="00B86CB2">
        <w:rPr>
          <w:rFonts w:ascii="Times New Roman" w:hAnsi="Times New Roman"/>
          <w:color w:val="FF0000"/>
          <w:lang w:val="en-HK"/>
        </w:rPr>
        <w:t>:</w:t>
      </w:r>
    </w:p>
    <w:p w14:paraId="078C629B" w14:textId="77777777" w:rsidR="00B86CB2" w:rsidRPr="00B86CB2" w:rsidRDefault="00B86CB2" w:rsidP="00B86CB2">
      <w:p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B86CB2">
        <w:rPr>
          <w:rFonts w:ascii="Times New Roman" w:hAnsi="Times New Roman"/>
          <w:b/>
          <w:bCs/>
          <w:lang w:val="en-HK"/>
        </w:rPr>
        <w:t xml:space="preserve">Goods that </w:t>
      </w:r>
      <w:r w:rsidRPr="00B86CB2">
        <w:rPr>
          <w:rFonts w:ascii="Times New Roman" w:hAnsi="Times New Roman"/>
          <w:b/>
          <w:bCs/>
          <w:color w:val="FF0000"/>
          <w:lang w:val="en-HK"/>
        </w:rPr>
        <w:t>cannot lawfully be used for their intended purpose should automatically be deemed unsatisfactory</w:t>
      </w:r>
      <w:r w:rsidRPr="00B86CB2">
        <w:rPr>
          <w:rFonts w:ascii="Times New Roman" w:hAnsi="Times New Roman"/>
          <w:lang w:val="en-HK"/>
        </w:rPr>
        <w:t xml:space="preserve"> under </w:t>
      </w:r>
      <w:r w:rsidRPr="00B86CB2">
        <w:rPr>
          <w:rFonts w:ascii="Times New Roman" w:hAnsi="Times New Roman"/>
          <w:b/>
          <w:bCs/>
          <w:lang w:val="en-HK"/>
        </w:rPr>
        <w:t>s.14(2) SGA 1979</w:t>
      </w:r>
      <w:r w:rsidRPr="00B86CB2">
        <w:rPr>
          <w:rFonts w:ascii="Times New Roman" w:hAnsi="Times New Roman"/>
          <w:lang w:val="en-HK"/>
        </w:rPr>
        <w:t>, regardless of whether enforcement action is likely.</w:t>
      </w:r>
    </w:p>
    <w:p w14:paraId="2FAF95CC" w14:textId="77777777" w:rsidR="00B86CB2" w:rsidRPr="00B86CB2" w:rsidRDefault="00B86CB2" w:rsidP="00B86CB2">
      <w:p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B86CB2">
        <w:rPr>
          <w:rFonts w:ascii="Times New Roman" w:hAnsi="Times New Roman"/>
          <w:b/>
          <w:bCs/>
          <w:lang w:val="en-HK"/>
        </w:rPr>
        <w:t>Exception</w:t>
      </w:r>
      <w:r w:rsidRPr="00B86CB2">
        <w:rPr>
          <w:rFonts w:ascii="Times New Roman" w:hAnsi="Times New Roman"/>
          <w:lang w:val="en-HK"/>
        </w:rPr>
        <w:t xml:space="preserve">: This principle should not apply where the </w:t>
      </w:r>
      <w:r w:rsidRPr="00B86CB2">
        <w:rPr>
          <w:rFonts w:ascii="Times New Roman" w:hAnsi="Times New Roman"/>
          <w:b/>
          <w:bCs/>
          <w:lang w:val="en-HK"/>
        </w:rPr>
        <w:t>buyer was fully aware</w:t>
      </w:r>
      <w:r w:rsidRPr="00B86CB2">
        <w:rPr>
          <w:rFonts w:ascii="Times New Roman" w:hAnsi="Times New Roman"/>
          <w:lang w:val="en-HK"/>
        </w:rPr>
        <w:t xml:space="preserve"> of the issue at the time of purchase.</w:t>
      </w:r>
    </w:p>
    <w:p w14:paraId="7E128381" w14:textId="77777777" w:rsidR="00B86CB2" w:rsidRPr="00B86CB2" w:rsidRDefault="00B86CB2" w:rsidP="00B86CB2">
      <w:pPr>
        <w:spacing w:before="100" w:beforeAutospacing="1" w:after="100" w:afterAutospacing="1" w:line="360" w:lineRule="auto"/>
        <w:outlineLvl w:val="2"/>
        <w:rPr>
          <w:rFonts w:ascii="Times New Roman" w:hAnsi="Times New Roman"/>
          <w:b/>
          <w:bCs/>
          <w:lang w:val="en-HK"/>
        </w:rPr>
      </w:pPr>
      <w:r w:rsidRPr="00B86CB2">
        <w:rPr>
          <w:rFonts w:ascii="Times New Roman" w:hAnsi="Times New Roman"/>
          <w:b/>
          <w:bCs/>
          <w:lang w:val="en-HK"/>
        </w:rPr>
        <w:t>B. Misapplication of Section 14(2C)(b) SGA 1979</w:t>
      </w:r>
    </w:p>
    <w:p w14:paraId="274BE83F" w14:textId="77777777" w:rsidR="00B86CB2" w:rsidRPr="00B86CB2" w:rsidRDefault="00B86CB2" w:rsidP="00B86CB2">
      <w:pPr>
        <w:numPr>
          <w:ilvl w:val="0"/>
          <w:numId w:val="5"/>
        </w:num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B86CB2">
        <w:rPr>
          <w:rFonts w:ascii="Times New Roman" w:hAnsi="Times New Roman"/>
          <w:lang w:val="en-HK"/>
        </w:rPr>
        <w:t xml:space="preserve">The </w:t>
      </w:r>
      <w:r w:rsidRPr="00B86CB2">
        <w:rPr>
          <w:rFonts w:ascii="Times New Roman" w:hAnsi="Times New Roman"/>
          <w:b/>
          <w:bCs/>
          <w:lang w:val="en-HK"/>
        </w:rPr>
        <w:t>trial judge held that s.14(2C)(b) applied</w:t>
      </w:r>
      <w:r w:rsidRPr="00B86CB2">
        <w:rPr>
          <w:rFonts w:ascii="Times New Roman" w:hAnsi="Times New Roman"/>
          <w:lang w:val="en-HK"/>
        </w:rPr>
        <w:t xml:space="preserve">, meaning that because the buyers had </w:t>
      </w:r>
      <w:r w:rsidRPr="00B86CB2">
        <w:rPr>
          <w:rFonts w:ascii="Times New Roman" w:hAnsi="Times New Roman"/>
          <w:b/>
          <w:bCs/>
          <w:lang w:val="en-HK"/>
        </w:rPr>
        <w:t>an opportunity to examine</w:t>
      </w:r>
      <w:r w:rsidRPr="00B86CB2">
        <w:rPr>
          <w:rFonts w:ascii="Times New Roman" w:hAnsi="Times New Roman"/>
          <w:lang w:val="en-HK"/>
        </w:rPr>
        <w:t xml:space="preserve"> the MH, their claim was barred.</w:t>
      </w:r>
    </w:p>
    <w:p w14:paraId="26198072" w14:textId="77777777" w:rsidR="00B86CB2" w:rsidRPr="00B86CB2" w:rsidRDefault="00B86CB2" w:rsidP="00B86CB2">
      <w:pPr>
        <w:numPr>
          <w:ilvl w:val="0"/>
          <w:numId w:val="5"/>
        </w:num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B86CB2">
        <w:rPr>
          <w:rFonts w:ascii="Times New Roman" w:hAnsi="Times New Roman"/>
          <w:lang w:val="en-HK"/>
        </w:rPr>
        <w:t xml:space="preserve">Auld L.J. </w:t>
      </w:r>
      <w:r w:rsidRPr="00B86CB2">
        <w:rPr>
          <w:rFonts w:ascii="Times New Roman" w:hAnsi="Times New Roman"/>
          <w:b/>
          <w:bCs/>
          <w:lang w:val="en-HK"/>
        </w:rPr>
        <w:t>agreed</w:t>
      </w:r>
      <w:r w:rsidRPr="00B86CB2">
        <w:rPr>
          <w:rFonts w:ascii="Times New Roman" w:hAnsi="Times New Roman"/>
          <w:lang w:val="en-HK"/>
        </w:rPr>
        <w:t xml:space="preserve">, stating that a proper examination </w:t>
      </w:r>
      <w:r w:rsidRPr="00B86CB2">
        <w:rPr>
          <w:rFonts w:ascii="Times New Roman" w:hAnsi="Times New Roman"/>
          <w:b/>
          <w:bCs/>
          <w:lang w:val="en-HK"/>
        </w:rPr>
        <w:t>should have revealed the defect</w:t>
      </w:r>
      <w:r w:rsidRPr="00B86CB2">
        <w:rPr>
          <w:rFonts w:ascii="Times New Roman" w:hAnsi="Times New Roman"/>
          <w:lang w:val="en-HK"/>
        </w:rPr>
        <w:t xml:space="preserve">, but the buyers </w:t>
      </w:r>
      <w:r w:rsidRPr="00B86CB2">
        <w:rPr>
          <w:rFonts w:ascii="Times New Roman" w:hAnsi="Times New Roman"/>
          <w:b/>
          <w:bCs/>
          <w:lang w:val="en-HK"/>
        </w:rPr>
        <w:t>failed to measure the width</w:t>
      </w:r>
      <w:r w:rsidRPr="00B86CB2">
        <w:rPr>
          <w:rFonts w:ascii="Times New Roman" w:hAnsi="Times New Roman"/>
          <w:lang w:val="en-HK"/>
        </w:rPr>
        <w:t>.</w:t>
      </w:r>
    </w:p>
    <w:p w14:paraId="3B615ACC" w14:textId="77777777" w:rsidR="00B86CB2" w:rsidRPr="00B86CB2" w:rsidRDefault="00B86CB2" w:rsidP="00B86CB2">
      <w:pPr>
        <w:numPr>
          <w:ilvl w:val="0"/>
          <w:numId w:val="5"/>
        </w:num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B86CB2">
        <w:rPr>
          <w:rFonts w:ascii="Times New Roman" w:hAnsi="Times New Roman"/>
          <w:lang w:val="en-HK"/>
        </w:rPr>
        <w:lastRenderedPageBreak/>
        <w:t>Twigg-</w:t>
      </w:r>
      <w:proofErr w:type="spellStart"/>
      <w:r w:rsidRPr="00B86CB2">
        <w:rPr>
          <w:rFonts w:ascii="Times New Roman" w:hAnsi="Times New Roman"/>
          <w:lang w:val="en-HK"/>
        </w:rPr>
        <w:t>Flesner</w:t>
      </w:r>
      <w:proofErr w:type="spellEnd"/>
      <w:r w:rsidRPr="00B86CB2">
        <w:rPr>
          <w:rFonts w:ascii="Times New Roman" w:hAnsi="Times New Roman"/>
          <w:lang w:val="en-HK"/>
        </w:rPr>
        <w:t xml:space="preserve"> </w:t>
      </w:r>
      <w:r w:rsidRPr="00B86CB2">
        <w:rPr>
          <w:rFonts w:ascii="Times New Roman" w:hAnsi="Times New Roman"/>
          <w:b/>
          <w:bCs/>
          <w:lang w:val="en-HK"/>
        </w:rPr>
        <w:t>strongly criticizes this interpretation</w:t>
      </w:r>
      <w:r w:rsidRPr="00B86CB2">
        <w:rPr>
          <w:rFonts w:ascii="Times New Roman" w:hAnsi="Times New Roman"/>
          <w:lang w:val="en-HK"/>
        </w:rPr>
        <w:t xml:space="preserve">, arguing that </w:t>
      </w:r>
      <w:r w:rsidRPr="00B86CB2">
        <w:rPr>
          <w:rFonts w:ascii="Times New Roman" w:hAnsi="Times New Roman"/>
          <w:b/>
          <w:bCs/>
          <w:lang w:val="en-HK"/>
        </w:rPr>
        <w:t>s.14(2C)(b) requires an actual examination</w:t>
      </w:r>
      <w:r w:rsidRPr="00B86CB2">
        <w:rPr>
          <w:rFonts w:ascii="Times New Roman" w:hAnsi="Times New Roman"/>
          <w:lang w:val="en-HK"/>
        </w:rPr>
        <w:t xml:space="preserve"> and not merely the opportunity for one:</w:t>
      </w:r>
    </w:p>
    <w:p w14:paraId="20E52598" w14:textId="77777777" w:rsidR="00B86CB2" w:rsidRPr="00B86CB2" w:rsidRDefault="00B86CB2" w:rsidP="00B86CB2">
      <w:pPr>
        <w:numPr>
          <w:ilvl w:val="1"/>
          <w:numId w:val="5"/>
        </w:num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B86CB2">
        <w:rPr>
          <w:rFonts w:ascii="Times New Roman" w:hAnsi="Times New Roman"/>
          <w:b/>
          <w:bCs/>
          <w:lang w:val="en-HK"/>
        </w:rPr>
        <w:t>The provision only applies if the buyer actually examines the goods.</w:t>
      </w:r>
    </w:p>
    <w:p w14:paraId="11DFF7C3" w14:textId="77777777" w:rsidR="00B86CB2" w:rsidRPr="00B86CB2" w:rsidRDefault="00B86CB2" w:rsidP="00B86CB2">
      <w:pPr>
        <w:numPr>
          <w:ilvl w:val="1"/>
          <w:numId w:val="5"/>
        </w:num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B86CB2">
        <w:rPr>
          <w:rFonts w:ascii="Times New Roman" w:hAnsi="Times New Roman"/>
          <w:b/>
          <w:bCs/>
          <w:lang w:val="en-HK"/>
        </w:rPr>
        <w:t>There is no obligation on the buyer to conduct any examination</w:t>
      </w:r>
      <w:r w:rsidRPr="00B86CB2">
        <w:rPr>
          <w:rFonts w:ascii="Times New Roman" w:hAnsi="Times New Roman"/>
          <w:lang w:val="en-HK"/>
        </w:rPr>
        <w:t>—s.14(2C)(b) merely limits liability where an actual inspection should have uncovered the defect.</w:t>
      </w:r>
    </w:p>
    <w:p w14:paraId="5830A883" w14:textId="77777777" w:rsidR="00B86CB2" w:rsidRPr="00B86CB2" w:rsidRDefault="00B86CB2" w:rsidP="00B86CB2">
      <w:pPr>
        <w:numPr>
          <w:ilvl w:val="1"/>
          <w:numId w:val="5"/>
        </w:num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B86CB2">
        <w:rPr>
          <w:rFonts w:ascii="Times New Roman" w:hAnsi="Times New Roman"/>
          <w:lang w:val="en-HK"/>
        </w:rPr>
        <w:t xml:space="preserve">If the buyers had </w:t>
      </w:r>
      <w:r w:rsidRPr="00B86CB2">
        <w:rPr>
          <w:rFonts w:ascii="Times New Roman" w:hAnsi="Times New Roman"/>
          <w:b/>
          <w:bCs/>
          <w:lang w:val="en-HK"/>
        </w:rPr>
        <w:t>measured the MH but recorded an incorrect measurement</w:t>
      </w:r>
      <w:r w:rsidRPr="00B86CB2">
        <w:rPr>
          <w:rFonts w:ascii="Times New Roman" w:hAnsi="Times New Roman"/>
          <w:lang w:val="en-HK"/>
        </w:rPr>
        <w:t xml:space="preserve">, the seller could have relied on </w:t>
      </w:r>
      <w:r w:rsidRPr="00B86CB2">
        <w:rPr>
          <w:rFonts w:ascii="Times New Roman" w:hAnsi="Times New Roman"/>
          <w:b/>
          <w:bCs/>
          <w:lang w:val="en-HK"/>
        </w:rPr>
        <w:t>s.14(2C)(b)</w:t>
      </w:r>
      <w:r w:rsidRPr="00B86CB2">
        <w:rPr>
          <w:rFonts w:ascii="Times New Roman" w:hAnsi="Times New Roman"/>
          <w:lang w:val="en-HK"/>
        </w:rPr>
        <w:t>.</w:t>
      </w:r>
    </w:p>
    <w:p w14:paraId="5DBD9E07" w14:textId="77777777" w:rsidR="00B86CB2" w:rsidRPr="00B86CB2" w:rsidRDefault="00B86CB2" w:rsidP="00B86CB2">
      <w:pPr>
        <w:numPr>
          <w:ilvl w:val="1"/>
          <w:numId w:val="5"/>
        </w:num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B86CB2">
        <w:rPr>
          <w:rFonts w:ascii="Times New Roman" w:hAnsi="Times New Roman"/>
          <w:lang w:val="en-HK"/>
        </w:rPr>
        <w:t xml:space="preserve">However, since the buyers </w:t>
      </w:r>
      <w:r w:rsidRPr="00B86CB2">
        <w:rPr>
          <w:rFonts w:ascii="Times New Roman" w:hAnsi="Times New Roman"/>
          <w:b/>
          <w:bCs/>
          <w:lang w:val="en-HK"/>
        </w:rPr>
        <w:t>never measured the width</w:t>
      </w:r>
      <w:r w:rsidRPr="00B86CB2">
        <w:rPr>
          <w:rFonts w:ascii="Times New Roman" w:hAnsi="Times New Roman"/>
          <w:lang w:val="en-HK"/>
        </w:rPr>
        <w:t xml:space="preserve">, the provision </w:t>
      </w:r>
      <w:r w:rsidRPr="00B86CB2">
        <w:rPr>
          <w:rFonts w:ascii="Times New Roman" w:hAnsi="Times New Roman"/>
          <w:b/>
          <w:bCs/>
          <w:lang w:val="en-HK"/>
        </w:rPr>
        <w:t>should not have applied</w:t>
      </w:r>
      <w:r w:rsidRPr="00B86CB2">
        <w:rPr>
          <w:rFonts w:ascii="Times New Roman" w:hAnsi="Times New Roman"/>
          <w:lang w:val="en-HK"/>
        </w:rPr>
        <w:t xml:space="preserve"> at all.</w:t>
      </w:r>
    </w:p>
    <w:p w14:paraId="4E6456B9" w14:textId="77777777" w:rsidR="00B86CB2" w:rsidRPr="00B86CB2" w:rsidRDefault="00B86CB2" w:rsidP="00B86CB2">
      <w:p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B86CB2">
        <w:rPr>
          <w:rFonts w:ascii="Times New Roman" w:hAnsi="Times New Roman"/>
          <w:lang w:val="en-HK"/>
        </w:rPr>
        <w:t xml:space="preserve">This </w:t>
      </w:r>
      <w:r w:rsidRPr="00B86CB2">
        <w:rPr>
          <w:rFonts w:ascii="Times New Roman" w:hAnsi="Times New Roman"/>
          <w:b/>
          <w:bCs/>
          <w:lang w:val="en-HK"/>
        </w:rPr>
        <w:t>misreading of s.14(2C)(b)</w:t>
      </w:r>
      <w:r w:rsidRPr="00B86CB2">
        <w:rPr>
          <w:rFonts w:ascii="Times New Roman" w:hAnsi="Times New Roman"/>
          <w:lang w:val="en-HK"/>
        </w:rPr>
        <w:t xml:space="preserve">, the author argues, </w:t>
      </w:r>
      <w:r w:rsidRPr="00B86CB2">
        <w:rPr>
          <w:rFonts w:ascii="Times New Roman" w:hAnsi="Times New Roman"/>
          <w:b/>
          <w:bCs/>
          <w:lang w:val="en-HK"/>
        </w:rPr>
        <w:t>dangerously expands</w:t>
      </w:r>
      <w:r w:rsidRPr="00B86CB2">
        <w:rPr>
          <w:rFonts w:ascii="Times New Roman" w:hAnsi="Times New Roman"/>
          <w:lang w:val="en-HK"/>
        </w:rPr>
        <w:t xml:space="preserve"> the provision to cover cases where buyers fail to carry out specific examinations, </w:t>
      </w:r>
      <w:r w:rsidRPr="00B86CB2">
        <w:rPr>
          <w:rFonts w:ascii="Times New Roman" w:hAnsi="Times New Roman"/>
          <w:b/>
          <w:bCs/>
          <w:lang w:val="en-HK"/>
        </w:rPr>
        <w:t>effectively shifting responsibility onto buyers to conduct rigorous inspections before purchase</w:t>
      </w:r>
      <w:r w:rsidRPr="00B86CB2">
        <w:rPr>
          <w:rFonts w:ascii="Times New Roman" w:hAnsi="Times New Roman"/>
          <w:lang w:val="en-HK"/>
        </w:rPr>
        <w:t>.</w:t>
      </w:r>
    </w:p>
    <w:p w14:paraId="7A5FCB6C" w14:textId="77777777" w:rsidR="00B86CB2" w:rsidRPr="00B86CB2" w:rsidRDefault="008562D7" w:rsidP="00B86CB2">
      <w:pPr>
        <w:spacing w:line="360" w:lineRule="auto"/>
        <w:rPr>
          <w:rFonts w:ascii="Times New Roman" w:hAnsi="Times New Roman"/>
          <w:lang w:val="en-HK"/>
        </w:rPr>
      </w:pPr>
      <w:r w:rsidRPr="008562D7">
        <w:rPr>
          <w:rFonts w:ascii="Times New Roman" w:hAnsi="Times New Roman"/>
          <w:noProof/>
          <w:lang w:val="en-HK"/>
          <w14:ligatures w14:val="standardContextual"/>
        </w:rPr>
        <w:pict w14:anchorId="3E0F5232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480BF4BB" w14:textId="77777777" w:rsidR="00B86CB2" w:rsidRPr="00B86CB2" w:rsidRDefault="00B86CB2" w:rsidP="00B86CB2">
      <w:pPr>
        <w:spacing w:before="100" w:beforeAutospacing="1" w:after="100" w:afterAutospacing="1" w:line="360" w:lineRule="auto"/>
        <w:outlineLvl w:val="1"/>
        <w:rPr>
          <w:rFonts w:ascii="Times New Roman" w:hAnsi="Times New Roman"/>
          <w:b/>
          <w:bCs/>
          <w:lang w:val="en-HK"/>
        </w:rPr>
      </w:pPr>
      <w:r w:rsidRPr="00B86CB2">
        <w:rPr>
          <w:rFonts w:ascii="Times New Roman" w:hAnsi="Times New Roman"/>
          <w:b/>
          <w:bCs/>
          <w:lang w:val="en-HK"/>
        </w:rPr>
        <w:t>3. Misinterpretation of Section 14(2C)(a) SGA 1979</w:t>
      </w:r>
    </w:p>
    <w:p w14:paraId="0DB88593" w14:textId="77777777" w:rsidR="00B86CB2" w:rsidRPr="00B86CB2" w:rsidRDefault="00B86CB2" w:rsidP="00B86CB2">
      <w:pPr>
        <w:numPr>
          <w:ilvl w:val="0"/>
          <w:numId w:val="6"/>
        </w:num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B86CB2">
        <w:rPr>
          <w:rFonts w:ascii="Times New Roman" w:hAnsi="Times New Roman"/>
          <w:lang w:val="en-HK"/>
        </w:rPr>
        <w:t xml:space="preserve">The sellers’ counsel attempted to argue that because the </w:t>
      </w:r>
      <w:r w:rsidRPr="00B86CB2">
        <w:rPr>
          <w:rFonts w:ascii="Times New Roman" w:hAnsi="Times New Roman"/>
          <w:b/>
          <w:bCs/>
          <w:lang w:val="en-HK"/>
        </w:rPr>
        <w:t>interior width</w:t>
      </w:r>
      <w:r w:rsidRPr="00B86CB2">
        <w:rPr>
          <w:rFonts w:ascii="Times New Roman" w:hAnsi="Times New Roman"/>
          <w:lang w:val="en-HK"/>
        </w:rPr>
        <w:t xml:space="preserve"> of the MH was disclosed as </w:t>
      </w:r>
      <w:r w:rsidRPr="00B86CB2">
        <w:rPr>
          <w:rFonts w:ascii="Times New Roman" w:hAnsi="Times New Roman"/>
          <w:b/>
          <w:bCs/>
          <w:lang w:val="en-HK"/>
        </w:rPr>
        <w:t>100 inches</w:t>
      </w:r>
      <w:r w:rsidRPr="00B86CB2">
        <w:rPr>
          <w:rFonts w:ascii="Times New Roman" w:hAnsi="Times New Roman"/>
          <w:lang w:val="en-HK"/>
        </w:rPr>
        <w:t xml:space="preserve">, the buyers </w:t>
      </w:r>
      <w:r w:rsidRPr="00B86CB2">
        <w:rPr>
          <w:rFonts w:ascii="Times New Roman" w:hAnsi="Times New Roman"/>
          <w:b/>
          <w:bCs/>
          <w:lang w:val="en-HK"/>
        </w:rPr>
        <w:t>should have inferred</w:t>
      </w:r>
      <w:r w:rsidRPr="00B86CB2">
        <w:rPr>
          <w:rFonts w:ascii="Times New Roman" w:hAnsi="Times New Roman"/>
          <w:lang w:val="en-HK"/>
        </w:rPr>
        <w:t xml:space="preserve"> that the </w:t>
      </w:r>
      <w:r w:rsidRPr="00B86CB2">
        <w:rPr>
          <w:rFonts w:ascii="Times New Roman" w:hAnsi="Times New Roman"/>
          <w:b/>
          <w:bCs/>
          <w:lang w:val="en-HK"/>
        </w:rPr>
        <w:t>external width exceeded legal limits</w:t>
      </w:r>
      <w:r w:rsidRPr="00B86CB2">
        <w:rPr>
          <w:rFonts w:ascii="Times New Roman" w:hAnsi="Times New Roman"/>
          <w:lang w:val="en-HK"/>
        </w:rPr>
        <w:t>.</w:t>
      </w:r>
    </w:p>
    <w:p w14:paraId="7AE9117F" w14:textId="77777777" w:rsidR="00B86CB2" w:rsidRPr="00B86CB2" w:rsidRDefault="00B86CB2" w:rsidP="00B86CB2">
      <w:pPr>
        <w:numPr>
          <w:ilvl w:val="0"/>
          <w:numId w:val="6"/>
        </w:num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B86CB2">
        <w:rPr>
          <w:rFonts w:ascii="Times New Roman" w:hAnsi="Times New Roman"/>
          <w:lang w:val="en-HK"/>
        </w:rPr>
        <w:t xml:space="preserve">The argument aimed to bring the case under </w:t>
      </w:r>
      <w:r w:rsidRPr="00B86CB2">
        <w:rPr>
          <w:rFonts w:ascii="Times New Roman" w:hAnsi="Times New Roman"/>
          <w:b/>
          <w:bCs/>
          <w:lang w:val="en-HK"/>
        </w:rPr>
        <w:t>s.14(2C)(a) SGA 1979</w:t>
      </w:r>
      <w:r w:rsidRPr="00B86CB2">
        <w:rPr>
          <w:rFonts w:ascii="Times New Roman" w:hAnsi="Times New Roman"/>
          <w:lang w:val="en-HK"/>
        </w:rPr>
        <w:t xml:space="preserve">, which applies where a defect was </w:t>
      </w:r>
      <w:r w:rsidRPr="00B86CB2">
        <w:rPr>
          <w:rFonts w:ascii="Times New Roman" w:hAnsi="Times New Roman"/>
          <w:b/>
          <w:bCs/>
          <w:lang w:val="en-HK"/>
        </w:rPr>
        <w:t>specifically drawn to the buyer’s attention before purchase</w:t>
      </w:r>
      <w:r w:rsidRPr="00B86CB2">
        <w:rPr>
          <w:rFonts w:ascii="Times New Roman" w:hAnsi="Times New Roman"/>
          <w:lang w:val="en-HK"/>
        </w:rPr>
        <w:t>.</w:t>
      </w:r>
    </w:p>
    <w:p w14:paraId="5A511EB6" w14:textId="77777777" w:rsidR="00B86CB2" w:rsidRPr="00B86CB2" w:rsidRDefault="00B86CB2" w:rsidP="00B86CB2">
      <w:pPr>
        <w:numPr>
          <w:ilvl w:val="0"/>
          <w:numId w:val="6"/>
        </w:num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B86CB2">
        <w:rPr>
          <w:rFonts w:ascii="Times New Roman" w:hAnsi="Times New Roman"/>
          <w:b/>
          <w:bCs/>
          <w:lang w:val="en-HK"/>
        </w:rPr>
        <w:t xml:space="preserve">The court </w:t>
      </w:r>
      <w:r w:rsidRPr="00B86CB2">
        <w:rPr>
          <w:rFonts w:ascii="Times New Roman" w:hAnsi="Times New Roman"/>
          <w:b/>
          <w:bCs/>
          <w:color w:val="FF0000"/>
          <w:lang w:val="en-HK"/>
        </w:rPr>
        <w:t>rejected this argument</w:t>
      </w:r>
      <w:r w:rsidRPr="00B86CB2">
        <w:rPr>
          <w:rFonts w:ascii="Times New Roman" w:hAnsi="Times New Roman"/>
          <w:lang w:val="en-HK"/>
        </w:rPr>
        <w:t>, correctly recognizing that:</w:t>
      </w:r>
    </w:p>
    <w:p w14:paraId="75140368" w14:textId="77777777" w:rsidR="00B86CB2" w:rsidRPr="00B86CB2" w:rsidRDefault="00B86CB2" w:rsidP="00B86CB2">
      <w:pPr>
        <w:numPr>
          <w:ilvl w:val="1"/>
          <w:numId w:val="6"/>
        </w:numPr>
        <w:spacing w:before="100" w:beforeAutospacing="1" w:after="100" w:afterAutospacing="1" w:line="360" w:lineRule="auto"/>
        <w:rPr>
          <w:rFonts w:ascii="Times New Roman" w:hAnsi="Times New Roman"/>
          <w:color w:val="FF0000"/>
          <w:lang w:val="en-HK"/>
        </w:rPr>
      </w:pPr>
      <w:r w:rsidRPr="00B86CB2">
        <w:rPr>
          <w:rFonts w:ascii="Times New Roman" w:hAnsi="Times New Roman"/>
          <w:b/>
          <w:bCs/>
          <w:lang w:val="en-HK"/>
        </w:rPr>
        <w:t xml:space="preserve">s.14(2C)(a) </w:t>
      </w:r>
      <w:r w:rsidRPr="00B86CB2">
        <w:rPr>
          <w:rFonts w:ascii="Times New Roman" w:hAnsi="Times New Roman"/>
          <w:b/>
          <w:bCs/>
          <w:color w:val="FF0000"/>
          <w:lang w:val="en-HK"/>
        </w:rPr>
        <w:t>requires a precise identification of the defect</w:t>
      </w:r>
      <w:r w:rsidRPr="00B86CB2">
        <w:rPr>
          <w:rFonts w:ascii="Times New Roman" w:hAnsi="Times New Roman"/>
          <w:color w:val="FF0000"/>
          <w:lang w:val="en-HK"/>
        </w:rPr>
        <w:t xml:space="preserve">, rather than </w:t>
      </w:r>
      <w:r w:rsidRPr="00B86CB2">
        <w:rPr>
          <w:rFonts w:ascii="Times New Roman" w:hAnsi="Times New Roman"/>
          <w:b/>
          <w:bCs/>
          <w:color w:val="FF0000"/>
          <w:lang w:val="en-HK"/>
        </w:rPr>
        <w:t>mere disclosure of related information</w:t>
      </w:r>
      <w:r w:rsidRPr="00B86CB2">
        <w:rPr>
          <w:rFonts w:ascii="Times New Roman" w:hAnsi="Times New Roman"/>
          <w:color w:val="FF0000"/>
          <w:lang w:val="en-HK"/>
        </w:rPr>
        <w:t>.</w:t>
      </w:r>
    </w:p>
    <w:p w14:paraId="1BD39E13" w14:textId="77777777" w:rsidR="00B86CB2" w:rsidRPr="00B86CB2" w:rsidRDefault="00B86CB2" w:rsidP="00B86CB2">
      <w:pPr>
        <w:numPr>
          <w:ilvl w:val="1"/>
          <w:numId w:val="6"/>
        </w:num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B86CB2">
        <w:rPr>
          <w:rFonts w:ascii="Times New Roman" w:hAnsi="Times New Roman"/>
          <w:lang w:val="en-HK"/>
        </w:rPr>
        <w:t xml:space="preserve">Buyers </w:t>
      </w:r>
      <w:r w:rsidRPr="00B86CB2">
        <w:rPr>
          <w:rFonts w:ascii="Times New Roman" w:hAnsi="Times New Roman"/>
          <w:b/>
          <w:bCs/>
          <w:color w:val="FF0000"/>
          <w:lang w:val="en-HK"/>
        </w:rPr>
        <w:t>should not be expected to infer defects from general information</w:t>
      </w:r>
      <w:r w:rsidRPr="00B86CB2">
        <w:rPr>
          <w:rFonts w:ascii="Times New Roman" w:hAnsi="Times New Roman"/>
          <w:lang w:val="en-HK"/>
        </w:rPr>
        <w:t>.</w:t>
      </w:r>
    </w:p>
    <w:p w14:paraId="20640AF5" w14:textId="77777777" w:rsidR="00B86CB2" w:rsidRPr="00B86CB2" w:rsidRDefault="00B86CB2" w:rsidP="00B86CB2">
      <w:pPr>
        <w:numPr>
          <w:ilvl w:val="1"/>
          <w:numId w:val="6"/>
        </w:num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B86CB2">
        <w:rPr>
          <w:rFonts w:ascii="Times New Roman" w:hAnsi="Times New Roman"/>
          <w:lang w:val="en-HK"/>
        </w:rPr>
        <w:t xml:space="preserve">Accepting this reasoning would </w:t>
      </w:r>
      <w:r w:rsidRPr="00B86CB2">
        <w:rPr>
          <w:rFonts w:ascii="Times New Roman" w:hAnsi="Times New Roman"/>
          <w:b/>
          <w:bCs/>
          <w:color w:val="FF0000"/>
          <w:lang w:val="en-HK"/>
        </w:rPr>
        <w:t xml:space="preserve">unfairly </w:t>
      </w:r>
      <w:proofErr w:type="spellStart"/>
      <w:r w:rsidRPr="00B86CB2">
        <w:rPr>
          <w:rFonts w:ascii="Times New Roman" w:hAnsi="Times New Roman"/>
          <w:b/>
          <w:bCs/>
          <w:color w:val="FF0000"/>
          <w:lang w:val="en-HK"/>
        </w:rPr>
        <w:t>favor</w:t>
      </w:r>
      <w:proofErr w:type="spellEnd"/>
      <w:r w:rsidRPr="00B86CB2">
        <w:rPr>
          <w:rFonts w:ascii="Times New Roman" w:hAnsi="Times New Roman"/>
          <w:b/>
          <w:bCs/>
          <w:color w:val="FF0000"/>
          <w:lang w:val="en-HK"/>
        </w:rPr>
        <w:t xml:space="preserve"> sellers</w:t>
      </w:r>
      <w:r w:rsidRPr="00B86CB2">
        <w:rPr>
          <w:rFonts w:ascii="Times New Roman" w:hAnsi="Times New Roman"/>
          <w:color w:val="FF0000"/>
          <w:lang w:val="en-HK"/>
        </w:rPr>
        <w:t xml:space="preserve"> </w:t>
      </w:r>
      <w:r w:rsidRPr="00B86CB2">
        <w:rPr>
          <w:rFonts w:ascii="Times New Roman" w:hAnsi="Times New Roman"/>
          <w:lang w:val="en-HK"/>
        </w:rPr>
        <w:t>and undermine consumer protections.</w:t>
      </w:r>
    </w:p>
    <w:p w14:paraId="39051A7E" w14:textId="77777777" w:rsidR="00B86CB2" w:rsidRPr="00B86CB2" w:rsidRDefault="00B86CB2" w:rsidP="00B86CB2">
      <w:p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B86CB2">
        <w:rPr>
          <w:rFonts w:ascii="Times New Roman" w:hAnsi="Times New Roman"/>
          <w:lang w:val="en-HK"/>
        </w:rPr>
        <w:t>Twigg-</w:t>
      </w:r>
      <w:proofErr w:type="spellStart"/>
      <w:r w:rsidRPr="00B86CB2">
        <w:rPr>
          <w:rFonts w:ascii="Times New Roman" w:hAnsi="Times New Roman"/>
          <w:lang w:val="en-HK"/>
        </w:rPr>
        <w:t>Flesner</w:t>
      </w:r>
      <w:proofErr w:type="spellEnd"/>
      <w:r w:rsidRPr="00B86CB2">
        <w:rPr>
          <w:rFonts w:ascii="Times New Roman" w:hAnsi="Times New Roman"/>
          <w:lang w:val="en-HK"/>
        </w:rPr>
        <w:t xml:space="preserve"> </w:t>
      </w:r>
      <w:r w:rsidRPr="00B86CB2">
        <w:rPr>
          <w:rFonts w:ascii="Times New Roman" w:hAnsi="Times New Roman"/>
          <w:b/>
          <w:bCs/>
          <w:lang w:val="en-HK"/>
        </w:rPr>
        <w:t>supports the rejection of this argument</w:t>
      </w:r>
      <w:r w:rsidRPr="00B86CB2">
        <w:rPr>
          <w:rFonts w:ascii="Times New Roman" w:hAnsi="Times New Roman"/>
          <w:lang w:val="en-HK"/>
        </w:rPr>
        <w:t xml:space="preserve"> but warns that the attempt to stretch </w:t>
      </w:r>
      <w:r w:rsidRPr="00B86CB2">
        <w:rPr>
          <w:rFonts w:ascii="Times New Roman" w:hAnsi="Times New Roman"/>
          <w:b/>
          <w:bCs/>
          <w:lang w:val="en-HK"/>
        </w:rPr>
        <w:t>s.14(2C)(a)</w:t>
      </w:r>
      <w:r w:rsidRPr="00B86CB2">
        <w:rPr>
          <w:rFonts w:ascii="Times New Roman" w:hAnsi="Times New Roman"/>
          <w:lang w:val="en-HK"/>
        </w:rPr>
        <w:t xml:space="preserve"> </w:t>
      </w:r>
      <w:r w:rsidRPr="00B86CB2">
        <w:rPr>
          <w:rFonts w:ascii="Times New Roman" w:hAnsi="Times New Roman"/>
          <w:b/>
          <w:bCs/>
          <w:lang w:val="en-HK"/>
        </w:rPr>
        <w:t>demonstrates the risk of eroding consumer rights</w:t>
      </w:r>
      <w:r w:rsidRPr="00B86CB2">
        <w:rPr>
          <w:rFonts w:ascii="Times New Roman" w:hAnsi="Times New Roman"/>
          <w:lang w:val="en-HK"/>
        </w:rPr>
        <w:t xml:space="preserve"> if courts take an expansive approach to these exceptions.</w:t>
      </w:r>
    </w:p>
    <w:p w14:paraId="13D6242D" w14:textId="77777777" w:rsidR="00B86CB2" w:rsidRPr="00B86CB2" w:rsidRDefault="008562D7" w:rsidP="00B86CB2">
      <w:pPr>
        <w:spacing w:line="360" w:lineRule="auto"/>
        <w:rPr>
          <w:rFonts w:ascii="Times New Roman" w:hAnsi="Times New Roman"/>
          <w:lang w:val="en-HK"/>
        </w:rPr>
      </w:pPr>
      <w:r w:rsidRPr="008562D7">
        <w:rPr>
          <w:rFonts w:ascii="Times New Roman" w:hAnsi="Times New Roman"/>
          <w:noProof/>
          <w:lang w:val="en-HK"/>
          <w14:ligatures w14:val="standardContextual"/>
        </w:rPr>
        <w:lastRenderedPageBreak/>
        <w:pict w14:anchorId="6CD11CFB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19368201" w14:textId="77777777" w:rsidR="00B86CB2" w:rsidRPr="00B86CB2" w:rsidRDefault="00B86CB2" w:rsidP="00B86CB2">
      <w:pPr>
        <w:spacing w:before="100" w:beforeAutospacing="1" w:after="100" w:afterAutospacing="1" w:line="360" w:lineRule="auto"/>
        <w:outlineLvl w:val="1"/>
        <w:rPr>
          <w:rFonts w:ascii="Times New Roman" w:hAnsi="Times New Roman"/>
          <w:b/>
          <w:bCs/>
          <w:lang w:val="en-HK"/>
        </w:rPr>
      </w:pPr>
      <w:r w:rsidRPr="00B86CB2">
        <w:rPr>
          <w:rFonts w:ascii="Times New Roman" w:hAnsi="Times New Roman"/>
          <w:b/>
          <w:bCs/>
          <w:lang w:val="en-HK"/>
        </w:rPr>
        <w:t>4. The Dangerous Precedent Set by the Court’s Obiter Dicta</w:t>
      </w:r>
    </w:p>
    <w:p w14:paraId="5B2627EB" w14:textId="77777777" w:rsidR="00B86CB2" w:rsidRPr="00B86CB2" w:rsidRDefault="00B86CB2" w:rsidP="00B86CB2">
      <w:pPr>
        <w:numPr>
          <w:ilvl w:val="0"/>
          <w:numId w:val="7"/>
        </w:num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B86CB2">
        <w:rPr>
          <w:rFonts w:ascii="Times New Roman" w:hAnsi="Times New Roman"/>
          <w:lang w:val="en-HK"/>
        </w:rPr>
        <w:t xml:space="preserve">Although </w:t>
      </w:r>
      <w:r w:rsidRPr="00B86CB2">
        <w:rPr>
          <w:rFonts w:ascii="Times New Roman" w:hAnsi="Times New Roman"/>
          <w:b/>
          <w:bCs/>
          <w:lang w:val="en-HK"/>
        </w:rPr>
        <w:t>s.14(2C) was not determinative</w:t>
      </w:r>
      <w:r w:rsidRPr="00B86CB2">
        <w:rPr>
          <w:rFonts w:ascii="Times New Roman" w:hAnsi="Times New Roman"/>
          <w:lang w:val="en-HK"/>
        </w:rPr>
        <w:t xml:space="preserve"> to the final outcome, the Court of Appeal addressed it </w:t>
      </w:r>
      <w:r w:rsidRPr="00B86CB2">
        <w:rPr>
          <w:rFonts w:ascii="Times New Roman" w:hAnsi="Times New Roman"/>
          <w:b/>
          <w:bCs/>
          <w:lang w:val="en-HK"/>
        </w:rPr>
        <w:t>"in deference to counsel's submissions"</w:t>
      </w:r>
      <w:r w:rsidRPr="00B86CB2">
        <w:rPr>
          <w:rFonts w:ascii="Times New Roman" w:hAnsi="Times New Roman"/>
          <w:lang w:val="en-HK"/>
        </w:rPr>
        <w:t xml:space="preserve"> (at [49]).</w:t>
      </w:r>
    </w:p>
    <w:p w14:paraId="61D64E1E" w14:textId="77777777" w:rsidR="00B86CB2" w:rsidRPr="00B86CB2" w:rsidRDefault="00B86CB2" w:rsidP="00B86CB2">
      <w:pPr>
        <w:numPr>
          <w:ilvl w:val="0"/>
          <w:numId w:val="7"/>
        </w:num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B86CB2">
        <w:rPr>
          <w:rFonts w:ascii="Times New Roman" w:hAnsi="Times New Roman"/>
          <w:lang w:val="en-HK"/>
        </w:rPr>
        <w:t>Twigg-</w:t>
      </w:r>
      <w:proofErr w:type="spellStart"/>
      <w:r w:rsidRPr="00B86CB2">
        <w:rPr>
          <w:rFonts w:ascii="Times New Roman" w:hAnsi="Times New Roman"/>
          <w:lang w:val="en-HK"/>
        </w:rPr>
        <w:t>Flesner</w:t>
      </w:r>
      <w:proofErr w:type="spellEnd"/>
      <w:r w:rsidRPr="00B86CB2">
        <w:rPr>
          <w:rFonts w:ascii="Times New Roman" w:hAnsi="Times New Roman"/>
          <w:lang w:val="en-HK"/>
        </w:rPr>
        <w:t xml:space="preserve"> argues that </w:t>
      </w:r>
      <w:r w:rsidRPr="00B86CB2">
        <w:rPr>
          <w:rFonts w:ascii="Times New Roman" w:hAnsi="Times New Roman"/>
          <w:b/>
          <w:bCs/>
          <w:lang w:val="en-HK"/>
        </w:rPr>
        <w:t>these obiter dicta are troubling</w:t>
      </w:r>
      <w:r w:rsidRPr="00B86CB2">
        <w:rPr>
          <w:rFonts w:ascii="Times New Roman" w:hAnsi="Times New Roman"/>
          <w:lang w:val="en-HK"/>
        </w:rPr>
        <w:t xml:space="preserve"> because they constitute </w:t>
      </w:r>
      <w:r w:rsidRPr="00B86CB2">
        <w:rPr>
          <w:rFonts w:ascii="Times New Roman" w:hAnsi="Times New Roman"/>
          <w:b/>
          <w:bCs/>
          <w:lang w:val="en-HK"/>
        </w:rPr>
        <w:t>the first appellate-level discussion of s.14(2C)</w:t>
      </w:r>
      <w:r w:rsidRPr="00B86CB2">
        <w:rPr>
          <w:rFonts w:ascii="Times New Roman" w:hAnsi="Times New Roman"/>
          <w:lang w:val="en-HK"/>
        </w:rPr>
        <w:t xml:space="preserve"> and </w:t>
      </w:r>
      <w:r w:rsidRPr="00B86CB2">
        <w:rPr>
          <w:rFonts w:ascii="Times New Roman" w:hAnsi="Times New Roman"/>
          <w:b/>
          <w:bCs/>
          <w:lang w:val="en-HK"/>
        </w:rPr>
        <w:t>may influence future cases</w:t>
      </w:r>
      <w:r w:rsidRPr="00B86CB2">
        <w:rPr>
          <w:rFonts w:ascii="Times New Roman" w:hAnsi="Times New Roman"/>
          <w:lang w:val="en-HK"/>
        </w:rPr>
        <w:t>.</w:t>
      </w:r>
    </w:p>
    <w:p w14:paraId="757FB661" w14:textId="77777777" w:rsidR="00B86CB2" w:rsidRPr="00B86CB2" w:rsidRDefault="00B86CB2" w:rsidP="00B86CB2">
      <w:pPr>
        <w:numPr>
          <w:ilvl w:val="0"/>
          <w:numId w:val="7"/>
        </w:num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B86CB2">
        <w:rPr>
          <w:rFonts w:ascii="Times New Roman" w:hAnsi="Times New Roman"/>
          <w:lang w:val="en-HK"/>
        </w:rPr>
        <w:t xml:space="preserve">He warns that this interpretation </w:t>
      </w:r>
      <w:r w:rsidRPr="00B86CB2">
        <w:rPr>
          <w:rFonts w:ascii="Times New Roman" w:hAnsi="Times New Roman"/>
          <w:b/>
          <w:bCs/>
          <w:lang w:val="en-HK"/>
        </w:rPr>
        <w:t>may lead lower courts to impose an obligation on buyers to examine goods thoroughly before purchase</w:t>
      </w:r>
      <w:r w:rsidRPr="00B86CB2">
        <w:rPr>
          <w:rFonts w:ascii="Times New Roman" w:hAnsi="Times New Roman"/>
          <w:lang w:val="en-HK"/>
        </w:rPr>
        <w:t xml:space="preserve">, which is </w:t>
      </w:r>
      <w:r w:rsidRPr="00B86CB2">
        <w:rPr>
          <w:rFonts w:ascii="Times New Roman" w:hAnsi="Times New Roman"/>
          <w:b/>
          <w:bCs/>
          <w:lang w:val="en-HK"/>
        </w:rPr>
        <w:t>contrary to the statutory scheme</w:t>
      </w:r>
      <w:r w:rsidRPr="00B86CB2">
        <w:rPr>
          <w:rFonts w:ascii="Times New Roman" w:hAnsi="Times New Roman"/>
          <w:lang w:val="en-HK"/>
        </w:rPr>
        <w:t>.</w:t>
      </w:r>
    </w:p>
    <w:p w14:paraId="3F848D24" w14:textId="77777777" w:rsidR="00B86CB2" w:rsidRPr="00B86CB2" w:rsidRDefault="00B86CB2" w:rsidP="00B86CB2">
      <w:pPr>
        <w:numPr>
          <w:ilvl w:val="0"/>
          <w:numId w:val="7"/>
        </w:num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B86CB2">
        <w:rPr>
          <w:rFonts w:ascii="Times New Roman" w:hAnsi="Times New Roman"/>
          <w:lang w:val="en-HK"/>
        </w:rPr>
        <w:t xml:space="preserve">The danger, he asserts, is that </w:t>
      </w:r>
      <w:r w:rsidRPr="00B86CB2">
        <w:rPr>
          <w:rFonts w:ascii="Times New Roman" w:hAnsi="Times New Roman"/>
          <w:b/>
          <w:bCs/>
          <w:lang w:val="en-HK"/>
        </w:rPr>
        <w:t>future cases may treat these obiter dicta as authoritative</w:t>
      </w:r>
      <w:r w:rsidRPr="00B86CB2">
        <w:rPr>
          <w:rFonts w:ascii="Times New Roman" w:hAnsi="Times New Roman"/>
          <w:lang w:val="en-HK"/>
        </w:rPr>
        <w:t xml:space="preserve">, </w:t>
      </w:r>
      <w:r w:rsidRPr="00B86CB2">
        <w:rPr>
          <w:rFonts w:ascii="Times New Roman" w:hAnsi="Times New Roman"/>
          <w:b/>
          <w:bCs/>
          <w:lang w:val="en-HK"/>
        </w:rPr>
        <w:t>undermining consumer protection under s.14(2) SGA 1979</w:t>
      </w:r>
      <w:r w:rsidRPr="00B86CB2">
        <w:rPr>
          <w:rFonts w:ascii="Times New Roman" w:hAnsi="Times New Roman"/>
          <w:lang w:val="en-HK"/>
        </w:rPr>
        <w:t>.</w:t>
      </w:r>
    </w:p>
    <w:p w14:paraId="5B27791D" w14:textId="77777777" w:rsidR="00B86CB2" w:rsidRPr="00B86CB2" w:rsidRDefault="008562D7" w:rsidP="00B86CB2">
      <w:pPr>
        <w:spacing w:line="360" w:lineRule="auto"/>
        <w:rPr>
          <w:rFonts w:ascii="Times New Roman" w:hAnsi="Times New Roman"/>
          <w:lang w:val="en-HK"/>
        </w:rPr>
      </w:pPr>
      <w:r w:rsidRPr="008562D7">
        <w:rPr>
          <w:rFonts w:ascii="Times New Roman" w:hAnsi="Times New Roman"/>
          <w:noProof/>
          <w:lang w:val="en-HK"/>
          <w14:ligatures w14:val="standardContextual"/>
        </w:rPr>
        <w:pict w14:anchorId="2D51BAB4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145E41FA" w14:textId="77777777" w:rsidR="00B86CB2" w:rsidRPr="00B86CB2" w:rsidRDefault="00B86CB2" w:rsidP="00B86CB2">
      <w:pPr>
        <w:spacing w:before="100" w:beforeAutospacing="1" w:after="100" w:afterAutospacing="1" w:line="360" w:lineRule="auto"/>
        <w:outlineLvl w:val="1"/>
        <w:rPr>
          <w:rFonts w:ascii="Times New Roman" w:hAnsi="Times New Roman"/>
          <w:b/>
          <w:bCs/>
          <w:lang w:val="en-HK"/>
        </w:rPr>
      </w:pPr>
      <w:r w:rsidRPr="00B86CB2">
        <w:rPr>
          <w:rFonts w:ascii="Times New Roman" w:hAnsi="Times New Roman"/>
          <w:b/>
          <w:bCs/>
          <w:lang w:val="en-HK"/>
        </w:rPr>
        <w:t>5. Conclusion: Reassessing Section 14(2C) in Light of Consumer Protection</w:t>
      </w:r>
    </w:p>
    <w:p w14:paraId="7F15D1A2" w14:textId="77777777" w:rsidR="00B86CB2" w:rsidRPr="00B86CB2" w:rsidRDefault="00B86CB2" w:rsidP="00B86CB2">
      <w:p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B86CB2">
        <w:rPr>
          <w:rFonts w:ascii="Times New Roman" w:hAnsi="Times New Roman"/>
          <w:lang w:val="en-HK"/>
        </w:rPr>
        <w:t>Twigg-</w:t>
      </w:r>
      <w:proofErr w:type="spellStart"/>
      <w:r w:rsidRPr="00B86CB2">
        <w:rPr>
          <w:rFonts w:ascii="Times New Roman" w:hAnsi="Times New Roman"/>
          <w:lang w:val="en-HK"/>
        </w:rPr>
        <w:t>Flesner</w:t>
      </w:r>
      <w:proofErr w:type="spellEnd"/>
      <w:r w:rsidRPr="00B86CB2">
        <w:rPr>
          <w:rFonts w:ascii="Times New Roman" w:hAnsi="Times New Roman"/>
          <w:lang w:val="en-HK"/>
        </w:rPr>
        <w:t xml:space="preserve"> concludes that the </w:t>
      </w:r>
      <w:r w:rsidRPr="00B86CB2">
        <w:rPr>
          <w:rFonts w:ascii="Times New Roman" w:hAnsi="Times New Roman"/>
          <w:b/>
          <w:bCs/>
          <w:lang w:val="en-HK"/>
        </w:rPr>
        <w:t>Court of Appeal's interpretation of s.14(2C) is legally flawed</w:t>
      </w:r>
      <w:r w:rsidRPr="00B86CB2">
        <w:rPr>
          <w:rFonts w:ascii="Times New Roman" w:hAnsi="Times New Roman"/>
          <w:lang w:val="en-HK"/>
        </w:rPr>
        <w:t xml:space="preserve"> and </w:t>
      </w:r>
      <w:r w:rsidRPr="00B86CB2">
        <w:rPr>
          <w:rFonts w:ascii="Times New Roman" w:hAnsi="Times New Roman"/>
          <w:b/>
          <w:bCs/>
          <w:lang w:val="en-HK"/>
        </w:rPr>
        <w:t>undermines the purpose of consumer protection laws</w:t>
      </w:r>
      <w:r w:rsidRPr="00B86CB2">
        <w:rPr>
          <w:rFonts w:ascii="Times New Roman" w:hAnsi="Times New Roman"/>
          <w:lang w:val="en-HK"/>
        </w:rPr>
        <w:t>. He calls for:</w:t>
      </w:r>
    </w:p>
    <w:p w14:paraId="03182E70" w14:textId="77777777" w:rsidR="00B86CB2" w:rsidRPr="00B86CB2" w:rsidRDefault="00B86CB2" w:rsidP="00B86CB2">
      <w:pPr>
        <w:numPr>
          <w:ilvl w:val="0"/>
          <w:numId w:val="8"/>
        </w:num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B86CB2">
        <w:rPr>
          <w:rFonts w:ascii="Times New Roman" w:hAnsi="Times New Roman"/>
          <w:b/>
          <w:bCs/>
          <w:lang w:val="en-HK"/>
        </w:rPr>
        <w:t>A stricter approach to goods that cannot lawfully be used for their intended purpose</w:t>
      </w:r>
      <w:r w:rsidRPr="00B86CB2">
        <w:rPr>
          <w:rFonts w:ascii="Times New Roman" w:hAnsi="Times New Roman"/>
          <w:lang w:val="en-HK"/>
        </w:rPr>
        <w:t xml:space="preserve">—such goods should be automatically deemed </w:t>
      </w:r>
      <w:r w:rsidRPr="00B86CB2">
        <w:rPr>
          <w:rFonts w:ascii="Times New Roman" w:hAnsi="Times New Roman"/>
          <w:b/>
          <w:bCs/>
          <w:lang w:val="en-HK"/>
        </w:rPr>
        <w:t>unsatisfactory under s.14(2) SGA 1979</w:t>
      </w:r>
      <w:r w:rsidRPr="00B86CB2">
        <w:rPr>
          <w:rFonts w:ascii="Times New Roman" w:hAnsi="Times New Roman"/>
          <w:lang w:val="en-HK"/>
        </w:rPr>
        <w:t>, regardless of enforcement likelihood.</w:t>
      </w:r>
    </w:p>
    <w:p w14:paraId="51BA3875" w14:textId="77777777" w:rsidR="00B86CB2" w:rsidRPr="00B86CB2" w:rsidRDefault="00B86CB2" w:rsidP="00B86CB2">
      <w:pPr>
        <w:numPr>
          <w:ilvl w:val="0"/>
          <w:numId w:val="8"/>
        </w:num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B86CB2">
        <w:rPr>
          <w:rFonts w:ascii="Times New Roman" w:hAnsi="Times New Roman"/>
          <w:b/>
          <w:bCs/>
          <w:lang w:val="en-HK"/>
        </w:rPr>
        <w:t>A correction of the misinterpretation of s.14(2C)(b)</w:t>
      </w:r>
      <w:r w:rsidRPr="00B86CB2">
        <w:rPr>
          <w:rFonts w:ascii="Times New Roman" w:hAnsi="Times New Roman"/>
          <w:lang w:val="en-HK"/>
        </w:rPr>
        <w:t xml:space="preserve">—courts should require </w:t>
      </w:r>
      <w:r w:rsidRPr="00B86CB2">
        <w:rPr>
          <w:rFonts w:ascii="Times New Roman" w:hAnsi="Times New Roman"/>
          <w:b/>
          <w:bCs/>
          <w:lang w:val="en-HK"/>
        </w:rPr>
        <w:t>actual</w:t>
      </w:r>
      <w:r w:rsidRPr="00B86CB2">
        <w:rPr>
          <w:rFonts w:ascii="Times New Roman" w:hAnsi="Times New Roman"/>
          <w:lang w:val="en-HK"/>
        </w:rPr>
        <w:t xml:space="preserve"> examinations before restricting liability, not merely an opportunity for one.</w:t>
      </w:r>
    </w:p>
    <w:p w14:paraId="7014BC11" w14:textId="77777777" w:rsidR="00B86CB2" w:rsidRPr="00B86CB2" w:rsidRDefault="00B86CB2" w:rsidP="00B86CB2">
      <w:pPr>
        <w:numPr>
          <w:ilvl w:val="0"/>
          <w:numId w:val="8"/>
        </w:num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B86CB2">
        <w:rPr>
          <w:rFonts w:ascii="Times New Roman" w:hAnsi="Times New Roman"/>
          <w:b/>
          <w:bCs/>
          <w:lang w:val="en-HK"/>
        </w:rPr>
        <w:t>A limitation on the application of s.14(2C)(a)</w:t>
      </w:r>
      <w:r w:rsidRPr="00B86CB2">
        <w:rPr>
          <w:rFonts w:ascii="Times New Roman" w:hAnsi="Times New Roman"/>
          <w:lang w:val="en-HK"/>
        </w:rPr>
        <w:t xml:space="preserve">—defects must be </w:t>
      </w:r>
      <w:r w:rsidRPr="00B86CB2">
        <w:rPr>
          <w:rFonts w:ascii="Times New Roman" w:hAnsi="Times New Roman"/>
          <w:b/>
          <w:bCs/>
          <w:lang w:val="en-HK"/>
        </w:rPr>
        <w:t>expressly disclosed</w:t>
      </w:r>
      <w:r w:rsidRPr="00B86CB2">
        <w:rPr>
          <w:rFonts w:ascii="Times New Roman" w:hAnsi="Times New Roman"/>
          <w:lang w:val="en-HK"/>
        </w:rPr>
        <w:t xml:space="preserve">, and buyers </w:t>
      </w:r>
      <w:r w:rsidRPr="00B86CB2">
        <w:rPr>
          <w:rFonts w:ascii="Times New Roman" w:hAnsi="Times New Roman"/>
          <w:b/>
          <w:bCs/>
          <w:lang w:val="en-HK"/>
        </w:rPr>
        <w:t>should not be expected to infer issues</w:t>
      </w:r>
      <w:r w:rsidRPr="00B86CB2">
        <w:rPr>
          <w:rFonts w:ascii="Times New Roman" w:hAnsi="Times New Roman"/>
          <w:lang w:val="en-HK"/>
        </w:rPr>
        <w:t xml:space="preserve"> from general information.</w:t>
      </w:r>
    </w:p>
    <w:p w14:paraId="667FC7AB" w14:textId="77777777" w:rsidR="00B86CB2" w:rsidRPr="00B86CB2" w:rsidRDefault="00B86CB2" w:rsidP="00B86CB2">
      <w:p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B86CB2">
        <w:rPr>
          <w:rFonts w:ascii="Times New Roman" w:hAnsi="Times New Roman"/>
          <w:lang w:val="en-HK"/>
        </w:rPr>
        <w:t xml:space="preserve">This case comment highlights the </w:t>
      </w:r>
      <w:r w:rsidRPr="00B86CB2">
        <w:rPr>
          <w:rFonts w:ascii="Times New Roman" w:hAnsi="Times New Roman"/>
          <w:b/>
          <w:bCs/>
          <w:lang w:val="en-HK"/>
        </w:rPr>
        <w:t>potentially harmful consequences of the Court of Appeal’s reasoning</w:t>
      </w:r>
      <w:r w:rsidRPr="00B86CB2">
        <w:rPr>
          <w:rFonts w:ascii="Times New Roman" w:hAnsi="Times New Roman"/>
          <w:lang w:val="en-HK"/>
        </w:rPr>
        <w:t xml:space="preserve">, emphasizing the need for careful statutory interpretation that </w:t>
      </w:r>
      <w:r w:rsidRPr="00B86CB2">
        <w:rPr>
          <w:rFonts w:ascii="Times New Roman" w:hAnsi="Times New Roman"/>
          <w:b/>
          <w:bCs/>
          <w:lang w:val="en-HK"/>
        </w:rPr>
        <w:t>maintains a fair balance between seller liability and consumer protection</w:t>
      </w:r>
      <w:r w:rsidRPr="00B86CB2">
        <w:rPr>
          <w:rFonts w:ascii="Times New Roman" w:hAnsi="Times New Roman"/>
          <w:lang w:val="en-HK"/>
        </w:rPr>
        <w:t>.</w:t>
      </w:r>
    </w:p>
    <w:p w14:paraId="7072D877" w14:textId="77777777" w:rsidR="00CD39F1" w:rsidRPr="00B86CB2" w:rsidRDefault="00CD39F1" w:rsidP="00B86CB2">
      <w:pPr>
        <w:spacing w:line="360" w:lineRule="auto"/>
      </w:pPr>
    </w:p>
    <w:sectPr w:rsidR="00CD39F1" w:rsidRPr="00B86CB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B206D84"/>
    <w:multiLevelType w:val="multilevel"/>
    <w:tmpl w:val="811EDB54"/>
    <w:lvl w:ilvl="0">
      <w:start w:val="1"/>
      <w:numFmt w:val="decimal"/>
      <w:lvlText w:val="%1."/>
      <w:lvlJc w:val="left"/>
      <w:pPr>
        <w:tabs>
          <w:tab w:val="num" w:pos="0"/>
        </w:tabs>
        <w:ind w:left="0" w:hanging="360"/>
      </w:pPr>
    </w:lvl>
    <w:lvl w:ilvl="1" w:tentative="1">
      <w:start w:val="1"/>
      <w:numFmt w:val="decimal"/>
      <w:lvlText w:val="%2."/>
      <w:lvlJc w:val="left"/>
      <w:pPr>
        <w:tabs>
          <w:tab w:val="num" w:pos="720"/>
        </w:tabs>
        <w:ind w:left="720" w:hanging="360"/>
      </w:pPr>
    </w:lvl>
    <w:lvl w:ilvl="2" w:tentative="1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 w:tentative="1">
      <w:start w:val="1"/>
      <w:numFmt w:val="decimal"/>
      <w:lvlText w:val="%4."/>
      <w:lvlJc w:val="left"/>
      <w:pPr>
        <w:tabs>
          <w:tab w:val="num" w:pos="2160"/>
        </w:tabs>
        <w:ind w:left="2160" w:hanging="360"/>
      </w:pPr>
    </w:lvl>
    <w:lvl w:ilvl="4" w:tentative="1">
      <w:start w:val="1"/>
      <w:numFmt w:val="decimal"/>
      <w:lvlText w:val="%5."/>
      <w:lvlJc w:val="left"/>
      <w:pPr>
        <w:tabs>
          <w:tab w:val="num" w:pos="2880"/>
        </w:tabs>
        <w:ind w:left="2880" w:hanging="360"/>
      </w:pPr>
    </w:lvl>
    <w:lvl w:ilvl="5" w:tentative="1">
      <w:start w:val="1"/>
      <w:numFmt w:val="decimal"/>
      <w:lvlText w:val="%6."/>
      <w:lvlJc w:val="left"/>
      <w:pPr>
        <w:tabs>
          <w:tab w:val="num" w:pos="3600"/>
        </w:tabs>
        <w:ind w:left="3600" w:hanging="360"/>
      </w:pPr>
    </w:lvl>
    <w:lvl w:ilvl="6" w:tentative="1">
      <w:start w:val="1"/>
      <w:numFmt w:val="decimal"/>
      <w:lvlText w:val="%7."/>
      <w:lvlJc w:val="left"/>
      <w:pPr>
        <w:tabs>
          <w:tab w:val="num" w:pos="4320"/>
        </w:tabs>
        <w:ind w:left="4320" w:hanging="360"/>
      </w:pPr>
    </w:lvl>
    <w:lvl w:ilvl="7" w:tentative="1">
      <w:start w:val="1"/>
      <w:numFmt w:val="decimal"/>
      <w:lvlText w:val="%8."/>
      <w:lvlJc w:val="left"/>
      <w:pPr>
        <w:tabs>
          <w:tab w:val="num" w:pos="5040"/>
        </w:tabs>
        <w:ind w:left="5040" w:hanging="360"/>
      </w:pPr>
    </w:lvl>
    <w:lvl w:ilvl="8" w:tentative="1">
      <w:start w:val="1"/>
      <w:numFmt w:val="decimal"/>
      <w:lvlText w:val="%9."/>
      <w:lvlJc w:val="left"/>
      <w:pPr>
        <w:tabs>
          <w:tab w:val="num" w:pos="5760"/>
        </w:tabs>
        <w:ind w:left="5760" w:hanging="360"/>
      </w:pPr>
    </w:lvl>
  </w:abstractNum>
  <w:abstractNum w:abstractNumId="1" w15:restartNumberingAfterBreak="0">
    <w:nsid w:val="1CBC19BF"/>
    <w:multiLevelType w:val="multilevel"/>
    <w:tmpl w:val="D69CB0D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F21E38"/>
    <w:multiLevelType w:val="multilevel"/>
    <w:tmpl w:val="1F3CB3E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8985765"/>
    <w:multiLevelType w:val="multilevel"/>
    <w:tmpl w:val="11008DF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color w:val="auto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2D91FF2"/>
    <w:multiLevelType w:val="multilevel"/>
    <w:tmpl w:val="CFDCAA4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color w:val="auto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5752FA1"/>
    <w:multiLevelType w:val="multilevel"/>
    <w:tmpl w:val="C2745CC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6" w15:restartNumberingAfterBreak="0">
    <w:nsid w:val="5E827D7F"/>
    <w:multiLevelType w:val="multilevel"/>
    <w:tmpl w:val="872C4E4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EFD5022"/>
    <w:multiLevelType w:val="multilevel"/>
    <w:tmpl w:val="C6924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05558982">
    <w:abstractNumId w:val="6"/>
  </w:num>
  <w:num w:numId="2" w16cid:durableId="2037848906">
    <w:abstractNumId w:val="5"/>
  </w:num>
  <w:num w:numId="3" w16cid:durableId="977613778">
    <w:abstractNumId w:val="1"/>
  </w:num>
  <w:num w:numId="4" w16cid:durableId="40057170">
    <w:abstractNumId w:val="2"/>
  </w:num>
  <w:num w:numId="5" w16cid:durableId="222302374">
    <w:abstractNumId w:val="3"/>
  </w:num>
  <w:num w:numId="6" w16cid:durableId="2073194812">
    <w:abstractNumId w:val="4"/>
  </w:num>
  <w:num w:numId="7" w16cid:durableId="1372195646">
    <w:abstractNumId w:val="7"/>
  </w:num>
  <w:num w:numId="8" w16cid:durableId="13287078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3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1DA3"/>
    <w:rsid w:val="000046A5"/>
    <w:rsid w:val="00012117"/>
    <w:rsid w:val="000147A9"/>
    <w:rsid w:val="00042755"/>
    <w:rsid w:val="0006107D"/>
    <w:rsid w:val="000623A3"/>
    <w:rsid w:val="00066D1D"/>
    <w:rsid w:val="000719DA"/>
    <w:rsid w:val="00094D65"/>
    <w:rsid w:val="000A2074"/>
    <w:rsid w:val="000A3F4D"/>
    <w:rsid w:val="000A64DA"/>
    <w:rsid w:val="000C4ABC"/>
    <w:rsid w:val="000C58D7"/>
    <w:rsid w:val="000E15ED"/>
    <w:rsid w:val="000F3F73"/>
    <w:rsid w:val="00101CCF"/>
    <w:rsid w:val="00121A80"/>
    <w:rsid w:val="001372F7"/>
    <w:rsid w:val="00175AB8"/>
    <w:rsid w:val="0019260C"/>
    <w:rsid w:val="001A41D2"/>
    <w:rsid w:val="001B0E31"/>
    <w:rsid w:val="001D360C"/>
    <w:rsid w:val="001E2584"/>
    <w:rsid w:val="002033A2"/>
    <w:rsid w:val="00204B6E"/>
    <w:rsid w:val="00223837"/>
    <w:rsid w:val="00243CED"/>
    <w:rsid w:val="00247BCC"/>
    <w:rsid w:val="00257540"/>
    <w:rsid w:val="0026510F"/>
    <w:rsid w:val="0028028D"/>
    <w:rsid w:val="00291F37"/>
    <w:rsid w:val="0029568E"/>
    <w:rsid w:val="00297C6E"/>
    <w:rsid w:val="002B3377"/>
    <w:rsid w:val="002C38C0"/>
    <w:rsid w:val="002C6D8B"/>
    <w:rsid w:val="002D2BF1"/>
    <w:rsid w:val="002D715D"/>
    <w:rsid w:val="002E3864"/>
    <w:rsid w:val="002E46F2"/>
    <w:rsid w:val="002F1DB1"/>
    <w:rsid w:val="002F20B2"/>
    <w:rsid w:val="002F53C9"/>
    <w:rsid w:val="003048A0"/>
    <w:rsid w:val="0031138E"/>
    <w:rsid w:val="0031474F"/>
    <w:rsid w:val="00315815"/>
    <w:rsid w:val="003278F5"/>
    <w:rsid w:val="00330665"/>
    <w:rsid w:val="00342A18"/>
    <w:rsid w:val="00357561"/>
    <w:rsid w:val="0036177C"/>
    <w:rsid w:val="00361975"/>
    <w:rsid w:val="00376E23"/>
    <w:rsid w:val="0039416B"/>
    <w:rsid w:val="003A1271"/>
    <w:rsid w:val="003A5DF7"/>
    <w:rsid w:val="003B3510"/>
    <w:rsid w:val="003C116C"/>
    <w:rsid w:val="003D0CDD"/>
    <w:rsid w:val="003D710F"/>
    <w:rsid w:val="003E1CAA"/>
    <w:rsid w:val="0040210F"/>
    <w:rsid w:val="00412F9B"/>
    <w:rsid w:val="004222FD"/>
    <w:rsid w:val="004319FA"/>
    <w:rsid w:val="00442F56"/>
    <w:rsid w:val="0044616D"/>
    <w:rsid w:val="00474DD1"/>
    <w:rsid w:val="004751B5"/>
    <w:rsid w:val="0048097D"/>
    <w:rsid w:val="004816F7"/>
    <w:rsid w:val="0048175B"/>
    <w:rsid w:val="004829F2"/>
    <w:rsid w:val="004845CE"/>
    <w:rsid w:val="004A553E"/>
    <w:rsid w:val="004B0B8B"/>
    <w:rsid w:val="004B1048"/>
    <w:rsid w:val="004D01FE"/>
    <w:rsid w:val="004D582C"/>
    <w:rsid w:val="004D5B1A"/>
    <w:rsid w:val="004E1930"/>
    <w:rsid w:val="004E458E"/>
    <w:rsid w:val="004F0E12"/>
    <w:rsid w:val="004F43CC"/>
    <w:rsid w:val="004F5A36"/>
    <w:rsid w:val="00505437"/>
    <w:rsid w:val="005120A1"/>
    <w:rsid w:val="00542B57"/>
    <w:rsid w:val="005525C9"/>
    <w:rsid w:val="00557B52"/>
    <w:rsid w:val="005743EA"/>
    <w:rsid w:val="005770A9"/>
    <w:rsid w:val="0058416B"/>
    <w:rsid w:val="00591130"/>
    <w:rsid w:val="00595357"/>
    <w:rsid w:val="005A1930"/>
    <w:rsid w:val="005A6EEA"/>
    <w:rsid w:val="005B34ED"/>
    <w:rsid w:val="005B61CD"/>
    <w:rsid w:val="005B74C5"/>
    <w:rsid w:val="005C4FF3"/>
    <w:rsid w:val="005C50B3"/>
    <w:rsid w:val="005C6B83"/>
    <w:rsid w:val="005C7AAA"/>
    <w:rsid w:val="005D57DA"/>
    <w:rsid w:val="005E7702"/>
    <w:rsid w:val="005F33FC"/>
    <w:rsid w:val="00605F8E"/>
    <w:rsid w:val="00613954"/>
    <w:rsid w:val="006159E0"/>
    <w:rsid w:val="00622488"/>
    <w:rsid w:val="006350B8"/>
    <w:rsid w:val="00650543"/>
    <w:rsid w:val="00654D8B"/>
    <w:rsid w:val="00661136"/>
    <w:rsid w:val="00672197"/>
    <w:rsid w:val="0068027B"/>
    <w:rsid w:val="006B7BA3"/>
    <w:rsid w:val="006C42B8"/>
    <w:rsid w:val="006C50C7"/>
    <w:rsid w:val="006D1612"/>
    <w:rsid w:val="00713CA9"/>
    <w:rsid w:val="007455C6"/>
    <w:rsid w:val="007475C7"/>
    <w:rsid w:val="0075265A"/>
    <w:rsid w:val="0075498E"/>
    <w:rsid w:val="00757BE5"/>
    <w:rsid w:val="00760E46"/>
    <w:rsid w:val="007643D2"/>
    <w:rsid w:val="00766D82"/>
    <w:rsid w:val="007678B2"/>
    <w:rsid w:val="00782575"/>
    <w:rsid w:val="0078776B"/>
    <w:rsid w:val="00796A93"/>
    <w:rsid w:val="007975B6"/>
    <w:rsid w:val="007B48C2"/>
    <w:rsid w:val="007C231D"/>
    <w:rsid w:val="007D68F0"/>
    <w:rsid w:val="007E1559"/>
    <w:rsid w:val="007E4AE6"/>
    <w:rsid w:val="007F776E"/>
    <w:rsid w:val="00816563"/>
    <w:rsid w:val="00830C88"/>
    <w:rsid w:val="00845AB5"/>
    <w:rsid w:val="008562D7"/>
    <w:rsid w:val="00861B11"/>
    <w:rsid w:val="008829C2"/>
    <w:rsid w:val="008A54BE"/>
    <w:rsid w:val="008B1DA3"/>
    <w:rsid w:val="008C7B0A"/>
    <w:rsid w:val="008D0642"/>
    <w:rsid w:val="008E43C2"/>
    <w:rsid w:val="008E745B"/>
    <w:rsid w:val="008F4EA7"/>
    <w:rsid w:val="008F5A10"/>
    <w:rsid w:val="00905ED0"/>
    <w:rsid w:val="0093405B"/>
    <w:rsid w:val="0094782D"/>
    <w:rsid w:val="00966189"/>
    <w:rsid w:val="00973661"/>
    <w:rsid w:val="00974434"/>
    <w:rsid w:val="00975B2D"/>
    <w:rsid w:val="00977514"/>
    <w:rsid w:val="009A48B0"/>
    <w:rsid w:val="009B24D6"/>
    <w:rsid w:val="009B2F21"/>
    <w:rsid w:val="009B3EF4"/>
    <w:rsid w:val="009C6498"/>
    <w:rsid w:val="009E62AF"/>
    <w:rsid w:val="009F726A"/>
    <w:rsid w:val="00A03BBD"/>
    <w:rsid w:val="00A21254"/>
    <w:rsid w:val="00A220B7"/>
    <w:rsid w:val="00A2728B"/>
    <w:rsid w:val="00A37AB0"/>
    <w:rsid w:val="00A4085F"/>
    <w:rsid w:val="00A45953"/>
    <w:rsid w:val="00A93FBA"/>
    <w:rsid w:val="00A95C7E"/>
    <w:rsid w:val="00AB609D"/>
    <w:rsid w:val="00AC3AB8"/>
    <w:rsid w:val="00AE4348"/>
    <w:rsid w:val="00AE4BAF"/>
    <w:rsid w:val="00B03D5A"/>
    <w:rsid w:val="00B200EB"/>
    <w:rsid w:val="00B23297"/>
    <w:rsid w:val="00B360EE"/>
    <w:rsid w:val="00B53B6F"/>
    <w:rsid w:val="00B651D9"/>
    <w:rsid w:val="00B67231"/>
    <w:rsid w:val="00B73742"/>
    <w:rsid w:val="00B8622A"/>
    <w:rsid w:val="00B86CB2"/>
    <w:rsid w:val="00B914E6"/>
    <w:rsid w:val="00B95747"/>
    <w:rsid w:val="00BC4186"/>
    <w:rsid w:val="00BC5F25"/>
    <w:rsid w:val="00BD1450"/>
    <w:rsid w:val="00BD7714"/>
    <w:rsid w:val="00BD7C9B"/>
    <w:rsid w:val="00BE07C8"/>
    <w:rsid w:val="00C072F8"/>
    <w:rsid w:val="00C163D7"/>
    <w:rsid w:val="00C17D79"/>
    <w:rsid w:val="00C24A8A"/>
    <w:rsid w:val="00C27321"/>
    <w:rsid w:val="00C44474"/>
    <w:rsid w:val="00C44EB3"/>
    <w:rsid w:val="00C54722"/>
    <w:rsid w:val="00C616D7"/>
    <w:rsid w:val="00C65F70"/>
    <w:rsid w:val="00C76196"/>
    <w:rsid w:val="00C941C4"/>
    <w:rsid w:val="00C96A36"/>
    <w:rsid w:val="00CA350B"/>
    <w:rsid w:val="00CA3F60"/>
    <w:rsid w:val="00CC2EFF"/>
    <w:rsid w:val="00CC4FEF"/>
    <w:rsid w:val="00CD39F1"/>
    <w:rsid w:val="00CE1439"/>
    <w:rsid w:val="00CE7B86"/>
    <w:rsid w:val="00CF74EF"/>
    <w:rsid w:val="00D01E71"/>
    <w:rsid w:val="00D02AC8"/>
    <w:rsid w:val="00D0623C"/>
    <w:rsid w:val="00D07271"/>
    <w:rsid w:val="00D16917"/>
    <w:rsid w:val="00D64DCE"/>
    <w:rsid w:val="00D65735"/>
    <w:rsid w:val="00D73E2C"/>
    <w:rsid w:val="00D76D14"/>
    <w:rsid w:val="00DA31CB"/>
    <w:rsid w:val="00DA3D31"/>
    <w:rsid w:val="00DA4488"/>
    <w:rsid w:val="00DB2E35"/>
    <w:rsid w:val="00DC0040"/>
    <w:rsid w:val="00DC0B7B"/>
    <w:rsid w:val="00DC228E"/>
    <w:rsid w:val="00DC495B"/>
    <w:rsid w:val="00DC7181"/>
    <w:rsid w:val="00DD6F5C"/>
    <w:rsid w:val="00DE6C87"/>
    <w:rsid w:val="00E06E11"/>
    <w:rsid w:val="00E14A1A"/>
    <w:rsid w:val="00E14E1F"/>
    <w:rsid w:val="00E2730E"/>
    <w:rsid w:val="00E4366A"/>
    <w:rsid w:val="00E438AC"/>
    <w:rsid w:val="00E51987"/>
    <w:rsid w:val="00E5689E"/>
    <w:rsid w:val="00E60DF5"/>
    <w:rsid w:val="00E64DD3"/>
    <w:rsid w:val="00E80D33"/>
    <w:rsid w:val="00E9484C"/>
    <w:rsid w:val="00E95D8D"/>
    <w:rsid w:val="00EA6ED5"/>
    <w:rsid w:val="00EB7051"/>
    <w:rsid w:val="00EC67FC"/>
    <w:rsid w:val="00EC68EB"/>
    <w:rsid w:val="00EC7C43"/>
    <w:rsid w:val="00EE0191"/>
    <w:rsid w:val="00EE4F6A"/>
    <w:rsid w:val="00EF3EF4"/>
    <w:rsid w:val="00F012E4"/>
    <w:rsid w:val="00F0631B"/>
    <w:rsid w:val="00F248D2"/>
    <w:rsid w:val="00F27F00"/>
    <w:rsid w:val="00F33570"/>
    <w:rsid w:val="00F655F4"/>
    <w:rsid w:val="00F71153"/>
    <w:rsid w:val="00F858D4"/>
    <w:rsid w:val="00FA0450"/>
    <w:rsid w:val="00FA4E8A"/>
    <w:rsid w:val="00FB2653"/>
    <w:rsid w:val="00FB5C49"/>
    <w:rsid w:val="00FC7B56"/>
    <w:rsid w:val="00FE52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HK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07DD90"/>
  <w15:chartTrackingRefBased/>
  <w15:docId w15:val="{98675A75-11CE-924E-B6C9-D9186961ED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HK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60DF5"/>
    <w:rPr>
      <w:rFonts w:ascii="Arial" w:eastAsia="Times New Roman" w:hAnsi="Arial" w:cs="Times New Roman"/>
      <w:kern w:val="0"/>
      <w:lang w:val="en-GB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8B1D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B1D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B1DA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1DA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1DA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1DA3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1DA3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1DA3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1DA3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1DA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:lang w:val="en-GB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8B1DA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:lang w:val="en-GB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8B1DA3"/>
    <w:rPr>
      <w:rFonts w:eastAsiaTheme="majorEastAsia" w:cstheme="majorBidi"/>
      <w:color w:val="2F5496" w:themeColor="accent1" w:themeShade="BF"/>
      <w:kern w:val="0"/>
      <w:sz w:val="28"/>
      <w:szCs w:val="28"/>
      <w:lang w:val="en-GB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1DA3"/>
    <w:rPr>
      <w:rFonts w:eastAsiaTheme="majorEastAsia" w:cstheme="majorBidi"/>
      <w:i/>
      <w:iCs/>
      <w:color w:val="2F5496" w:themeColor="accent1" w:themeShade="BF"/>
      <w:kern w:val="0"/>
      <w:lang w:val="en-GB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1DA3"/>
    <w:rPr>
      <w:rFonts w:eastAsiaTheme="majorEastAsia" w:cstheme="majorBidi"/>
      <w:color w:val="2F5496" w:themeColor="accent1" w:themeShade="BF"/>
      <w:kern w:val="0"/>
      <w:lang w:val="en-GB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1DA3"/>
    <w:rPr>
      <w:rFonts w:eastAsiaTheme="majorEastAsia" w:cstheme="majorBidi"/>
      <w:i/>
      <w:iCs/>
      <w:color w:val="595959" w:themeColor="text1" w:themeTint="A6"/>
      <w:kern w:val="0"/>
      <w:lang w:val="en-GB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1DA3"/>
    <w:rPr>
      <w:rFonts w:eastAsiaTheme="majorEastAsia" w:cstheme="majorBidi"/>
      <w:color w:val="595959" w:themeColor="text1" w:themeTint="A6"/>
      <w:kern w:val="0"/>
      <w:lang w:val="en-GB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1DA3"/>
    <w:rPr>
      <w:rFonts w:eastAsiaTheme="majorEastAsia" w:cstheme="majorBidi"/>
      <w:i/>
      <w:iCs/>
      <w:color w:val="272727" w:themeColor="text1" w:themeTint="D8"/>
      <w:kern w:val="0"/>
      <w:lang w:val="en-GB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1DA3"/>
    <w:rPr>
      <w:rFonts w:eastAsiaTheme="majorEastAsia" w:cstheme="majorBidi"/>
      <w:color w:val="272727" w:themeColor="text1" w:themeTint="D8"/>
      <w:kern w:val="0"/>
      <w:lang w:val="en-GB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8B1DA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1DA3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1DA3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1DA3"/>
    <w:rPr>
      <w:rFonts w:eastAsiaTheme="majorEastAsia" w:cstheme="majorBidi"/>
      <w:color w:val="595959" w:themeColor="text1" w:themeTint="A6"/>
      <w:spacing w:val="15"/>
      <w:kern w:val="0"/>
      <w:sz w:val="28"/>
      <w:szCs w:val="28"/>
      <w:lang w:val="en-GB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8B1DA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1DA3"/>
    <w:rPr>
      <w:rFonts w:ascii="Arial" w:eastAsia="Times New Roman" w:hAnsi="Arial" w:cs="Times New Roman"/>
      <w:i/>
      <w:iCs/>
      <w:color w:val="404040" w:themeColor="text1" w:themeTint="BF"/>
      <w:kern w:val="0"/>
      <w:lang w:val="en-GB"/>
      <w14:ligatures w14:val="none"/>
    </w:rPr>
  </w:style>
  <w:style w:type="paragraph" w:styleId="ListParagraph">
    <w:name w:val="List Paragraph"/>
    <w:basedOn w:val="Normal"/>
    <w:uiPriority w:val="34"/>
    <w:qFormat/>
    <w:rsid w:val="008B1D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1DA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1DA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1DA3"/>
    <w:rPr>
      <w:rFonts w:ascii="Arial" w:eastAsia="Times New Roman" w:hAnsi="Arial" w:cs="Times New Roman"/>
      <w:i/>
      <w:iCs/>
      <w:color w:val="2F5496" w:themeColor="accent1" w:themeShade="BF"/>
      <w:kern w:val="0"/>
      <w:lang w:val="en-GB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8B1DA3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B86CB2"/>
    <w:pPr>
      <w:spacing w:before="100" w:beforeAutospacing="1" w:after="100" w:afterAutospacing="1"/>
    </w:pPr>
    <w:rPr>
      <w:rFonts w:ascii="Times New Roman" w:hAnsi="Times New Roman"/>
      <w:lang w:val="en-HK"/>
    </w:rPr>
  </w:style>
  <w:style w:type="character" w:styleId="Strong">
    <w:name w:val="Strong"/>
    <w:basedOn w:val="DefaultParagraphFont"/>
    <w:uiPriority w:val="22"/>
    <w:qFormat/>
    <w:rsid w:val="00B86CB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157040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1000</Words>
  <Characters>5705</Characters>
  <Application>Microsoft Office Word</Application>
  <DocSecurity>0</DocSecurity>
  <Lines>47</Lines>
  <Paragraphs>13</Paragraphs>
  <ScaleCrop>false</ScaleCrop>
  <Company/>
  <LinksUpToDate>false</LinksUpToDate>
  <CharactersWithSpaces>6692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TSANG, AGNES H.L. (Student)</dc:creator>
  <cp:keywords/>
  <dc:description/>
  <cp:lastModifiedBy>TSANG, AGNES H.L. (Student)</cp:lastModifiedBy>
  <cp:revision>2</cp:revision>
  <dcterms:created xsi:type="dcterms:W3CDTF">2025-02-18T19:35:00Z</dcterms:created>
  <dcterms:modified xsi:type="dcterms:W3CDTF">2025-02-19T09:12:00Z</dcterms:modified>
</cp:coreProperties>
</file>