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DCC92F" w14:textId="0E4F43B5" w:rsidR="00914FB5" w:rsidRPr="00914FB5" w:rsidRDefault="00914FB5" w:rsidP="00914FB5">
      <w:pPr>
        <w:spacing w:after="240" w:line="360" w:lineRule="auto"/>
        <w:rPr>
          <w:rFonts w:ascii="Times New Roman" w:hAnsi="Times New Roman"/>
          <w:b/>
          <w:bCs/>
          <w:lang w:val="en-HK"/>
        </w:rPr>
      </w:pPr>
      <w:r w:rsidRPr="00914FB5">
        <w:rPr>
          <w:rFonts w:ascii="Times New Roman" w:hAnsi="Times New Roman"/>
          <w:b/>
          <w:bCs/>
          <w:lang w:val="en-HK"/>
        </w:rPr>
        <w:t xml:space="preserve">1. </w:t>
      </w:r>
      <w:r w:rsidRPr="00914FB5">
        <w:rPr>
          <w:rFonts w:ascii="Times New Roman" w:hAnsi="Times New Roman"/>
          <w:b/>
          <w:bCs/>
          <w:lang w:val="en-HK"/>
        </w:rPr>
        <w:t>Statutes Involved</w:t>
      </w:r>
    </w:p>
    <w:p w14:paraId="21703E49" w14:textId="4C999658" w:rsidR="00914FB5" w:rsidRPr="00914FB5" w:rsidRDefault="00914FB5" w:rsidP="00914FB5">
      <w:pPr>
        <w:spacing w:after="240" w:line="360" w:lineRule="auto"/>
        <w:rPr>
          <w:rFonts w:ascii="Times New Roman" w:hAnsi="Times New Roman"/>
          <w:lang w:val="en-HK"/>
        </w:rPr>
      </w:pPr>
      <w:r>
        <w:rPr>
          <w:rFonts w:ascii="Times New Roman" w:hAnsi="Symbol"/>
          <w:lang w:val="en-HK"/>
        </w:rPr>
        <w:t xml:space="preserve">1. </w:t>
      </w:r>
      <w:r w:rsidRPr="00914FB5">
        <w:rPr>
          <w:rFonts w:ascii="Times New Roman" w:hAnsi="Times New Roman"/>
          <w:b/>
          <w:bCs/>
          <w:lang w:val="en-HK"/>
        </w:rPr>
        <w:t>Council Directive 93/13/EEC</w:t>
      </w:r>
      <w:r w:rsidRPr="00914FB5">
        <w:rPr>
          <w:rFonts w:ascii="Times New Roman" w:hAnsi="Times New Roman"/>
          <w:lang w:val="en-HK"/>
        </w:rPr>
        <w:t xml:space="preserve">: The foundational statute, establishing the framework for addressing unfair terms across Member States. </w:t>
      </w:r>
    </w:p>
    <w:p w14:paraId="6A12384E" w14:textId="7F80D10E" w:rsidR="00914FB5" w:rsidRPr="00914FB5" w:rsidRDefault="00914FB5" w:rsidP="00914FB5">
      <w:pPr>
        <w:spacing w:after="240" w:line="360" w:lineRule="auto"/>
        <w:rPr>
          <w:rFonts w:ascii="Times New Roman" w:hAnsi="Times New Roman"/>
          <w:lang w:val="en-HK"/>
        </w:rPr>
      </w:pPr>
      <w:r>
        <w:rPr>
          <w:rFonts w:ascii="Times New Roman" w:hAnsi="Symbol"/>
          <w:lang w:val="en-HK"/>
        </w:rPr>
        <w:t xml:space="preserve">2. </w:t>
      </w:r>
      <w:r w:rsidRPr="00914FB5">
        <w:rPr>
          <w:rFonts w:ascii="Times New Roman" w:hAnsi="Times New Roman"/>
          <w:b/>
          <w:bCs/>
          <w:lang w:val="en-HK"/>
        </w:rPr>
        <w:t>Unfair Terms in Consumer Contracts Regulations 1994</w:t>
      </w:r>
      <w:r w:rsidRPr="00914FB5">
        <w:rPr>
          <w:rFonts w:ascii="Times New Roman" w:hAnsi="Times New Roman"/>
          <w:lang w:val="en-HK"/>
        </w:rPr>
        <w:t xml:space="preserve">: The UK’s implementing legislation, translating the Directive into national law. </w:t>
      </w:r>
    </w:p>
    <w:p w14:paraId="5806F49B" w14:textId="74879D3F" w:rsidR="00914FB5" w:rsidRPr="00914FB5" w:rsidRDefault="00914FB5" w:rsidP="00914FB5">
      <w:pPr>
        <w:spacing w:after="240" w:line="360" w:lineRule="auto"/>
        <w:rPr>
          <w:rFonts w:ascii="Times New Roman" w:hAnsi="Times New Roman"/>
          <w:lang w:val="en-HK"/>
        </w:rPr>
      </w:pPr>
      <w:r>
        <w:rPr>
          <w:rFonts w:ascii="Times New Roman" w:hAnsi="Symbol"/>
          <w:lang w:val="en-HK"/>
        </w:rPr>
        <w:t xml:space="preserve">3. </w:t>
      </w:r>
      <w:r w:rsidRPr="00914FB5">
        <w:rPr>
          <w:rFonts w:ascii="Times New Roman" w:hAnsi="Times New Roman"/>
          <w:b/>
          <w:bCs/>
          <w:lang w:val="en-HK"/>
        </w:rPr>
        <w:t>Unfair Contract Terms Act 1977</w:t>
      </w:r>
      <w:r w:rsidRPr="00914FB5">
        <w:rPr>
          <w:rFonts w:ascii="Times New Roman" w:hAnsi="Times New Roman"/>
          <w:lang w:val="en-HK"/>
        </w:rPr>
        <w:t xml:space="preserve">: A pre-existing UK statute regulating specific contract terms, particularly exclusion clauses, serving as a comparative backdrop. </w:t>
      </w:r>
    </w:p>
    <w:p w14:paraId="3DA0FCE9" w14:textId="5E3DC439" w:rsidR="00CD39F1" w:rsidRPr="00914FB5" w:rsidRDefault="00914FB5" w:rsidP="00914FB5">
      <w:pPr>
        <w:spacing w:after="240" w:line="360" w:lineRule="auto"/>
        <w:rPr>
          <w:rFonts w:ascii="Times New Roman" w:hAnsi="Times New Roman"/>
          <w:lang w:val="en-HK"/>
        </w:rPr>
      </w:pPr>
      <w:r>
        <w:rPr>
          <w:rFonts w:ascii="Times New Roman" w:hAnsi="Symbol"/>
          <w:lang w:val="en-HK"/>
        </w:rPr>
        <w:t xml:space="preserve">4. </w:t>
      </w:r>
      <w:r w:rsidRPr="00914FB5">
        <w:rPr>
          <w:rFonts w:ascii="Times New Roman" w:hAnsi="Times New Roman"/>
          <w:b/>
          <w:bCs/>
          <w:lang w:val="en-HK"/>
        </w:rPr>
        <w:t>Fair Trading Act 1973</w:t>
      </w:r>
      <w:r w:rsidRPr="00914FB5">
        <w:rPr>
          <w:rFonts w:ascii="Times New Roman" w:hAnsi="Times New Roman"/>
          <w:lang w:val="en-HK"/>
        </w:rPr>
        <w:t>: Provides supplementary enforcement powers, such as criminal sanctions or injunctions, though limited in scope relative to the Directive.</w:t>
      </w:r>
    </w:p>
    <w:p w14:paraId="46EDB98B" w14:textId="2B0AF935" w:rsidR="00914FB5" w:rsidRPr="00914FB5" w:rsidRDefault="00914FB5" w:rsidP="00914FB5">
      <w:pPr>
        <w:spacing w:before="100" w:beforeAutospacing="1" w:after="240" w:line="360" w:lineRule="auto"/>
        <w:outlineLvl w:val="2"/>
        <w:rPr>
          <w:rFonts w:ascii="Times New Roman" w:hAnsi="Times New Roman"/>
          <w:b/>
          <w:bCs/>
          <w:lang w:val="en-HK"/>
        </w:rPr>
      </w:pPr>
      <w:r w:rsidRPr="00914FB5">
        <w:rPr>
          <w:rFonts w:ascii="Times New Roman" w:hAnsi="Times New Roman"/>
          <w:b/>
          <w:bCs/>
          <w:lang w:val="en-HK"/>
        </w:rPr>
        <w:t xml:space="preserve">2. </w:t>
      </w:r>
      <w:r w:rsidRPr="00914FB5">
        <w:rPr>
          <w:rFonts w:ascii="Times New Roman" w:hAnsi="Times New Roman"/>
          <w:b/>
          <w:bCs/>
          <w:lang w:val="en-HK"/>
        </w:rPr>
        <w:t>Scope of the Statutes in "The Directive on Unfair Terms in Consumer Contracts"</w:t>
      </w:r>
    </w:p>
    <w:p w14:paraId="28F3E223" w14:textId="77777777" w:rsidR="00914FB5" w:rsidRPr="00914FB5" w:rsidRDefault="00914FB5" w:rsidP="00914FB5">
      <w:pPr>
        <w:spacing w:before="100" w:beforeAutospacing="1" w:after="240" w:line="360" w:lineRule="auto"/>
        <w:outlineLvl w:val="3"/>
        <w:rPr>
          <w:rFonts w:ascii="Times New Roman" w:hAnsi="Times New Roman"/>
          <w:b/>
          <w:bCs/>
          <w:lang w:val="en-HK"/>
        </w:rPr>
      </w:pPr>
      <w:r w:rsidRPr="00914FB5">
        <w:rPr>
          <w:rFonts w:ascii="Times New Roman" w:hAnsi="Times New Roman"/>
          <w:b/>
          <w:bCs/>
          <w:lang w:val="en-HK"/>
        </w:rPr>
        <w:t>Council Directive 93/13/EEC of 5 April 1993</w:t>
      </w:r>
    </w:p>
    <w:p w14:paraId="2F372DFC"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lang w:val="en-HK"/>
        </w:rPr>
        <w:t xml:space="preserve">The </w:t>
      </w:r>
      <w:r w:rsidRPr="00914FB5">
        <w:rPr>
          <w:rFonts w:ascii="Times New Roman" w:hAnsi="Times New Roman"/>
          <w:i/>
          <w:iCs/>
          <w:lang w:val="en-HK"/>
        </w:rPr>
        <w:t>Council Directive 93/13/EEC on Unfair Terms in Consumer Contracts</w:t>
      </w:r>
      <w:r w:rsidRPr="00914FB5">
        <w:rPr>
          <w:rFonts w:ascii="Times New Roman" w:hAnsi="Times New Roman"/>
          <w:lang w:val="en-HK"/>
        </w:rPr>
        <w:t xml:space="preserve"> (published OJ L95, 21.4.1993, p. 29), referred to as "the Directive," establishes a framework to regulate unfair terms within the European Community, focusing exclusively on consumer contracts. Its scope is confined to agreements between a seller or supplier and a consumer, where a consumer is defined as a natural person acting outside their trade, business, or profession (Article 2(b)), thereby excluding corporate entities or business-to-business transactions. The Directive applies only to terms not individually negotiated—those drafted in advance where the consumer has had no ability to influence their substance (Article 3(1))—such as pre-printed standard forms or non-negotiable terms stored electronically or in precedent contracts. It encompasses a broad range of contract types, including insurance contracts and potentially contracts for the sale of land when part of a supplier’s business (Article 2(c)), though it is unclear if land leases qualify as "supply." However, it excludes from review the adequacy of the price or the definition of the contract’s main subject matter if expressed in plain, intelligible language (Article 4(2)), a limitation reflecting insurance industry influence. All other terms, beyond just liability exclusions, are subject to scrutiny for unfairness.</w:t>
      </w:r>
    </w:p>
    <w:p w14:paraId="72EBEB25"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Parties Covered</w:t>
      </w:r>
      <w:r w:rsidRPr="00914FB5">
        <w:rPr>
          <w:rFonts w:ascii="Times New Roman" w:hAnsi="Times New Roman"/>
          <w:lang w:val="en-HK"/>
        </w:rPr>
        <w:t>: Limited to seller/supplier and consumer contracts, with "consumer" as a natural person only, excluding businesses or companies.</w:t>
      </w:r>
    </w:p>
    <w:p w14:paraId="5FA8D909"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lastRenderedPageBreak/>
        <w:t>Terms Targeted</w:t>
      </w:r>
      <w:r w:rsidRPr="00914FB5">
        <w:rPr>
          <w:rFonts w:ascii="Times New Roman" w:hAnsi="Times New Roman"/>
          <w:lang w:val="en-HK"/>
        </w:rPr>
        <w:t>: Applies solely to non-negotiated terms, covering standard forms unless altered through negotiation, and extending to non-printed formats if non-negotiable.</w:t>
      </w:r>
    </w:p>
    <w:p w14:paraId="6B9B0C01"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Contract Types</w:t>
      </w:r>
      <w:r w:rsidRPr="00914FB5">
        <w:rPr>
          <w:rFonts w:ascii="Times New Roman" w:hAnsi="Times New Roman"/>
          <w:lang w:val="en-HK"/>
        </w:rPr>
        <w:t>: Includes a wide array, such as insurance and possibly land sales (if business-related), but excludes negotiated contracts entirely.</w:t>
      </w:r>
    </w:p>
    <w:p w14:paraId="3628651F"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Exclusions</w:t>
      </w:r>
      <w:r w:rsidRPr="00914FB5">
        <w:rPr>
          <w:rFonts w:ascii="Times New Roman" w:hAnsi="Times New Roman"/>
          <w:lang w:val="en-HK"/>
        </w:rPr>
        <w:t>: Does not assess price or main subject matter if clearly stated, narrowing its reach compared to broader contractual reviews.</w:t>
      </w:r>
    </w:p>
    <w:p w14:paraId="46BC192C" w14:textId="77777777" w:rsidR="00914FB5" w:rsidRPr="00914FB5" w:rsidRDefault="00914FB5" w:rsidP="00914FB5">
      <w:pPr>
        <w:spacing w:before="100" w:beforeAutospacing="1" w:after="240" w:line="360" w:lineRule="auto"/>
        <w:outlineLvl w:val="3"/>
        <w:rPr>
          <w:rFonts w:ascii="Times New Roman" w:hAnsi="Times New Roman"/>
          <w:b/>
          <w:bCs/>
          <w:lang w:val="en-HK"/>
        </w:rPr>
      </w:pPr>
      <w:r w:rsidRPr="00914FB5">
        <w:rPr>
          <w:rFonts w:ascii="Times New Roman" w:hAnsi="Times New Roman"/>
          <w:b/>
          <w:bCs/>
          <w:lang w:val="en-HK"/>
        </w:rPr>
        <w:t>Unfair Terms in Consumer Contracts Regulations 1994</w:t>
      </w:r>
    </w:p>
    <w:p w14:paraId="391E8EB1"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lang w:val="en-HK"/>
        </w:rPr>
        <w:t xml:space="preserve">The </w:t>
      </w:r>
      <w:r w:rsidRPr="00914FB5">
        <w:rPr>
          <w:rFonts w:ascii="Times New Roman" w:hAnsi="Times New Roman"/>
          <w:i/>
          <w:iCs/>
          <w:lang w:val="en-HK"/>
        </w:rPr>
        <w:t>Unfair Terms in Consumer Contracts Regulations 1994</w:t>
      </w:r>
      <w:r w:rsidRPr="00914FB5">
        <w:rPr>
          <w:rFonts w:ascii="Times New Roman" w:hAnsi="Times New Roman"/>
          <w:lang w:val="en-HK"/>
        </w:rPr>
        <w:t xml:space="preserve"> (SI 1994 No. 3159), enacted under the </w:t>
      </w:r>
      <w:r w:rsidRPr="00914FB5">
        <w:rPr>
          <w:rFonts w:ascii="Times New Roman" w:hAnsi="Times New Roman"/>
          <w:i/>
          <w:iCs/>
          <w:lang w:val="en-HK"/>
        </w:rPr>
        <w:t>European Communities Act 1972</w:t>
      </w:r>
      <w:r w:rsidRPr="00914FB5">
        <w:rPr>
          <w:rFonts w:ascii="Times New Roman" w:hAnsi="Times New Roman"/>
          <w:lang w:val="en-HK"/>
        </w:rPr>
        <w:t xml:space="preserve">, implement the Directive in the United Kingdom. Their scope mirrors the Directive’s focus on contracts between sellers or suppliers and consumers, adopting the same definition of a consumer as a natural person acting outside their business (Regulation 2(1)), thus excluding limited companies even when acting outside their usual trade. Like the Directive, they apply only to terms not individually negotiated (Regulation 3(3)), targeting pre-formulated standard terms unless modified through consumer influence. The Regulations cover a broader array of consumer contracts than the </w:t>
      </w:r>
      <w:r w:rsidRPr="00914FB5">
        <w:rPr>
          <w:rFonts w:ascii="Times New Roman" w:hAnsi="Times New Roman"/>
          <w:i/>
          <w:iCs/>
          <w:lang w:val="en-HK"/>
        </w:rPr>
        <w:t>Unfair Contract Terms Act 1977</w:t>
      </w:r>
      <w:r w:rsidRPr="00914FB5">
        <w:rPr>
          <w:rFonts w:ascii="Times New Roman" w:hAnsi="Times New Roman"/>
          <w:lang w:val="en-HK"/>
        </w:rPr>
        <w:t xml:space="preserve"> (UCTA), including insurance and potentially land sales, without UCTA’s exemptions (e.g., Schedule 1 of UCTA). However, they exclude price and main subject matter terms if in plain language, consistent with Article 4(2) of the Directive, and extend to all non-negotiated terms, not just liability-limiting clauses. Enforcement mechanisms, such as the Director-General of Fair Trading’s power to seek injunctions (Regulation 8), broaden their scope beyond individual disputes to prevent systemic use of unfair terms.</w:t>
      </w:r>
    </w:p>
    <w:p w14:paraId="6454F0BE"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Parties Covered</w:t>
      </w:r>
      <w:r w:rsidRPr="00914FB5">
        <w:rPr>
          <w:rFonts w:ascii="Times New Roman" w:hAnsi="Times New Roman"/>
          <w:lang w:val="en-HK"/>
        </w:rPr>
        <w:t>: Restricted to seller/supplier-consumer contracts, with "consumer" as a natural person, excluding business entities.</w:t>
      </w:r>
    </w:p>
    <w:p w14:paraId="29A49E10"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Terms Targeted</w:t>
      </w:r>
      <w:r w:rsidRPr="00914FB5">
        <w:rPr>
          <w:rFonts w:ascii="Times New Roman" w:hAnsi="Times New Roman"/>
          <w:lang w:val="en-HK"/>
        </w:rPr>
        <w:t>: Focuses on non-negotiated terms, aligning with the Directive, and includes standard forms unless negotiated changes occur.</w:t>
      </w:r>
    </w:p>
    <w:p w14:paraId="2B509B03"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Contract Types</w:t>
      </w:r>
      <w:r w:rsidRPr="00914FB5">
        <w:rPr>
          <w:rFonts w:ascii="Times New Roman" w:hAnsi="Times New Roman"/>
          <w:lang w:val="en-HK"/>
        </w:rPr>
        <w:t>: Encompasses more contracts than UCTA, such as insurance, without specific exclusions, enhancing consumer coverage.</w:t>
      </w:r>
    </w:p>
    <w:p w14:paraId="4E579BB4"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lastRenderedPageBreak/>
        <w:t>Exclusions and Extensions</w:t>
      </w:r>
      <w:r w:rsidRPr="00914FB5">
        <w:rPr>
          <w:rFonts w:ascii="Times New Roman" w:hAnsi="Times New Roman"/>
          <w:lang w:val="en-HK"/>
        </w:rPr>
        <w:t>: Excludes price and subject matter if clear, but extends to all unfair terms, supported by collective enforcement powers.</w:t>
      </w:r>
    </w:p>
    <w:p w14:paraId="11FD2B86" w14:textId="77777777" w:rsidR="00914FB5" w:rsidRPr="00914FB5" w:rsidRDefault="00914FB5" w:rsidP="00914FB5">
      <w:pPr>
        <w:spacing w:before="100" w:beforeAutospacing="1" w:after="240" w:line="360" w:lineRule="auto"/>
        <w:outlineLvl w:val="3"/>
        <w:rPr>
          <w:rFonts w:ascii="Times New Roman" w:hAnsi="Times New Roman"/>
          <w:b/>
          <w:bCs/>
          <w:lang w:val="en-HK"/>
        </w:rPr>
      </w:pPr>
      <w:r w:rsidRPr="00914FB5">
        <w:rPr>
          <w:rFonts w:ascii="Times New Roman" w:hAnsi="Times New Roman"/>
          <w:b/>
          <w:bCs/>
          <w:lang w:val="en-HK"/>
        </w:rPr>
        <w:t>Unfair Contract Terms Act 1977</w:t>
      </w:r>
    </w:p>
    <w:p w14:paraId="387B7312"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lang w:val="en-HK"/>
        </w:rPr>
        <w:t xml:space="preserve">The </w:t>
      </w:r>
      <w:r w:rsidRPr="00914FB5">
        <w:rPr>
          <w:rFonts w:ascii="Times New Roman" w:hAnsi="Times New Roman"/>
          <w:i/>
          <w:iCs/>
          <w:lang w:val="en-HK"/>
        </w:rPr>
        <w:t>Unfair Contract Terms Act 1977</w:t>
      </w:r>
      <w:r w:rsidRPr="00914FB5">
        <w:rPr>
          <w:rFonts w:ascii="Times New Roman" w:hAnsi="Times New Roman"/>
          <w:lang w:val="en-HK"/>
        </w:rPr>
        <w:t xml:space="preserve"> (UCTA) predates the Directive and regulates specific terms in contracts within England and Wales, with a scope distinct from the Directive’s consumer-only focus. It applies to both consumer and business-to-business contracts, defining a consumer as someone not acting in the course of business when dealing with a business party (Section 12), and notably allows limited companies to qualify as consumers if the transaction is outside their normal business (e.g., </w:t>
      </w:r>
      <w:r w:rsidRPr="00914FB5">
        <w:rPr>
          <w:rFonts w:ascii="Times New Roman" w:hAnsi="Times New Roman"/>
          <w:i/>
          <w:iCs/>
          <w:lang w:val="en-HK"/>
        </w:rPr>
        <w:t>R &amp; B Customs Brokers Co Ltd v United Dominions Trust Ltd</w:t>
      </w:r>
      <w:r w:rsidRPr="00914FB5">
        <w:rPr>
          <w:rFonts w:ascii="Times New Roman" w:hAnsi="Times New Roman"/>
          <w:lang w:val="en-HK"/>
        </w:rPr>
        <w:t>). UCTA primarily targets clauses excluding or limiting liability, such as those for negligence (Section 2) or breach of contract (Section 3), and indemnity clauses in consumer contracts (Section 4), rather than all unfair terms. It covers sales and supply of goods contracts, invalidating exclusions of implied terms (e.g., fitness for purpose) in consumer dealings (Sections 6(2), 7(2)), while permitting such clauses in non-consumer contracts if reasonable (Sections 6(3), 7(3)). Exclusions apply to certain contracts, like insurance (Schedule 1), and its scope is narrower than the Directive’s in terms of contract types and terms addressed, focusing on liability rather than broader fairness.</w:t>
      </w:r>
    </w:p>
    <w:p w14:paraId="72FA46A3"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Parties Covered</w:t>
      </w:r>
      <w:r w:rsidRPr="00914FB5">
        <w:rPr>
          <w:rFonts w:ascii="Times New Roman" w:hAnsi="Times New Roman"/>
          <w:lang w:val="en-HK"/>
        </w:rPr>
        <w:t>: Applies to consumer (including companies in some cases) and business contracts, wider than the Directive’s natural-person focus.</w:t>
      </w:r>
    </w:p>
    <w:p w14:paraId="0674D7E6"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Terms Targeted</w:t>
      </w:r>
      <w:r w:rsidRPr="00914FB5">
        <w:rPr>
          <w:rFonts w:ascii="Times New Roman" w:hAnsi="Times New Roman"/>
          <w:lang w:val="en-HK"/>
        </w:rPr>
        <w:t>: Limited to exclusion, limitation, and indemnity clauses, unlike the Directive’s broader unfairness approach.</w:t>
      </w:r>
    </w:p>
    <w:p w14:paraId="4B8B4F9F"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Contract Types</w:t>
      </w:r>
      <w:r w:rsidRPr="00914FB5">
        <w:rPr>
          <w:rFonts w:ascii="Times New Roman" w:hAnsi="Times New Roman"/>
          <w:lang w:val="en-HK"/>
        </w:rPr>
        <w:t>: Covers sales and supply of goods, but excludes insurance and other contracts listed in Schedule 1, narrower than the Regulations.</w:t>
      </w:r>
    </w:p>
    <w:p w14:paraId="3A7A6206"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Exclusions and Conditions</w:t>
      </w:r>
      <w:r w:rsidRPr="00914FB5">
        <w:rPr>
          <w:rFonts w:ascii="Times New Roman" w:hAnsi="Times New Roman"/>
          <w:lang w:val="en-HK"/>
        </w:rPr>
        <w:t>: Permits reasonable exclusions in non-consumer contracts, with absolute bans in consumer cases for specific breaches.</w:t>
      </w:r>
    </w:p>
    <w:p w14:paraId="040F632A" w14:textId="77777777" w:rsidR="00914FB5" w:rsidRPr="00914FB5" w:rsidRDefault="00914FB5" w:rsidP="00914FB5">
      <w:pPr>
        <w:spacing w:before="100" w:beforeAutospacing="1" w:after="240" w:line="360" w:lineRule="auto"/>
        <w:outlineLvl w:val="3"/>
        <w:rPr>
          <w:rFonts w:ascii="Times New Roman" w:hAnsi="Times New Roman"/>
          <w:b/>
          <w:bCs/>
          <w:lang w:val="en-HK"/>
        </w:rPr>
      </w:pPr>
      <w:r w:rsidRPr="00914FB5">
        <w:rPr>
          <w:rFonts w:ascii="Times New Roman" w:hAnsi="Times New Roman"/>
          <w:b/>
          <w:bCs/>
          <w:lang w:val="en-HK"/>
        </w:rPr>
        <w:t>Fair Trading Act 1973</w:t>
      </w:r>
    </w:p>
    <w:p w14:paraId="5D5BF3B6"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lang w:val="en-HK"/>
        </w:rPr>
        <w:t xml:space="preserve">The </w:t>
      </w:r>
      <w:r w:rsidRPr="00914FB5">
        <w:rPr>
          <w:rFonts w:ascii="Times New Roman" w:hAnsi="Times New Roman"/>
          <w:i/>
          <w:iCs/>
          <w:lang w:val="en-HK"/>
        </w:rPr>
        <w:t>Fair Trading Act 1973</w:t>
      </w:r>
      <w:r w:rsidRPr="00914FB5">
        <w:rPr>
          <w:rFonts w:ascii="Times New Roman" w:hAnsi="Times New Roman"/>
          <w:lang w:val="en-HK"/>
        </w:rPr>
        <w:t xml:space="preserve"> supports consumer protection in the UK, with its scope relevant to the Directive’s enforcement rather than directly regulating contract terms. Under Part II, it </w:t>
      </w:r>
      <w:r w:rsidRPr="00914FB5">
        <w:rPr>
          <w:rFonts w:ascii="Times New Roman" w:hAnsi="Times New Roman"/>
          <w:lang w:val="en-HK"/>
        </w:rPr>
        <w:lastRenderedPageBreak/>
        <w:t xml:space="preserve">enables the Director-General of Fair Trading to criminalize the use of certain invalid terms, such as those excluding liability for goods’ description or fitness in consumer contracts (e.g., </w:t>
      </w:r>
      <w:r w:rsidRPr="00914FB5">
        <w:rPr>
          <w:rFonts w:ascii="Times New Roman" w:hAnsi="Times New Roman"/>
          <w:i/>
          <w:iCs/>
          <w:lang w:val="en-HK"/>
        </w:rPr>
        <w:t>Consumer Transactions (Restrictions on Statements) Order 1976</w:t>
      </w:r>
      <w:r w:rsidRPr="00914FB5">
        <w:rPr>
          <w:rFonts w:ascii="Times New Roman" w:hAnsi="Times New Roman"/>
          <w:lang w:val="en-HK"/>
        </w:rPr>
        <w:t>), aligning with UCTA Sections 6(2) and 7(2). Part III empowers the Director-General to address persistent unfair trader conduct detrimental to consumers, requiring breaches of civil or criminal law for action, though proposed amendments aim to cover unconscionable practices, including harsh terms (Trading Malpractices report). Its scope is thus ancillary, focusing on enforcement against traders rather than defining contractual fairness, and applies to consumer transactions without extending to substantive term regulation beyond specific prohibitions.</w:t>
      </w:r>
    </w:p>
    <w:p w14:paraId="2BA16276"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Parties Covered</w:t>
      </w:r>
      <w:r w:rsidRPr="00914FB5">
        <w:rPr>
          <w:rFonts w:ascii="Times New Roman" w:hAnsi="Times New Roman"/>
          <w:lang w:val="en-HK"/>
        </w:rPr>
        <w:t>: Targets traders in consumer transactions, supporting consumer protection indirectly through enforcement.</w:t>
      </w:r>
    </w:p>
    <w:p w14:paraId="694B1E6F"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Terms Targeted</w:t>
      </w:r>
      <w:r w:rsidRPr="00914FB5">
        <w:rPr>
          <w:rFonts w:ascii="Times New Roman" w:hAnsi="Times New Roman"/>
          <w:lang w:val="en-HK"/>
        </w:rPr>
        <w:t>: Addresses specific invalid terms (Part II) and potentially harsh terms if amendments occur (Part III), but not a general fairness regime.</w:t>
      </w:r>
    </w:p>
    <w:p w14:paraId="01DB72CD"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Contract Types</w:t>
      </w:r>
      <w:r w:rsidRPr="00914FB5">
        <w:rPr>
          <w:rFonts w:ascii="Times New Roman" w:hAnsi="Times New Roman"/>
          <w:lang w:val="en-HK"/>
        </w:rPr>
        <w:t>: Limited to consumer sales or supply contexts for Part II, with broader trader conduct in Part III, not contract-specific like UCTA or the Directive.</w:t>
      </w:r>
    </w:p>
    <w:p w14:paraId="5ACFDA38"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Exclusions and Enforcement</w:t>
      </w:r>
      <w:r w:rsidRPr="00914FB5">
        <w:rPr>
          <w:rFonts w:ascii="Times New Roman" w:hAnsi="Times New Roman"/>
          <w:lang w:val="en-HK"/>
        </w:rPr>
        <w:t>: Focuses on enforcement rather than term scope, with limited direct application to contract content unless blacklisted.</w:t>
      </w:r>
    </w:p>
    <w:p w14:paraId="7BDABF9B" w14:textId="522C3A48" w:rsidR="00914FB5" w:rsidRPr="00914FB5" w:rsidRDefault="00914FB5" w:rsidP="00914FB5">
      <w:pPr>
        <w:spacing w:before="100" w:beforeAutospacing="1" w:after="240" w:line="360" w:lineRule="auto"/>
        <w:outlineLvl w:val="2"/>
        <w:rPr>
          <w:rFonts w:ascii="Times New Roman" w:hAnsi="Times New Roman"/>
          <w:b/>
          <w:bCs/>
          <w:lang w:val="en-HK"/>
        </w:rPr>
      </w:pPr>
      <w:r w:rsidRPr="00914FB5">
        <w:rPr>
          <w:rFonts w:ascii="Times New Roman" w:hAnsi="Times New Roman"/>
          <w:b/>
          <w:bCs/>
          <w:lang w:val="en-HK"/>
        </w:rPr>
        <w:t xml:space="preserve">3. </w:t>
      </w:r>
      <w:r w:rsidRPr="00914FB5">
        <w:rPr>
          <w:rFonts w:ascii="Times New Roman" w:hAnsi="Times New Roman"/>
          <w:b/>
          <w:bCs/>
          <w:lang w:val="en-HK"/>
        </w:rPr>
        <w:t>How the Statutes Promote Fairness and Gaps Causing Unfairness</w:t>
      </w:r>
    </w:p>
    <w:p w14:paraId="11F58DA1" w14:textId="77777777" w:rsidR="00914FB5" w:rsidRPr="00914FB5" w:rsidRDefault="00914FB5" w:rsidP="00914FB5">
      <w:pPr>
        <w:spacing w:before="100" w:beforeAutospacing="1" w:after="240" w:line="360" w:lineRule="auto"/>
        <w:outlineLvl w:val="3"/>
        <w:rPr>
          <w:rFonts w:ascii="Times New Roman" w:hAnsi="Times New Roman"/>
          <w:b/>
          <w:bCs/>
          <w:lang w:val="en-HK"/>
        </w:rPr>
      </w:pPr>
      <w:r w:rsidRPr="00914FB5">
        <w:rPr>
          <w:rFonts w:ascii="Times New Roman" w:hAnsi="Times New Roman"/>
          <w:b/>
          <w:bCs/>
          <w:lang w:val="en-HK"/>
        </w:rPr>
        <w:t>Council Directive 93/13/EEC of 5 April 1993</w:t>
      </w:r>
    </w:p>
    <w:p w14:paraId="144717C2"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Promotion of Fairness:</w:t>
      </w:r>
      <w:r w:rsidRPr="00914FB5">
        <w:rPr>
          <w:rFonts w:ascii="Times New Roman" w:hAnsi="Times New Roman"/>
          <w:lang w:val="en-HK"/>
        </w:rPr>
        <w:t xml:space="preserve"> The Directive fosters fairness by establishing a test for unfair terms: a term is unfair if, contrary to good faith, it causes a significant imbalance in the parties’ rights and obligations to the consumer’s detriment (Article 3(1)). This test, assessed at the contract’s formation (Article 4(1)), addresses procedural issues (e.g., lack of transparency) and substantive imbalance (e.g., disproportionate risk), moving beyond traditional exploitation. It includes an indicative “grey list” in the Annex, identifying potentially unfair terms—like unilateral price changes or liability exclusions—guiding courts without mandating automatic invalidity. Article 5 mandates that written terms be in plain, intelligible language, reducing unfair surprise, while Article 7 requires Member States to ensure effective means (e.g., injunctions) to prevent continued use of unfair terms, promoting systemic </w:t>
      </w:r>
      <w:r w:rsidRPr="00914FB5">
        <w:rPr>
          <w:rFonts w:ascii="Times New Roman" w:hAnsi="Times New Roman"/>
          <w:lang w:val="en-HK"/>
        </w:rPr>
        <w:lastRenderedPageBreak/>
        <w:t>fairness over individual litigation. The broad interpretation of “good faith” suggested—encompassing fair dealing and consumer interest consideration—enhances its protective reach.</w:t>
      </w:r>
    </w:p>
    <w:p w14:paraId="06671EC9"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Unfairness Test</w:t>
      </w:r>
      <w:r w:rsidRPr="00914FB5">
        <w:rPr>
          <w:rFonts w:ascii="Times New Roman" w:hAnsi="Times New Roman"/>
          <w:lang w:val="en-HK"/>
        </w:rPr>
        <w:t>: Combines good faith and balance to tackle surprise and lack of choice, offering a flexible fairness standard.</w:t>
      </w:r>
    </w:p>
    <w:p w14:paraId="3D14A610"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Grey List</w:t>
      </w:r>
      <w:r w:rsidRPr="00914FB5">
        <w:rPr>
          <w:rFonts w:ascii="Times New Roman" w:hAnsi="Times New Roman"/>
          <w:lang w:val="en-HK"/>
        </w:rPr>
        <w:t>: Highlights terms for scrutiny, broadening protection beyond liability clauses.</w:t>
      </w:r>
    </w:p>
    <w:p w14:paraId="5C33919F"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Transparency</w:t>
      </w:r>
      <w:r w:rsidRPr="00914FB5">
        <w:rPr>
          <w:rFonts w:ascii="Times New Roman" w:hAnsi="Times New Roman"/>
          <w:lang w:val="en-HK"/>
        </w:rPr>
        <w:t>: Requires clear language to inform consumers, supporting informed consent.</w:t>
      </w:r>
    </w:p>
    <w:p w14:paraId="41666A7C"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Collective Enforcement</w:t>
      </w:r>
      <w:r w:rsidRPr="00914FB5">
        <w:rPr>
          <w:rFonts w:ascii="Times New Roman" w:hAnsi="Times New Roman"/>
          <w:lang w:val="en-HK"/>
        </w:rPr>
        <w:t>: Mandates preventive measures, shifting focus to market-wide fairness.</w:t>
      </w:r>
    </w:p>
    <w:p w14:paraId="110FFC34"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Gaps Causing Unfairness:</w:t>
      </w:r>
      <w:r w:rsidRPr="00914FB5">
        <w:rPr>
          <w:rFonts w:ascii="Times New Roman" w:hAnsi="Times New Roman"/>
          <w:lang w:val="en-HK"/>
        </w:rPr>
        <w:t xml:space="preserve"> Despite its aims, the Directive has gaps that may permit unfairness. The exclusion of price and main subject matter from review if in plain language (Article 4(2)) creates a loophole, as harsh terms defining primary obligations (e.g., holiday itinerary changes) may escape scrutiny, unlike under UCTA. The absence of a “black list” of automatically invalid terms—unlike earlier drafts—means no guaranteed minimum protection (e.g., against negligence causing death), leaving consumers vulnerable abroad where local laws vary. The test’s reliance on “good faith” and “imbalance” may allow suppliers to argue that harsh terms lower prices without overall unfairness, a concern echoed in the French rejection of a similar test. Additionally, Article 5’s transparency requirement lacks a direct sanction, weakening its enforcement and potentially allowing unclear terms to persist.</w:t>
      </w:r>
    </w:p>
    <w:p w14:paraId="2D4B129C"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Price/Subject Matter Exclusion</w:t>
      </w:r>
      <w:r w:rsidRPr="00914FB5">
        <w:rPr>
          <w:rFonts w:ascii="Times New Roman" w:hAnsi="Times New Roman"/>
          <w:lang w:val="en-HK"/>
        </w:rPr>
        <w:t>: Limits review of core terms, risking unfair primary obligations.</w:t>
      </w:r>
    </w:p>
    <w:p w14:paraId="3415BB98"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No Black List</w:t>
      </w:r>
      <w:r w:rsidRPr="00914FB5">
        <w:rPr>
          <w:rFonts w:ascii="Times New Roman" w:hAnsi="Times New Roman"/>
          <w:lang w:val="en-HK"/>
        </w:rPr>
        <w:t>: Fails to ensure absolute bans, reducing protection for severe cases.</w:t>
      </w:r>
    </w:p>
    <w:p w14:paraId="40CA96A7"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Test Interpretation</w:t>
      </w:r>
      <w:r w:rsidRPr="00914FB5">
        <w:rPr>
          <w:rFonts w:ascii="Times New Roman" w:hAnsi="Times New Roman"/>
          <w:lang w:val="en-HK"/>
        </w:rPr>
        <w:t xml:space="preserve">: Permits </w:t>
      </w:r>
      <w:proofErr w:type="spellStart"/>
      <w:r w:rsidRPr="00914FB5">
        <w:rPr>
          <w:rFonts w:ascii="Times New Roman" w:hAnsi="Times New Roman"/>
          <w:lang w:val="en-HK"/>
        </w:rPr>
        <w:t>defenses</w:t>
      </w:r>
      <w:proofErr w:type="spellEnd"/>
      <w:r w:rsidRPr="00914FB5">
        <w:rPr>
          <w:rFonts w:ascii="Times New Roman" w:hAnsi="Times New Roman"/>
          <w:lang w:val="en-HK"/>
        </w:rPr>
        <w:t xml:space="preserve"> of price-benefit balance, potentially undermining consumer rights.</w:t>
      </w:r>
    </w:p>
    <w:p w14:paraId="370255BE"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Weak Transparency Enforcement</w:t>
      </w:r>
      <w:r w:rsidRPr="00914FB5">
        <w:rPr>
          <w:rFonts w:ascii="Times New Roman" w:hAnsi="Times New Roman"/>
          <w:lang w:val="en-HK"/>
        </w:rPr>
        <w:t>: Lacks remedies for non-compliance, allowing surprise to persist.</w:t>
      </w:r>
    </w:p>
    <w:p w14:paraId="6FA02207" w14:textId="77777777" w:rsidR="00914FB5" w:rsidRPr="00914FB5" w:rsidRDefault="00914FB5" w:rsidP="00914FB5">
      <w:pPr>
        <w:spacing w:before="100" w:beforeAutospacing="1" w:after="240" w:line="360" w:lineRule="auto"/>
        <w:outlineLvl w:val="3"/>
        <w:rPr>
          <w:rFonts w:ascii="Times New Roman" w:hAnsi="Times New Roman"/>
          <w:b/>
          <w:bCs/>
          <w:lang w:val="en-HK"/>
        </w:rPr>
      </w:pPr>
      <w:r w:rsidRPr="00914FB5">
        <w:rPr>
          <w:rFonts w:ascii="Times New Roman" w:hAnsi="Times New Roman"/>
          <w:b/>
          <w:bCs/>
          <w:lang w:val="en-HK"/>
        </w:rPr>
        <w:lastRenderedPageBreak/>
        <w:t>Unfair Terms in Consumer Contracts Regulations 1994</w:t>
      </w:r>
    </w:p>
    <w:p w14:paraId="6D4655BC"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Promotion of Fairness:</w:t>
      </w:r>
      <w:r w:rsidRPr="00914FB5">
        <w:rPr>
          <w:rFonts w:ascii="Times New Roman" w:hAnsi="Times New Roman"/>
          <w:lang w:val="en-HK"/>
        </w:rPr>
        <w:t xml:space="preserve"> The Regulations implement the Directive in the UK, adopting its fairness test (Regulation 4) to assess non-negotiated terms for good faith and significant imbalance, protecting consumers from unfair surprise and lack of choice. Schedule 3 incorporates the Directive’s grey list, providing guidance on terms like unilateral alterations that may be challenged, extending scrutiny beyond UCTA’s liability focus. Regulation 6 mandates plain, intelligible language, mirroring Article 5, to enhance transparency, while Regulation 8 empowers the Director-General of Fair Trading to seek injunctions against unfair terms, enabling collective action to halt their use. This dual approach—individual term review and systemic prevention—promotes fairness by addressing both specific grievances and market practices.</w:t>
      </w:r>
    </w:p>
    <w:p w14:paraId="3E53FC6A"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Fairness Test</w:t>
      </w:r>
      <w:r w:rsidRPr="00914FB5">
        <w:rPr>
          <w:rFonts w:ascii="Times New Roman" w:hAnsi="Times New Roman"/>
          <w:lang w:val="en-HK"/>
        </w:rPr>
        <w:t>: Applies the Directive’s standard, targeting procedural and substantive unfairness.</w:t>
      </w:r>
    </w:p>
    <w:p w14:paraId="370756BC"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Grey List</w:t>
      </w:r>
      <w:r w:rsidRPr="00914FB5">
        <w:rPr>
          <w:rFonts w:ascii="Times New Roman" w:hAnsi="Times New Roman"/>
          <w:lang w:val="en-HK"/>
        </w:rPr>
        <w:t>: Offers examples for review, broadening fairness oversight.</w:t>
      </w:r>
    </w:p>
    <w:p w14:paraId="2F97372D"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Transparency</w:t>
      </w:r>
      <w:r w:rsidRPr="00914FB5">
        <w:rPr>
          <w:rFonts w:ascii="Times New Roman" w:hAnsi="Times New Roman"/>
          <w:lang w:val="en-HK"/>
        </w:rPr>
        <w:t>: Requires clear terms, reducing consumer misunderstanding.</w:t>
      </w:r>
    </w:p>
    <w:p w14:paraId="572C7AC2"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Injunction Power</w:t>
      </w:r>
      <w:r w:rsidRPr="00914FB5">
        <w:rPr>
          <w:rFonts w:ascii="Times New Roman" w:hAnsi="Times New Roman"/>
          <w:lang w:val="en-HK"/>
        </w:rPr>
        <w:t>: Facilitates collective enforcement, enhancing systemic fairness.</w:t>
      </w:r>
    </w:p>
    <w:p w14:paraId="606E5445"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Gaps Causing Unfairness:</w:t>
      </w:r>
      <w:r w:rsidRPr="00914FB5">
        <w:rPr>
          <w:rFonts w:ascii="Times New Roman" w:hAnsi="Times New Roman"/>
          <w:lang w:val="en-HK"/>
        </w:rPr>
        <w:t xml:space="preserve"> The Regulations inherit the Directive’s limitations, excluding price and main subject matter if clearly stated, potentially allowing unfair core terms to stand. The grey list’s non-presumptive nature places the burden on consumers to prove unfairness, unlike UCTA’s automatic invalidity for some clauses, weakening protection. The lack of a sanction for breaching the plain language requirement (Regulation 6) mirrors the Directive’s flaw, risking persistent obscurity. Additionally, restricting collective action to the Director-General (Regulation 8), rather than consumer organizations, limits proactive enforcement, as resource constraints may prioritize other issues, leaving some unfair terms unchallenged.</w:t>
      </w:r>
    </w:p>
    <w:p w14:paraId="03A3B536"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Core Term Exclusion</w:t>
      </w:r>
      <w:r w:rsidRPr="00914FB5">
        <w:rPr>
          <w:rFonts w:ascii="Times New Roman" w:hAnsi="Times New Roman"/>
          <w:lang w:val="en-HK"/>
        </w:rPr>
        <w:t>: Permits potentially unfair primary obligations to evade review.</w:t>
      </w:r>
    </w:p>
    <w:p w14:paraId="3A6B7970"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Burden on Consumers</w:t>
      </w:r>
      <w:r w:rsidRPr="00914FB5">
        <w:rPr>
          <w:rFonts w:ascii="Times New Roman" w:hAnsi="Times New Roman"/>
          <w:lang w:val="en-HK"/>
        </w:rPr>
        <w:t>: Requires proof of unfairness, reducing effectiveness compared to UCTA.</w:t>
      </w:r>
    </w:p>
    <w:p w14:paraId="481E8698"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lastRenderedPageBreak/>
        <w:t>Transparency Weakness</w:t>
      </w:r>
      <w:r w:rsidRPr="00914FB5">
        <w:rPr>
          <w:rFonts w:ascii="Times New Roman" w:hAnsi="Times New Roman"/>
          <w:lang w:val="en-HK"/>
        </w:rPr>
        <w:t>: No penalty for unclear terms, undermining informed choice.</w:t>
      </w:r>
    </w:p>
    <w:p w14:paraId="561E44F1"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Limited Enforcement</w:t>
      </w:r>
      <w:r w:rsidRPr="00914FB5">
        <w:rPr>
          <w:rFonts w:ascii="Times New Roman" w:hAnsi="Times New Roman"/>
          <w:lang w:val="en-HK"/>
        </w:rPr>
        <w:t>: Director-General exclusivity restricts collective action scope.</w:t>
      </w:r>
    </w:p>
    <w:p w14:paraId="6247B594" w14:textId="77777777" w:rsidR="00914FB5" w:rsidRPr="00914FB5" w:rsidRDefault="00914FB5" w:rsidP="00914FB5">
      <w:pPr>
        <w:spacing w:before="100" w:beforeAutospacing="1" w:after="240" w:line="360" w:lineRule="auto"/>
        <w:outlineLvl w:val="3"/>
        <w:rPr>
          <w:rFonts w:ascii="Times New Roman" w:hAnsi="Times New Roman"/>
          <w:b/>
          <w:bCs/>
          <w:lang w:val="en-HK"/>
        </w:rPr>
      </w:pPr>
      <w:r w:rsidRPr="00914FB5">
        <w:rPr>
          <w:rFonts w:ascii="Times New Roman" w:hAnsi="Times New Roman"/>
          <w:b/>
          <w:bCs/>
          <w:lang w:val="en-HK"/>
        </w:rPr>
        <w:t>Unfair Contract Terms Act 1977</w:t>
      </w:r>
    </w:p>
    <w:p w14:paraId="740DDB69"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Promotion of Fairness:</w:t>
      </w:r>
      <w:r w:rsidRPr="00914FB5">
        <w:rPr>
          <w:rFonts w:ascii="Times New Roman" w:hAnsi="Times New Roman"/>
          <w:lang w:val="en-HK"/>
        </w:rPr>
        <w:t xml:space="preserve"> UCTA promotes fairness by directly regulating exclusion and limitation clauses, offering robust consumer protection. It invalidates clauses excluding liability for negligence causing death or personal injury in business contexts (Section 2(1)), ensuring an irreducible minimum of rights. For other negligence losses, clauses must be reasonable (Section 2(2)), while in consumer contracts, exclusions of implied terms (e.g., fitness for purpose) in goods sales are void (Sections 6(2), 7(2)), and other breach exclusions must be reasonable (Section 3). The reasonableness test (Section 11(1)), guided by Schedule 2 factors like bargaining power and choice, assesses fairness at contract formation, protecting against surprise and imbalance. This blacklisting and reasonableness approach provides clear, enforceable fairness standards.</w:t>
      </w:r>
    </w:p>
    <w:p w14:paraId="52A73385"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Absolute Bans</w:t>
      </w:r>
      <w:r w:rsidRPr="00914FB5">
        <w:rPr>
          <w:rFonts w:ascii="Times New Roman" w:hAnsi="Times New Roman"/>
          <w:lang w:val="en-HK"/>
        </w:rPr>
        <w:t>: Nullifies severe exclusions (e.g., death/injury), guaranteeing core protections.</w:t>
      </w:r>
    </w:p>
    <w:p w14:paraId="73705034"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Reasonableness Test</w:t>
      </w:r>
      <w:r w:rsidRPr="00914FB5">
        <w:rPr>
          <w:rFonts w:ascii="Times New Roman" w:hAnsi="Times New Roman"/>
          <w:lang w:val="en-HK"/>
        </w:rPr>
        <w:t>: Ensures fairness in less severe cases, considering bargaining dynamics.</w:t>
      </w:r>
    </w:p>
    <w:p w14:paraId="36C1C165"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Consumer Focus</w:t>
      </w:r>
      <w:r w:rsidRPr="00914FB5">
        <w:rPr>
          <w:rFonts w:ascii="Times New Roman" w:hAnsi="Times New Roman"/>
          <w:lang w:val="en-HK"/>
        </w:rPr>
        <w:t>: Voids key exclusions in consumer goods contracts, enhancing rights.</w:t>
      </w:r>
    </w:p>
    <w:p w14:paraId="422505C0"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Guidelines</w:t>
      </w:r>
      <w:r w:rsidRPr="00914FB5">
        <w:rPr>
          <w:rFonts w:ascii="Times New Roman" w:hAnsi="Times New Roman"/>
          <w:lang w:val="en-HK"/>
        </w:rPr>
        <w:t>: Schedule 2 factors promote consistent, equitable assessments.</w:t>
      </w:r>
    </w:p>
    <w:p w14:paraId="215A6A39"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Gaps Causing Unfairness:</w:t>
      </w:r>
      <w:r w:rsidRPr="00914FB5">
        <w:rPr>
          <w:rFonts w:ascii="Times New Roman" w:hAnsi="Times New Roman"/>
          <w:lang w:val="en-HK"/>
        </w:rPr>
        <w:t xml:space="preserve"> UCTA’s narrow focus on exclusion, limitation, and indemnity clauses leaves other unfair terms (e.g., unilateral changes) unregulated, unlike the Directive’s broader scope, potentially allowing substantive unfairness outside liability contexts. Exemptions like insurance contracts (Schedule 1) exclude significant consumer areas from protection. In non-consumer contracts, reasonable exclusions are permitted (Sections 6(3), 7(3)), risking unfairness where bargaining power is unequal. Limited case law on reasonableness in consumer contracts suggests underuse, possibly due to reliance on automatic invalidity, leaving grey areas untested and potentially unfair terms unchallenged.</w:t>
      </w:r>
    </w:p>
    <w:p w14:paraId="24A9CD86"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lastRenderedPageBreak/>
        <w:t>Narrow Scope</w:t>
      </w:r>
      <w:r w:rsidRPr="00914FB5">
        <w:rPr>
          <w:rFonts w:ascii="Times New Roman" w:hAnsi="Times New Roman"/>
          <w:lang w:val="en-HK"/>
        </w:rPr>
        <w:t>: Misses non-liability unfair terms, limiting fairness coverage.</w:t>
      </w:r>
    </w:p>
    <w:p w14:paraId="213E45BA"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Exemptions</w:t>
      </w:r>
      <w:r w:rsidRPr="00914FB5">
        <w:rPr>
          <w:rFonts w:ascii="Times New Roman" w:hAnsi="Times New Roman"/>
          <w:lang w:val="en-HK"/>
        </w:rPr>
        <w:t>: Excludes insurance, leaving gaps in consumer protection.</w:t>
      </w:r>
    </w:p>
    <w:p w14:paraId="6D05C550"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Business Flexibility</w:t>
      </w:r>
      <w:r w:rsidRPr="00914FB5">
        <w:rPr>
          <w:rFonts w:ascii="Times New Roman" w:hAnsi="Times New Roman"/>
          <w:lang w:val="en-HK"/>
        </w:rPr>
        <w:t>: Allows reasonable exclusions, risking imbalance in unequal dealings.</w:t>
      </w:r>
    </w:p>
    <w:p w14:paraId="116F789D"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Underdeveloped Precedent</w:t>
      </w:r>
      <w:r w:rsidRPr="00914FB5">
        <w:rPr>
          <w:rFonts w:ascii="Times New Roman" w:hAnsi="Times New Roman"/>
          <w:lang w:val="en-HK"/>
        </w:rPr>
        <w:t>: Sparse consumer case law hinders clarity on reasonableness.</w:t>
      </w:r>
    </w:p>
    <w:p w14:paraId="7C72DDBF" w14:textId="77777777" w:rsidR="00914FB5" w:rsidRPr="00914FB5" w:rsidRDefault="00914FB5" w:rsidP="00914FB5">
      <w:pPr>
        <w:spacing w:before="100" w:beforeAutospacing="1" w:after="240" w:line="360" w:lineRule="auto"/>
        <w:outlineLvl w:val="3"/>
        <w:rPr>
          <w:rFonts w:ascii="Times New Roman" w:hAnsi="Times New Roman"/>
          <w:b/>
          <w:bCs/>
          <w:lang w:val="en-HK"/>
        </w:rPr>
      </w:pPr>
      <w:r w:rsidRPr="00914FB5">
        <w:rPr>
          <w:rFonts w:ascii="Times New Roman" w:hAnsi="Times New Roman"/>
          <w:b/>
          <w:bCs/>
          <w:lang w:val="en-HK"/>
        </w:rPr>
        <w:t>Fair Trading Act 1973</w:t>
      </w:r>
    </w:p>
    <w:p w14:paraId="5DB1E9DC"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Promotion of Fairness:</w:t>
      </w:r>
      <w:r w:rsidRPr="00914FB5">
        <w:rPr>
          <w:rFonts w:ascii="Times New Roman" w:hAnsi="Times New Roman"/>
          <w:lang w:val="en-HK"/>
        </w:rPr>
        <w:t xml:space="preserve"> The Act supports fairness indirectly through enforcement rather than substantive term regulation. Part II allows the Director-General to criminalize use of terms void under UCTA (e.g., excluding goods’ fitness liability), deterring their inclusion via sanctions like the 1976 Order. Part III enables action against persistent unfair trader conduct, potentially including harsh terms if amended as proposed (Trading Malpractices report), offering a systemic check on unconscionable practices. These mechanisms complement UCTA and the Regulations by preventing reliance on invalid or unfair terms, enhancing market fairness through public authority intervention.</w:t>
      </w:r>
    </w:p>
    <w:p w14:paraId="0D659855"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Criminal Sanctions</w:t>
      </w:r>
      <w:r w:rsidRPr="00914FB5">
        <w:rPr>
          <w:rFonts w:ascii="Times New Roman" w:hAnsi="Times New Roman"/>
          <w:lang w:val="en-HK"/>
        </w:rPr>
        <w:t>: Deters use of void terms, reinforcing UCTA protections.</w:t>
      </w:r>
    </w:p>
    <w:p w14:paraId="0D91AE94"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Trader Conduct</w:t>
      </w:r>
      <w:r w:rsidRPr="00914FB5">
        <w:rPr>
          <w:rFonts w:ascii="Times New Roman" w:hAnsi="Times New Roman"/>
          <w:lang w:val="en-HK"/>
        </w:rPr>
        <w:t>: Targets persistent unfairness, potentially covering harsh terms.</w:t>
      </w:r>
    </w:p>
    <w:p w14:paraId="28E31200"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Systemic Approach</w:t>
      </w:r>
      <w:r w:rsidRPr="00914FB5">
        <w:rPr>
          <w:rFonts w:ascii="Times New Roman" w:hAnsi="Times New Roman"/>
          <w:lang w:val="en-HK"/>
        </w:rPr>
        <w:t>: Supports fairness via enforcement, not just individual remedies.</w:t>
      </w:r>
    </w:p>
    <w:p w14:paraId="2A364040"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Gaps Causing Unfairness:</w:t>
      </w:r>
      <w:r w:rsidRPr="00914FB5">
        <w:rPr>
          <w:rFonts w:ascii="Times New Roman" w:hAnsi="Times New Roman"/>
          <w:lang w:val="en-HK"/>
        </w:rPr>
        <w:t xml:space="preserve"> Part II’s scope is limited to specific blacklisted terms, leaving most unfair terms unaddressed unless explicitly prohibited, unlike the Directive’s broader reach. Part III requires breaches of existing law, excluding standalone unfair terms unless amendments occur, and its cumbersome processes (e.g., assurances before court orders) slow intervention. The proposed “unconscionable” standard might not cover all harsh terms (e.g., those reducing costs without overt exploitation), limiting its reach. Businesses may continue using invalid terms to deter claims, exploiting consumer inaction, as no proactive mechanism fully closes this gap.</w:t>
      </w:r>
    </w:p>
    <w:p w14:paraId="7E4B9E34"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Limited Term Coverage</w:t>
      </w:r>
      <w:r w:rsidRPr="00914FB5">
        <w:rPr>
          <w:rFonts w:ascii="Times New Roman" w:hAnsi="Times New Roman"/>
          <w:lang w:val="en-HK"/>
        </w:rPr>
        <w:t>: Part II misses non-blacklisted unfair terms.</w:t>
      </w:r>
    </w:p>
    <w:p w14:paraId="3601319E"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Legal Breach Requirement</w:t>
      </w:r>
      <w:r w:rsidRPr="00914FB5">
        <w:rPr>
          <w:rFonts w:ascii="Times New Roman" w:hAnsi="Times New Roman"/>
          <w:lang w:val="en-HK"/>
        </w:rPr>
        <w:t>: Part III excludes standalone unfairness without amendments.</w:t>
      </w:r>
    </w:p>
    <w:p w14:paraId="66D9567C"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lastRenderedPageBreak/>
        <w:t>Slow Enforcement</w:t>
      </w:r>
      <w:r w:rsidRPr="00914FB5">
        <w:rPr>
          <w:rFonts w:ascii="Times New Roman" w:hAnsi="Times New Roman"/>
          <w:lang w:val="en-HK"/>
        </w:rPr>
        <w:t>: Cumbersome procedures delay fairness restoration.</w:t>
      </w:r>
    </w:p>
    <w:p w14:paraId="3AD7B5F4"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Deterrence Weakness</w:t>
      </w:r>
      <w:r w:rsidRPr="00914FB5">
        <w:rPr>
          <w:rFonts w:ascii="Times New Roman" w:hAnsi="Times New Roman"/>
          <w:lang w:val="en-HK"/>
        </w:rPr>
        <w:t>: Allows continued use of invalid terms, undermining consumer action.</w:t>
      </w:r>
    </w:p>
    <w:p w14:paraId="3BE91370" w14:textId="25932778" w:rsidR="00914FB5" w:rsidRPr="00914FB5" w:rsidRDefault="00914FB5" w:rsidP="00914FB5">
      <w:pPr>
        <w:spacing w:before="100" w:beforeAutospacing="1" w:after="240" w:line="360" w:lineRule="auto"/>
        <w:outlineLvl w:val="2"/>
        <w:rPr>
          <w:rFonts w:ascii="Times New Roman" w:hAnsi="Times New Roman"/>
          <w:b/>
          <w:bCs/>
          <w:lang w:val="en-HK"/>
        </w:rPr>
      </w:pPr>
      <w:r w:rsidRPr="00914FB5">
        <w:rPr>
          <w:rFonts w:ascii="Times New Roman" w:hAnsi="Times New Roman"/>
          <w:b/>
          <w:bCs/>
          <w:lang w:val="en-HK"/>
        </w:rPr>
        <w:t xml:space="preserve">4. </w:t>
      </w:r>
      <w:r w:rsidRPr="00914FB5">
        <w:rPr>
          <w:rFonts w:ascii="Times New Roman" w:hAnsi="Times New Roman"/>
          <w:b/>
          <w:bCs/>
          <w:lang w:val="en-HK"/>
        </w:rPr>
        <w:t>Hugh Beale’s Scholarly Opinions on the Statutes</w:t>
      </w:r>
    </w:p>
    <w:p w14:paraId="779B8AA6" w14:textId="77777777" w:rsidR="00914FB5" w:rsidRPr="00914FB5" w:rsidRDefault="00914FB5" w:rsidP="00914FB5">
      <w:pPr>
        <w:spacing w:before="100" w:beforeAutospacing="1" w:after="240" w:line="360" w:lineRule="auto"/>
        <w:outlineLvl w:val="3"/>
        <w:rPr>
          <w:rFonts w:ascii="Times New Roman" w:hAnsi="Times New Roman"/>
          <w:b/>
          <w:bCs/>
          <w:lang w:val="en-HK"/>
        </w:rPr>
      </w:pPr>
      <w:r w:rsidRPr="00914FB5">
        <w:rPr>
          <w:rFonts w:ascii="Times New Roman" w:hAnsi="Times New Roman"/>
          <w:b/>
          <w:bCs/>
          <w:lang w:val="en-HK"/>
        </w:rPr>
        <w:t>Council Directive 93/13/EEC of 5 April 1993</w:t>
      </w:r>
    </w:p>
    <w:p w14:paraId="2522EFC7"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Opinions on Promotion of Fairness:</w:t>
      </w:r>
      <w:r w:rsidRPr="00914FB5">
        <w:rPr>
          <w:rFonts w:ascii="Times New Roman" w:hAnsi="Times New Roman"/>
          <w:lang w:val="en-HK"/>
        </w:rPr>
        <w:t xml:space="preserve"> Beale views the Directive as a significant step toward addressing fairness in consumer contracts, particularly through its test of unfairness—requiring good faith and no significant imbalance to the consumer’s detriment (Article 3(1)). He appreciates its focus on mass contracting issues like unfair surprise and lack of choice, distinct from traditional exploitation, and suggests a broad interpretation of “good faith” drawing on civil law traditions (e.g., fair dealing, transparency), which he sees as enhancing procedural and substantive fairness (pp. 242–245). He values the grey list in the Annex for identifying potentially unfair terms, extending scrutiny beyond UCTA’s liability focus, and praises Article 7’s requirement for effective prevention mechanisms (e.g., injunctions) as a shift to collective protection (pp. 246, 255). He also supports Article 5’s transparency mandate, seeing it as a tool to reduce consumer ignorance and improve market dynamics (pp. 247, 250).</w:t>
      </w:r>
    </w:p>
    <w:p w14:paraId="4855674E"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Broad Fairness Test</w:t>
      </w:r>
      <w:r w:rsidRPr="00914FB5">
        <w:rPr>
          <w:rFonts w:ascii="Times New Roman" w:hAnsi="Times New Roman"/>
          <w:lang w:val="en-HK"/>
        </w:rPr>
        <w:t>: Sees it as tackling modern contract issues effectively if interpreted expansively.</w:t>
      </w:r>
    </w:p>
    <w:p w14:paraId="0F68F627"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Grey List Value</w:t>
      </w:r>
      <w:r w:rsidRPr="00914FB5">
        <w:rPr>
          <w:rFonts w:ascii="Times New Roman" w:hAnsi="Times New Roman"/>
          <w:lang w:val="en-HK"/>
        </w:rPr>
        <w:t>: Appreciates its guidance, wishing it were fuller and presumptively invalid (p. 246).</w:t>
      </w:r>
    </w:p>
    <w:p w14:paraId="48B7EF57"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Collective Enforcement</w:t>
      </w:r>
      <w:r w:rsidRPr="00914FB5">
        <w:rPr>
          <w:rFonts w:ascii="Times New Roman" w:hAnsi="Times New Roman"/>
          <w:lang w:val="en-HK"/>
        </w:rPr>
        <w:t>: Views Article 7 as potentially transformative for systemic fairness (p. 255).</w:t>
      </w:r>
    </w:p>
    <w:p w14:paraId="5365A6C9"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Transparency Emphasis</w:t>
      </w:r>
      <w:r w:rsidRPr="00914FB5">
        <w:rPr>
          <w:rFonts w:ascii="Times New Roman" w:hAnsi="Times New Roman"/>
          <w:lang w:val="en-HK"/>
        </w:rPr>
        <w:t>: Believes clear terms could align offerings with consumer preferences (p. 250).</w:t>
      </w:r>
    </w:p>
    <w:p w14:paraId="7DBC401D"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Opinions on Gaps Causing Unfairness:</w:t>
      </w:r>
      <w:r w:rsidRPr="00914FB5">
        <w:rPr>
          <w:rFonts w:ascii="Times New Roman" w:hAnsi="Times New Roman"/>
          <w:lang w:val="en-HK"/>
        </w:rPr>
        <w:t xml:space="preserve"> Beale finds the Directive substantively disappointing due to several gaps. He criticizes the exclusion of price and main subject matter </w:t>
      </w:r>
      <w:r w:rsidRPr="00914FB5">
        <w:rPr>
          <w:rFonts w:ascii="Times New Roman" w:hAnsi="Times New Roman"/>
          <w:lang w:val="en-HK"/>
        </w:rPr>
        <w:lastRenderedPageBreak/>
        <w:t>(Article 4(2)) as a loophole, allowing unfair primary obligations (e.g., holiday changes) to persist, unlike UCTA’s broader coverage (p. 241). He laments the absence of a black list—present in earlier drafts—noting it leaves no guaranteed minimum protection (e.g., against death/injury exclusions), particularly for consumers abroad (pp. 241–242). He worries the unfairness test’s wording might let suppliers justify harsh terms with lower prices, a flaw he ties to its rejection in French law, and suggests earlier drafts with alternative criteria (e.g., undue detriment) were stronger (pp. 242–243). He also finds Article 5’s lack of sanctions inadequate, questioning its implementation and effectiveness in ensuring transparency (pp. 247–248).</w:t>
      </w:r>
    </w:p>
    <w:p w14:paraId="39F4833C"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Core Term Exclusion</w:t>
      </w:r>
      <w:r w:rsidRPr="00914FB5">
        <w:rPr>
          <w:rFonts w:ascii="Times New Roman" w:hAnsi="Times New Roman"/>
          <w:lang w:val="en-HK"/>
        </w:rPr>
        <w:t>: Sees it as a significant weakness, limiting fairness scope (p. 241).</w:t>
      </w:r>
    </w:p>
    <w:p w14:paraId="745B6172"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No Black List</w:t>
      </w:r>
      <w:r w:rsidRPr="00914FB5">
        <w:rPr>
          <w:rFonts w:ascii="Times New Roman" w:hAnsi="Times New Roman"/>
          <w:lang w:val="en-HK"/>
        </w:rPr>
        <w:t>: Disappointing downgrade, reducing protection consistency (p. 242).</w:t>
      </w:r>
    </w:p>
    <w:p w14:paraId="70B64BA5"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Test Limitations</w:t>
      </w:r>
      <w:r w:rsidRPr="00914FB5">
        <w:rPr>
          <w:rFonts w:ascii="Times New Roman" w:hAnsi="Times New Roman"/>
          <w:lang w:val="en-HK"/>
        </w:rPr>
        <w:t xml:space="preserve">: Fears it may </w:t>
      </w:r>
      <w:proofErr w:type="spellStart"/>
      <w:r w:rsidRPr="00914FB5">
        <w:rPr>
          <w:rFonts w:ascii="Times New Roman" w:hAnsi="Times New Roman"/>
          <w:lang w:val="en-HK"/>
        </w:rPr>
        <w:t>favor</w:t>
      </w:r>
      <w:proofErr w:type="spellEnd"/>
      <w:r w:rsidRPr="00914FB5">
        <w:rPr>
          <w:rFonts w:ascii="Times New Roman" w:hAnsi="Times New Roman"/>
          <w:lang w:val="en-HK"/>
        </w:rPr>
        <w:t xml:space="preserve"> suppliers unless broadly construed (p. 242).</w:t>
      </w:r>
    </w:p>
    <w:p w14:paraId="1C80F51A"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Transparency Flaw</w:t>
      </w:r>
      <w:r w:rsidRPr="00914FB5">
        <w:rPr>
          <w:rFonts w:ascii="Times New Roman" w:hAnsi="Times New Roman"/>
          <w:lang w:val="en-HK"/>
        </w:rPr>
        <w:t>: Views lack of remedy as undermining a key fairness tool (p. 247).</w:t>
      </w:r>
    </w:p>
    <w:p w14:paraId="1A47992D" w14:textId="77777777" w:rsidR="00914FB5" w:rsidRPr="00914FB5" w:rsidRDefault="00914FB5" w:rsidP="00914FB5">
      <w:pPr>
        <w:spacing w:before="100" w:beforeAutospacing="1" w:after="240" w:line="360" w:lineRule="auto"/>
        <w:outlineLvl w:val="3"/>
        <w:rPr>
          <w:rFonts w:ascii="Times New Roman" w:hAnsi="Times New Roman"/>
          <w:b/>
          <w:bCs/>
          <w:lang w:val="en-HK"/>
        </w:rPr>
      </w:pPr>
      <w:r w:rsidRPr="00914FB5">
        <w:rPr>
          <w:rFonts w:ascii="Times New Roman" w:hAnsi="Times New Roman"/>
          <w:b/>
          <w:bCs/>
          <w:lang w:val="en-HK"/>
        </w:rPr>
        <w:t>Unfair Terms in Consumer Contracts Regulations 1994</w:t>
      </w:r>
    </w:p>
    <w:p w14:paraId="47CC05B3"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Opinions on Promotion of Fairness:</w:t>
      </w:r>
      <w:r w:rsidRPr="00914FB5">
        <w:rPr>
          <w:rFonts w:ascii="Times New Roman" w:hAnsi="Times New Roman"/>
          <w:lang w:val="en-HK"/>
        </w:rPr>
        <w:t xml:space="preserve"> Beale sees the Regulations as faithfully implementing the Directive, adopting its fairness test to protect consumers from non-negotiated terms’ unfairness (p. 238). He values Schedule 3’s grey list for extending oversight, though he wishes it presumed invalidity to strengthen consumer leverage (p. 246). He supports Regulation 6’s transparency requirement as a fairness enhancer, aligning with his market-improvement views, and strongly endorses Regulation 8’s injunction power for the Director-General, viewing collective action as a major advance over UCTA’s individual focus (pp. 254–255). He believes this could improve standard terms if fully leveraged (p. 261).</w:t>
      </w:r>
    </w:p>
    <w:p w14:paraId="79038043"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Fairness Implementation</w:t>
      </w:r>
      <w:r w:rsidRPr="00914FB5">
        <w:rPr>
          <w:rFonts w:ascii="Times New Roman" w:hAnsi="Times New Roman"/>
          <w:lang w:val="en-HK"/>
        </w:rPr>
        <w:t>: Approves its alignment with Directive’s protective intent (p. 238).</w:t>
      </w:r>
    </w:p>
    <w:p w14:paraId="165C7B2F"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Grey List Role</w:t>
      </w:r>
      <w:r w:rsidRPr="00914FB5">
        <w:rPr>
          <w:rFonts w:ascii="Times New Roman" w:hAnsi="Times New Roman"/>
          <w:lang w:val="en-HK"/>
        </w:rPr>
        <w:t>: Welcomes it, but seeks stronger presumptive effect (p. 246).</w:t>
      </w:r>
    </w:p>
    <w:p w14:paraId="74EE82AD"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Transparency Support</w:t>
      </w:r>
      <w:r w:rsidRPr="00914FB5">
        <w:rPr>
          <w:rFonts w:ascii="Times New Roman" w:hAnsi="Times New Roman"/>
          <w:lang w:val="en-HK"/>
        </w:rPr>
        <w:t>: Sees it as vital for consumer awareness (p. 247).</w:t>
      </w:r>
    </w:p>
    <w:p w14:paraId="7D18276C"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Collective Power</w:t>
      </w:r>
      <w:r w:rsidRPr="00914FB5">
        <w:rPr>
          <w:rFonts w:ascii="Times New Roman" w:hAnsi="Times New Roman"/>
          <w:lang w:val="en-HK"/>
        </w:rPr>
        <w:t>: Praises injunctions as a key fairness mechanism (p. 255).</w:t>
      </w:r>
    </w:p>
    <w:p w14:paraId="22AD4EC0"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lastRenderedPageBreak/>
        <w:t>Opinions on Gaps Causing Unfairness:</w:t>
      </w:r>
      <w:r w:rsidRPr="00914FB5">
        <w:rPr>
          <w:rFonts w:ascii="Times New Roman" w:hAnsi="Times New Roman"/>
          <w:lang w:val="en-HK"/>
        </w:rPr>
        <w:t xml:space="preserve"> Beale identifies inherited Directive flaws, such as the exclusion of price and main subject matter, which he sees as risking unfair core terms (p. 240). He critiques the grey list’s burden on consumers to prove unfairness, contrasting it with UCTA’s automatic invalidity, and finds Regulation 6’s lack of sanctions for unclear terms a missed opportunity (pp. 246–247). He is particularly critical of limiting collective action to the Director-General, arguing it misses a chance for broader consumer organization involvement, which he deems essential for effective enforcement given resource constraints (pp. 255–258). He sees this as a failure to maximize the Directive’s potential (p. 261).</w:t>
      </w:r>
    </w:p>
    <w:p w14:paraId="6DB2E09B"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Inherited Exclusions</w:t>
      </w:r>
      <w:r w:rsidRPr="00914FB5">
        <w:rPr>
          <w:rFonts w:ascii="Times New Roman" w:hAnsi="Times New Roman"/>
          <w:lang w:val="en-HK"/>
        </w:rPr>
        <w:t>: Notes persistent risks to fairness from core term gaps (p. 240).</w:t>
      </w:r>
    </w:p>
    <w:p w14:paraId="025F97BE"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Consumer Burden</w:t>
      </w:r>
      <w:r w:rsidRPr="00914FB5">
        <w:rPr>
          <w:rFonts w:ascii="Times New Roman" w:hAnsi="Times New Roman"/>
          <w:lang w:val="en-HK"/>
        </w:rPr>
        <w:t>: Dislikes proof requirement, weakening protection (p. 246).</w:t>
      </w:r>
    </w:p>
    <w:p w14:paraId="284D0A0C"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Transparency Weakness</w:t>
      </w:r>
      <w:r w:rsidRPr="00914FB5">
        <w:rPr>
          <w:rFonts w:ascii="Times New Roman" w:hAnsi="Times New Roman"/>
          <w:lang w:val="en-HK"/>
        </w:rPr>
        <w:t>: Critiques lack of enforcement as inadequate (p. 247).</w:t>
      </w:r>
    </w:p>
    <w:p w14:paraId="2E8746C7"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Enforcement Limit</w:t>
      </w:r>
      <w:r w:rsidRPr="00914FB5">
        <w:rPr>
          <w:rFonts w:ascii="Times New Roman" w:hAnsi="Times New Roman"/>
          <w:lang w:val="en-HK"/>
        </w:rPr>
        <w:t>: Views sole Director-General role as a lost radical improvement (p. 256).</w:t>
      </w:r>
    </w:p>
    <w:p w14:paraId="16B317AA" w14:textId="77777777" w:rsidR="00914FB5" w:rsidRPr="00914FB5" w:rsidRDefault="00914FB5" w:rsidP="00914FB5">
      <w:pPr>
        <w:spacing w:before="100" w:beforeAutospacing="1" w:after="240" w:line="360" w:lineRule="auto"/>
        <w:outlineLvl w:val="3"/>
        <w:rPr>
          <w:rFonts w:ascii="Times New Roman" w:hAnsi="Times New Roman"/>
          <w:b/>
          <w:bCs/>
          <w:lang w:val="en-HK"/>
        </w:rPr>
      </w:pPr>
      <w:r w:rsidRPr="00914FB5">
        <w:rPr>
          <w:rFonts w:ascii="Times New Roman" w:hAnsi="Times New Roman"/>
          <w:b/>
          <w:bCs/>
          <w:lang w:val="en-HK"/>
        </w:rPr>
        <w:t>Unfair Contract Terms Act 1977</w:t>
      </w:r>
    </w:p>
    <w:p w14:paraId="6F9F804A"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Opinions on Promotion of Fairness:</w:t>
      </w:r>
      <w:r w:rsidRPr="00914FB5">
        <w:rPr>
          <w:rFonts w:ascii="Times New Roman" w:hAnsi="Times New Roman"/>
          <w:lang w:val="en-HK"/>
        </w:rPr>
        <w:t xml:space="preserve"> Beale acknowledges UCTA’s strong fairness promotion through absolute bans, like invalidating negligence liability exclusions for death or injury (Section 2(1)), which he sees as establishing an irreducible minimum (pp. 234, 236). He values the reasonableness test (Section 11(1)) for other clauses, guided by Schedule 2 factors (e.g., bargaining power), as a tailored fairness check, particularly effective in consumer goods contracts where implied term exclusions are void (Sections 6(2), 7(2)) (pp. 234–235). He contrasts this clarity with the Directive’s discretion, suggesting UCTA’s approach offers businesses certainty via blacklisting (p. 246). He also notes its broader party scope (including businesses) as a fairness advantage over the Directive (p. 238).</w:t>
      </w:r>
    </w:p>
    <w:p w14:paraId="5509852D"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Absolute Protections</w:t>
      </w:r>
      <w:r w:rsidRPr="00914FB5">
        <w:rPr>
          <w:rFonts w:ascii="Times New Roman" w:hAnsi="Times New Roman"/>
          <w:lang w:val="en-HK"/>
        </w:rPr>
        <w:t>: Praises bans as ensuring core consumer rights (p. 236).</w:t>
      </w:r>
    </w:p>
    <w:p w14:paraId="6946F792"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Reasonableness Flexibility</w:t>
      </w:r>
      <w:r w:rsidRPr="00914FB5">
        <w:rPr>
          <w:rFonts w:ascii="Times New Roman" w:hAnsi="Times New Roman"/>
          <w:lang w:val="en-HK"/>
        </w:rPr>
        <w:t>: Appreciates its contextual fairness assessment (p. 235).</w:t>
      </w:r>
    </w:p>
    <w:p w14:paraId="62948F47"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Consumer Goods Focus</w:t>
      </w:r>
      <w:r w:rsidRPr="00914FB5">
        <w:rPr>
          <w:rFonts w:ascii="Times New Roman" w:hAnsi="Times New Roman"/>
          <w:lang w:val="en-HK"/>
        </w:rPr>
        <w:t>: Sees void exclusions as robust protection (p. 234).</w:t>
      </w:r>
    </w:p>
    <w:p w14:paraId="78497E91"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Certainty Benefit</w:t>
      </w:r>
      <w:r w:rsidRPr="00914FB5">
        <w:rPr>
          <w:rFonts w:ascii="Times New Roman" w:hAnsi="Times New Roman"/>
          <w:lang w:val="en-HK"/>
        </w:rPr>
        <w:t>: Views blacklisting as clearer than Directive’s grey approach (p. 246).</w:t>
      </w:r>
    </w:p>
    <w:p w14:paraId="36897078"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lastRenderedPageBreak/>
        <w:t>Opinions on Gaps Causing Unfairness:</w:t>
      </w:r>
      <w:r w:rsidRPr="00914FB5">
        <w:rPr>
          <w:rFonts w:ascii="Times New Roman" w:hAnsi="Times New Roman"/>
          <w:lang w:val="en-HK"/>
        </w:rPr>
        <w:t xml:space="preserve"> Beale critiques UCTA’s narrow focus on exclusion and indemnity clauses, noting it misses other unfair terms (e.g., unilateral changes) caught by the Directive, limiting its fairness scope (pp. 239–240). He highlights exemptions like insurance as leaving significant gaps, and notes that allowing reasonable exclusions in non-consumer contracts risks unfairness where power is unequal (pp. 234, 238). He observes sparse consumer case law on reasonableness, suggesting underuse due to reliance on bans, which leaves grey areas unaddressed and potentially unfair (p. 235). He also questions whether general norms assumed by UCTA align with consumer desires, hinting at a fairness disconnect (p. 249).</w:t>
      </w:r>
    </w:p>
    <w:p w14:paraId="51AC85BB" w14:textId="77777777" w:rsidR="00914FB5" w:rsidRPr="00914FB5" w:rsidRDefault="00914FB5" w:rsidP="007229BB">
      <w:pPr>
        <w:spacing w:before="100" w:beforeAutospacing="1" w:after="240" w:line="360" w:lineRule="auto"/>
        <w:rPr>
          <w:rFonts w:ascii="Times New Roman" w:hAnsi="Times New Roman"/>
          <w:lang w:val="en-HK"/>
        </w:rPr>
      </w:pPr>
      <w:r w:rsidRPr="00914FB5">
        <w:rPr>
          <w:rFonts w:ascii="Times New Roman" w:hAnsi="Times New Roman"/>
          <w:b/>
          <w:bCs/>
          <w:lang w:val="en-HK"/>
        </w:rPr>
        <w:t>Limited Scope</w:t>
      </w:r>
      <w:r w:rsidRPr="00914FB5">
        <w:rPr>
          <w:rFonts w:ascii="Times New Roman" w:hAnsi="Times New Roman"/>
          <w:lang w:val="en-HK"/>
        </w:rPr>
        <w:t>: Sees focus on liability as missing broader unfairness (p. 239).</w:t>
      </w:r>
    </w:p>
    <w:p w14:paraId="6293447A" w14:textId="77777777" w:rsidR="00914FB5" w:rsidRPr="00914FB5" w:rsidRDefault="00914FB5" w:rsidP="007229BB">
      <w:pPr>
        <w:spacing w:before="100" w:beforeAutospacing="1" w:after="240" w:line="360" w:lineRule="auto"/>
        <w:rPr>
          <w:rFonts w:ascii="Times New Roman" w:hAnsi="Times New Roman"/>
          <w:lang w:val="en-HK"/>
        </w:rPr>
      </w:pPr>
      <w:r w:rsidRPr="00914FB5">
        <w:rPr>
          <w:rFonts w:ascii="Times New Roman" w:hAnsi="Times New Roman"/>
          <w:b/>
          <w:bCs/>
          <w:lang w:val="en-HK"/>
        </w:rPr>
        <w:t>Exemptions Gap</w:t>
      </w:r>
      <w:r w:rsidRPr="00914FB5">
        <w:rPr>
          <w:rFonts w:ascii="Times New Roman" w:hAnsi="Times New Roman"/>
          <w:lang w:val="en-HK"/>
        </w:rPr>
        <w:t>: Notes unprotected areas like insurance (p. 234).</w:t>
      </w:r>
    </w:p>
    <w:p w14:paraId="46B6EB97" w14:textId="77777777" w:rsidR="00914FB5" w:rsidRPr="00914FB5" w:rsidRDefault="00914FB5" w:rsidP="007229BB">
      <w:pPr>
        <w:spacing w:before="100" w:beforeAutospacing="1" w:after="240" w:line="360" w:lineRule="auto"/>
        <w:rPr>
          <w:rFonts w:ascii="Times New Roman" w:hAnsi="Times New Roman"/>
          <w:lang w:val="en-HK"/>
        </w:rPr>
      </w:pPr>
      <w:r w:rsidRPr="00914FB5">
        <w:rPr>
          <w:rFonts w:ascii="Times New Roman" w:hAnsi="Times New Roman"/>
          <w:b/>
          <w:bCs/>
          <w:lang w:val="en-HK"/>
        </w:rPr>
        <w:t>Business Risk</w:t>
      </w:r>
      <w:r w:rsidRPr="00914FB5">
        <w:rPr>
          <w:rFonts w:ascii="Times New Roman" w:hAnsi="Times New Roman"/>
          <w:lang w:val="en-HK"/>
        </w:rPr>
        <w:t xml:space="preserve">: Worries reasonable clauses may </w:t>
      </w:r>
      <w:proofErr w:type="spellStart"/>
      <w:r w:rsidRPr="00914FB5">
        <w:rPr>
          <w:rFonts w:ascii="Times New Roman" w:hAnsi="Times New Roman"/>
          <w:lang w:val="en-HK"/>
        </w:rPr>
        <w:t>favor</w:t>
      </w:r>
      <w:proofErr w:type="spellEnd"/>
      <w:r w:rsidRPr="00914FB5">
        <w:rPr>
          <w:rFonts w:ascii="Times New Roman" w:hAnsi="Times New Roman"/>
          <w:lang w:val="en-HK"/>
        </w:rPr>
        <w:t xml:space="preserve"> stronger parties (p. 234).</w:t>
      </w:r>
    </w:p>
    <w:p w14:paraId="7278CF94" w14:textId="77777777" w:rsidR="00914FB5" w:rsidRPr="00914FB5" w:rsidRDefault="00914FB5" w:rsidP="007229BB">
      <w:pPr>
        <w:spacing w:before="100" w:beforeAutospacing="1" w:after="240" w:line="360" w:lineRule="auto"/>
        <w:rPr>
          <w:rFonts w:ascii="Times New Roman" w:hAnsi="Times New Roman"/>
          <w:lang w:val="en-HK"/>
        </w:rPr>
      </w:pPr>
      <w:r w:rsidRPr="00914FB5">
        <w:rPr>
          <w:rFonts w:ascii="Times New Roman" w:hAnsi="Times New Roman"/>
          <w:b/>
          <w:bCs/>
          <w:lang w:val="en-HK"/>
        </w:rPr>
        <w:t>Case Law Shortfall</w:t>
      </w:r>
      <w:r w:rsidRPr="00914FB5">
        <w:rPr>
          <w:rFonts w:ascii="Times New Roman" w:hAnsi="Times New Roman"/>
          <w:lang w:val="en-HK"/>
        </w:rPr>
        <w:t>: Finds lack of guidance a fairness weakness (p. 235).</w:t>
      </w:r>
    </w:p>
    <w:p w14:paraId="1FC044CC" w14:textId="77777777" w:rsidR="00914FB5" w:rsidRPr="00914FB5" w:rsidRDefault="00914FB5" w:rsidP="00914FB5">
      <w:pPr>
        <w:spacing w:before="100" w:beforeAutospacing="1" w:after="240" w:line="360" w:lineRule="auto"/>
        <w:outlineLvl w:val="3"/>
        <w:rPr>
          <w:rFonts w:ascii="Times New Roman" w:hAnsi="Times New Roman"/>
          <w:b/>
          <w:bCs/>
          <w:lang w:val="en-HK"/>
        </w:rPr>
      </w:pPr>
      <w:r w:rsidRPr="00914FB5">
        <w:rPr>
          <w:rFonts w:ascii="Times New Roman" w:hAnsi="Times New Roman"/>
          <w:b/>
          <w:bCs/>
          <w:lang w:val="en-HK"/>
        </w:rPr>
        <w:t>Fair Trading Act 1973</w:t>
      </w:r>
    </w:p>
    <w:p w14:paraId="2E1C0C78"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Opinions on Promotion of Fairness:</w:t>
      </w:r>
      <w:r w:rsidRPr="00914FB5">
        <w:rPr>
          <w:rFonts w:ascii="Times New Roman" w:hAnsi="Times New Roman"/>
          <w:lang w:val="en-HK"/>
        </w:rPr>
        <w:t xml:space="preserve"> Beale views the Act as a supplementary fairness tool, with Part II’s criminalization of void terms (e.g., fitness exclusions) reinforcing UCTA and deterring unfair practices (p. 252). He supports Part III’s potential to address persistent unfair conduct, especially if expanded to cover unconscionable terms as proposed, aligning UK law with stronger foreign models (e.g., Australia) (pp. 252–253). He sees this public action as vital given individual litigation’s limits, complementing the Directive’s collective approach and enhancing systemic fairness (p. 251). He values negotiation efforts like Codes of Practice as preventive fairness measures (p. 251).</w:t>
      </w:r>
    </w:p>
    <w:p w14:paraId="05172094"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Criminal Deterrence</w:t>
      </w:r>
      <w:r w:rsidRPr="00914FB5">
        <w:rPr>
          <w:rFonts w:ascii="Times New Roman" w:hAnsi="Times New Roman"/>
          <w:lang w:val="en-HK"/>
        </w:rPr>
        <w:t>: Appreciates Part II’s reinforcement of fairness (p. 252).</w:t>
      </w:r>
    </w:p>
    <w:p w14:paraId="63497E18"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Conduct Oversight</w:t>
      </w:r>
      <w:r w:rsidRPr="00914FB5">
        <w:rPr>
          <w:rFonts w:ascii="Times New Roman" w:hAnsi="Times New Roman"/>
          <w:lang w:val="en-HK"/>
        </w:rPr>
        <w:t>: Supports Part III’s potential expansion for fairness (p. 253).</w:t>
      </w:r>
    </w:p>
    <w:p w14:paraId="15773EA1"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Public Role</w:t>
      </w:r>
      <w:r w:rsidRPr="00914FB5">
        <w:rPr>
          <w:rFonts w:ascii="Times New Roman" w:hAnsi="Times New Roman"/>
          <w:lang w:val="en-HK"/>
        </w:rPr>
        <w:t>: Sees it as essential alongside private remedies (p. 251).</w:t>
      </w:r>
    </w:p>
    <w:p w14:paraId="1AAA6D26"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Preventive Efforts</w:t>
      </w:r>
      <w:r w:rsidRPr="00914FB5">
        <w:rPr>
          <w:rFonts w:ascii="Times New Roman" w:hAnsi="Times New Roman"/>
          <w:lang w:val="en-HK"/>
        </w:rPr>
        <w:t>: Endorses Codes as proactive fairness tools (p. 251).</w:t>
      </w:r>
    </w:p>
    <w:p w14:paraId="172A094C"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lastRenderedPageBreak/>
        <w:t>Opinions on Gaps Causing Unfairness:</w:t>
      </w:r>
      <w:r w:rsidRPr="00914FB5">
        <w:rPr>
          <w:rFonts w:ascii="Times New Roman" w:hAnsi="Times New Roman"/>
          <w:lang w:val="en-HK"/>
        </w:rPr>
        <w:t xml:space="preserve"> Beale finds Part II too narrow, only targeting specific void terms, leaving most unfair terms unaddressed unless blacklisted, unlike the Directive’s scope (p. 252). He critiques Part III’s reliance on legal breaches, excluding standalone unfair terms without amendments, and notes its slow, cumbersome processes (e.g., assurances before orders) as reducing effectiveness (pp. 252–253). He doubts the proposed “unconscionable” standard would catch all harsh terms (e.g., cost-reducing ones), and highlights businesses’ continued use of invalid terms to deter claims, a gap unclosed by current powers (p. 254). He suggests broader Part III powers are needed to match Article 7 (p. 254).</w:t>
      </w:r>
    </w:p>
    <w:p w14:paraId="42B36ED1"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Narrow Term Focus</w:t>
      </w:r>
      <w:r w:rsidRPr="00914FB5">
        <w:rPr>
          <w:rFonts w:ascii="Times New Roman" w:hAnsi="Times New Roman"/>
          <w:lang w:val="en-HK"/>
        </w:rPr>
        <w:t>: Sees Part II as missing wider unfairness (p. 252).</w:t>
      </w:r>
    </w:p>
    <w:p w14:paraId="78AF2954"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Legal Breach Limit</w:t>
      </w:r>
      <w:r w:rsidRPr="00914FB5">
        <w:rPr>
          <w:rFonts w:ascii="Times New Roman" w:hAnsi="Times New Roman"/>
          <w:lang w:val="en-HK"/>
        </w:rPr>
        <w:t>: Notes Part III’s exclusion of standalone issues (p. 252).</w:t>
      </w:r>
    </w:p>
    <w:p w14:paraId="72D180CF"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Procedural Delay</w:t>
      </w:r>
      <w:r w:rsidRPr="00914FB5">
        <w:rPr>
          <w:rFonts w:ascii="Times New Roman" w:hAnsi="Times New Roman"/>
          <w:lang w:val="en-HK"/>
        </w:rPr>
        <w:t>: Criticizes slow enforcement as a fairness flaw (p. 252).</w:t>
      </w:r>
    </w:p>
    <w:p w14:paraId="6A478ACB" w14:textId="77777777" w:rsidR="00914FB5" w:rsidRPr="00914FB5" w:rsidRDefault="00914FB5" w:rsidP="00914FB5">
      <w:pPr>
        <w:spacing w:before="100" w:beforeAutospacing="1" w:after="240" w:line="360" w:lineRule="auto"/>
        <w:rPr>
          <w:rFonts w:ascii="Times New Roman" w:hAnsi="Times New Roman"/>
          <w:lang w:val="en-HK"/>
        </w:rPr>
      </w:pPr>
      <w:r w:rsidRPr="00914FB5">
        <w:rPr>
          <w:rFonts w:ascii="Times New Roman" w:hAnsi="Times New Roman"/>
          <w:b/>
          <w:bCs/>
          <w:lang w:val="en-HK"/>
        </w:rPr>
        <w:t>Persistent Use Gap</w:t>
      </w:r>
      <w:r w:rsidRPr="00914FB5">
        <w:rPr>
          <w:rFonts w:ascii="Times New Roman" w:hAnsi="Times New Roman"/>
          <w:lang w:val="en-HK"/>
        </w:rPr>
        <w:t>: Worries invalid terms still deter consumers (p. 254).</w:t>
      </w:r>
    </w:p>
    <w:p w14:paraId="1B560CDC" w14:textId="025636E2" w:rsidR="00914FB5" w:rsidRPr="00914FB5" w:rsidRDefault="00914FB5" w:rsidP="00914FB5">
      <w:pPr>
        <w:spacing w:before="100" w:beforeAutospacing="1" w:after="240" w:line="360" w:lineRule="auto"/>
        <w:rPr>
          <w:rFonts w:ascii="Times New Roman" w:hAnsi="Times New Roman"/>
          <w:lang w:val="en-HK"/>
        </w:rPr>
      </w:pPr>
    </w:p>
    <w:p w14:paraId="22EA8492" w14:textId="77777777" w:rsidR="00914FB5" w:rsidRPr="00914FB5" w:rsidRDefault="00914FB5" w:rsidP="00914FB5">
      <w:pPr>
        <w:spacing w:after="240" w:line="360" w:lineRule="auto"/>
      </w:pPr>
    </w:p>
    <w:sectPr w:rsidR="00914FB5" w:rsidRPr="00914F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707E6"/>
    <w:multiLevelType w:val="multilevel"/>
    <w:tmpl w:val="4916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930F7"/>
    <w:multiLevelType w:val="multilevel"/>
    <w:tmpl w:val="4382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C2E36"/>
    <w:multiLevelType w:val="multilevel"/>
    <w:tmpl w:val="10B8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822F1"/>
    <w:multiLevelType w:val="multilevel"/>
    <w:tmpl w:val="7C40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23F4D"/>
    <w:multiLevelType w:val="multilevel"/>
    <w:tmpl w:val="72E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A384B"/>
    <w:multiLevelType w:val="multilevel"/>
    <w:tmpl w:val="AD90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B52A2"/>
    <w:multiLevelType w:val="multilevel"/>
    <w:tmpl w:val="B2AA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5375B"/>
    <w:multiLevelType w:val="multilevel"/>
    <w:tmpl w:val="C99C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13C0D"/>
    <w:multiLevelType w:val="multilevel"/>
    <w:tmpl w:val="ED84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E6D8C"/>
    <w:multiLevelType w:val="multilevel"/>
    <w:tmpl w:val="DC4C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C67D9"/>
    <w:multiLevelType w:val="multilevel"/>
    <w:tmpl w:val="7652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E4E4E"/>
    <w:multiLevelType w:val="multilevel"/>
    <w:tmpl w:val="79E2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43A74"/>
    <w:multiLevelType w:val="multilevel"/>
    <w:tmpl w:val="7882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F6D70"/>
    <w:multiLevelType w:val="multilevel"/>
    <w:tmpl w:val="84CC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A1400"/>
    <w:multiLevelType w:val="multilevel"/>
    <w:tmpl w:val="CB98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84908"/>
    <w:multiLevelType w:val="multilevel"/>
    <w:tmpl w:val="1DD4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B1C87"/>
    <w:multiLevelType w:val="multilevel"/>
    <w:tmpl w:val="589E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7D4279"/>
    <w:multiLevelType w:val="multilevel"/>
    <w:tmpl w:val="C5BC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6471AF"/>
    <w:multiLevelType w:val="multilevel"/>
    <w:tmpl w:val="3A3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135966"/>
    <w:multiLevelType w:val="multilevel"/>
    <w:tmpl w:val="C7EA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206278">
    <w:abstractNumId w:val="16"/>
  </w:num>
  <w:num w:numId="2" w16cid:durableId="988096317">
    <w:abstractNumId w:val="17"/>
  </w:num>
  <w:num w:numId="3" w16cid:durableId="834299424">
    <w:abstractNumId w:val="0"/>
  </w:num>
  <w:num w:numId="4" w16cid:durableId="74859503">
    <w:abstractNumId w:val="10"/>
  </w:num>
  <w:num w:numId="5" w16cid:durableId="1888032103">
    <w:abstractNumId w:val="12"/>
  </w:num>
  <w:num w:numId="6" w16cid:durableId="11927695">
    <w:abstractNumId w:val="13"/>
  </w:num>
  <w:num w:numId="7" w16cid:durableId="421491412">
    <w:abstractNumId w:val="8"/>
  </w:num>
  <w:num w:numId="8" w16cid:durableId="1438940233">
    <w:abstractNumId w:val="19"/>
  </w:num>
  <w:num w:numId="9" w16cid:durableId="737558543">
    <w:abstractNumId w:val="14"/>
  </w:num>
  <w:num w:numId="10" w16cid:durableId="1610702335">
    <w:abstractNumId w:val="9"/>
  </w:num>
  <w:num w:numId="11" w16cid:durableId="1707178095">
    <w:abstractNumId w:val="15"/>
  </w:num>
  <w:num w:numId="12" w16cid:durableId="265507974">
    <w:abstractNumId w:val="3"/>
  </w:num>
  <w:num w:numId="13" w16cid:durableId="540167256">
    <w:abstractNumId w:val="7"/>
  </w:num>
  <w:num w:numId="14" w16cid:durableId="653098026">
    <w:abstractNumId w:val="5"/>
  </w:num>
  <w:num w:numId="15" w16cid:durableId="1697005052">
    <w:abstractNumId w:val="4"/>
  </w:num>
  <w:num w:numId="16" w16cid:durableId="1563911162">
    <w:abstractNumId w:val="11"/>
  </w:num>
  <w:num w:numId="17" w16cid:durableId="979501292">
    <w:abstractNumId w:val="6"/>
  </w:num>
  <w:num w:numId="18" w16cid:durableId="1277325393">
    <w:abstractNumId w:val="18"/>
  </w:num>
  <w:num w:numId="19" w16cid:durableId="251283320">
    <w:abstractNumId w:val="1"/>
  </w:num>
  <w:num w:numId="20" w16cid:durableId="9725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01C"/>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0F5868"/>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06DE"/>
    <w:rsid w:val="002F1DB1"/>
    <w:rsid w:val="002F20B2"/>
    <w:rsid w:val="002F53C9"/>
    <w:rsid w:val="003048A0"/>
    <w:rsid w:val="0031138E"/>
    <w:rsid w:val="0031474F"/>
    <w:rsid w:val="00315815"/>
    <w:rsid w:val="0032656E"/>
    <w:rsid w:val="003278F5"/>
    <w:rsid w:val="00330665"/>
    <w:rsid w:val="00341960"/>
    <w:rsid w:val="00342A18"/>
    <w:rsid w:val="003435C9"/>
    <w:rsid w:val="00357561"/>
    <w:rsid w:val="00361344"/>
    <w:rsid w:val="0036177C"/>
    <w:rsid w:val="00361975"/>
    <w:rsid w:val="00376E23"/>
    <w:rsid w:val="0039416B"/>
    <w:rsid w:val="003A1271"/>
    <w:rsid w:val="003A5DF7"/>
    <w:rsid w:val="003B3510"/>
    <w:rsid w:val="003C116C"/>
    <w:rsid w:val="003D0CDD"/>
    <w:rsid w:val="003D710F"/>
    <w:rsid w:val="003E1CAA"/>
    <w:rsid w:val="003F66C5"/>
    <w:rsid w:val="0040210F"/>
    <w:rsid w:val="00412F9B"/>
    <w:rsid w:val="004222FD"/>
    <w:rsid w:val="004319FA"/>
    <w:rsid w:val="00442F56"/>
    <w:rsid w:val="0044616D"/>
    <w:rsid w:val="00474DD1"/>
    <w:rsid w:val="004751B5"/>
    <w:rsid w:val="0048097D"/>
    <w:rsid w:val="004816F7"/>
    <w:rsid w:val="0048175B"/>
    <w:rsid w:val="004829F2"/>
    <w:rsid w:val="004845CE"/>
    <w:rsid w:val="0049450A"/>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72197"/>
    <w:rsid w:val="0068027B"/>
    <w:rsid w:val="006B7BA3"/>
    <w:rsid w:val="006C42B8"/>
    <w:rsid w:val="006C50C7"/>
    <w:rsid w:val="006D1612"/>
    <w:rsid w:val="00713CA9"/>
    <w:rsid w:val="007229BB"/>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72"/>
    <w:rsid w:val="00845AB5"/>
    <w:rsid w:val="00850813"/>
    <w:rsid w:val="00861B11"/>
    <w:rsid w:val="008829C2"/>
    <w:rsid w:val="008A54BE"/>
    <w:rsid w:val="008B2AB5"/>
    <w:rsid w:val="008C7B0A"/>
    <w:rsid w:val="008D0642"/>
    <w:rsid w:val="008E43C2"/>
    <w:rsid w:val="008E745B"/>
    <w:rsid w:val="008F4EA7"/>
    <w:rsid w:val="008F5A10"/>
    <w:rsid w:val="00905ED0"/>
    <w:rsid w:val="00914FB5"/>
    <w:rsid w:val="0092269A"/>
    <w:rsid w:val="00931EAF"/>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401C"/>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5E4B"/>
    <w:rsid w:val="00CF74EF"/>
    <w:rsid w:val="00D01E71"/>
    <w:rsid w:val="00D02AC8"/>
    <w:rsid w:val="00D0623C"/>
    <w:rsid w:val="00D07271"/>
    <w:rsid w:val="00D16917"/>
    <w:rsid w:val="00D64DCE"/>
    <w:rsid w:val="00D65735"/>
    <w:rsid w:val="00D715E8"/>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ECA75A"/>
  <w15:chartTrackingRefBased/>
  <w15:docId w15:val="{4E34C347-58B2-1F4B-AF5A-CBEB66D2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A340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0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401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3401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3401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3401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401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401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401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01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A3401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A3401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A3401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A3401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A3401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A3401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A3401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A3401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A340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01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A3401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01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A340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401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A3401C"/>
    <w:pPr>
      <w:ind w:left="720"/>
      <w:contextualSpacing/>
    </w:pPr>
  </w:style>
  <w:style w:type="character" w:styleId="IntenseEmphasis">
    <w:name w:val="Intense Emphasis"/>
    <w:basedOn w:val="DefaultParagraphFont"/>
    <w:uiPriority w:val="21"/>
    <w:qFormat/>
    <w:rsid w:val="00A3401C"/>
    <w:rPr>
      <w:i/>
      <w:iCs/>
      <w:color w:val="2F5496" w:themeColor="accent1" w:themeShade="BF"/>
    </w:rPr>
  </w:style>
  <w:style w:type="paragraph" w:styleId="IntenseQuote">
    <w:name w:val="Intense Quote"/>
    <w:basedOn w:val="Normal"/>
    <w:next w:val="Normal"/>
    <w:link w:val="IntenseQuoteChar"/>
    <w:uiPriority w:val="30"/>
    <w:qFormat/>
    <w:rsid w:val="00A34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01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A3401C"/>
    <w:rPr>
      <w:b/>
      <w:bCs/>
      <w:smallCaps/>
      <w:color w:val="2F5496" w:themeColor="accent1" w:themeShade="BF"/>
      <w:spacing w:val="5"/>
    </w:rPr>
  </w:style>
  <w:style w:type="character" w:styleId="Strong">
    <w:name w:val="Strong"/>
    <w:basedOn w:val="DefaultParagraphFont"/>
    <w:uiPriority w:val="22"/>
    <w:qFormat/>
    <w:rsid w:val="00914FB5"/>
    <w:rPr>
      <w:b/>
      <w:bCs/>
    </w:rPr>
  </w:style>
  <w:style w:type="paragraph" w:customStyle="1" w:styleId="break-words">
    <w:name w:val="break-words"/>
    <w:basedOn w:val="Normal"/>
    <w:rsid w:val="00914FB5"/>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914F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2439326">
      <w:bodyDiv w:val="1"/>
      <w:marLeft w:val="0"/>
      <w:marRight w:val="0"/>
      <w:marTop w:val="0"/>
      <w:marBottom w:val="0"/>
      <w:divBdr>
        <w:top w:val="none" w:sz="0" w:space="0" w:color="auto"/>
        <w:left w:val="none" w:sz="0" w:space="0" w:color="auto"/>
        <w:bottom w:val="none" w:sz="0" w:space="0" w:color="auto"/>
        <w:right w:val="none" w:sz="0" w:space="0" w:color="auto"/>
      </w:divBdr>
      <w:divsChild>
        <w:div w:id="557202260">
          <w:marLeft w:val="0"/>
          <w:marRight w:val="0"/>
          <w:marTop w:val="0"/>
          <w:marBottom w:val="0"/>
          <w:divBdr>
            <w:top w:val="none" w:sz="0" w:space="0" w:color="auto"/>
            <w:left w:val="none" w:sz="0" w:space="0" w:color="auto"/>
            <w:bottom w:val="none" w:sz="0" w:space="0" w:color="auto"/>
            <w:right w:val="none" w:sz="0" w:space="0" w:color="auto"/>
          </w:divBdr>
        </w:div>
      </w:divsChild>
    </w:div>
    <w:div w:id="495649254">
      <w:bodyDiv w:val="1"/>
      <w:marLeft w:val="0"/>
      <w:marRight w:val="0"/>
      <w:marTop w:val="0"/>
      <w:marBottom w:val="0"/>
      <w:divBdr>
        <w:top w:val="none" w:sz="0" w:space="0" w:color="auto"/>
        <w:left w:val="none" w:sz="0" w:space="0" w:color="auto"/>
        <w:bottom w:val="none" w:sz="0" w:space="0" w:color="auto"/>
        <w:right w:val="none" w:sz="0" w:space="0" w:color="auto"/>
      </w:divBdr>
      <w:divsChild>
        <w:div w:id="148250507">
          <w:marLeft w:val="0"/>
          <w:marRight w:val="0"/>
          <w:marTop w:val="0"/>
          <w:marBottom w:val="0"/>
          <w:divBdr>
            <w:top w:val="none" w:sz="0" w:space="0" w:color="auto"/>
            <w:left w:val="none" w:sz="0" w:space="0" w:color="auto"/>
            <w:bottom w:val="none" w:sz="0" w:space="0" w:color="auto"/>
            <w:right w:val="none" w:sz="0" w:space="0" w:color="auto"/>
          </w:divBdr>
        </w:div>
      </w:divsChild>
    </w:div>
    <w:div w:id="538935188">
      <w:bodyDiv w:val="1"/>
      <w:marLeft w:val="0"/>
      <w:marRight w:val="0"/>
      <w:marTop w:val="0"/>
      <w:marBottom w:val="0"/>
      <w:divBdr>
        <w:top w:val="none" w:sz="0" w:space="0" w:color="auto"/>
        <w:left w:val="none" w:sz="0" w:space="0" w:color="auto"/>
        <w:bottom w:val="none" w:sz="0" w:space="0" w:color="auto"/>
        <w:right w:val="none" w:sz="0" w:space="0" w:color="auto"/>
      </w:divBdr>
      <w:divsChild>
        <w:div w:id="1080104482">
          <w:marLeft w:val="0"/>
          <w:marRight w:val="0"/>
          <w:marTop w:val="0"/>
          <w:marBottom w:val="0"/>
          <w:divBdr>
            <w:top w:val="none" w:sz="0" w:space="0" w:color="auto"/>
            <w:left w:val="none" w:sz="0" w:space="0" w:color="auto"/>
            <w:bottom w:val="none" w:sz="0" w:space="0" w:color="auto"/>
            <w:right w:val="none" w:sz="0" w:space="0" w:color="auto"/>
          </w:divBdr>
        </w:div>
      </w:divsChild>
    </w:div>
    <w:div w:id="1293364012">
      <w:bodyDiv w:val="1"/>
      <w:marLeft w:val="0"/>
      <w:marRight w:val="0"/>
      <w:marTop w:val="0"/>
      <w:marBottom w:val="0"/>
      <w:divBdr>
        <w:top w:val="none" w:sz="0" w:space="0" w:color="auto"/>
        <w:left w:val="none" w:sz="0" w:space="0" w:color="auto"/>
        <w:bottom w:val="none" w:sz="0" w:space="0" w:color="auto"/>
        <w:right w:val="none" w:sz="0" w:space="0" w:color="auto"/>
      </w:divBdr>
      <w:divsChild>
        <w:div w:id="1587036210">
          <w:marLeft w:val="0"/>
          <w:marRight w:val="0"/>
          <w:marTop w:val="0"/>
          <w:marBottom w:val="0"/>
          <w:divBdr>
            <w:top w:val="none" w:sz="0" w:space="0" w:color="auto"/>
            <w:left w:val="none" w:sz="0" w:space="0" w:color="auto"/>
            <w:bottom w:val="none" w:sz="0" w:space="0" w:color="auto"/>
            <w:right w:val="none" w:sz="0" w:space="0" w:color="auto"/>
          </w:divBdr>
        </w:div>
      </w:divsChild>
    </w:div>
    <w:div w:id="1833830061">
      <w:bodyDiv w:val="1"/>
      <w:marLeft w:val="0"/>
      <w:marRight w:val="0"/>
      <w:marTop w:val="0"/>
      <w:marBottom w:val="0"/>
      <w:divBdr>
        <w:top w:val="none" w:sz="0" w:space="0" w:color="auto"/>
        <w:left w:val="none" w:sz="0" w:space="0" w:color="auto"/>
        <w:bottom w:val="none" w:sz="0" w:space="0" w:color="auto"/>
        <w:right w:val="none" w:sz="0" w:space="0" w:color="auto"/>
      </w:divBdr>
      <w:divsChild>
        <w:div w:id="13777048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3961</Words>
  <Characters>22583</Characters>
  <Application>Microsoft Office Word</Application>
  <DocSecurity>0</DocSecurity>
  <Lines>188</Lines>
  <Paragraphs>52</Paragraphs>
  <ScaleCrop>false</ScaleCrop>
  <Company/>
  <LinksUpToDate>false</LinksUpToDate>
  <CharactersWithSpaces>26492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2025-03-05T09:06:00Z</dcterms:created>
  <dcterms:modified xsi:type="dcterms:W3CDTF">2025-03-05T09:23:00Z</dcterms:modified>
</cp:coreProperties>
</file>