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05997" w14:textId="7BEF7CEE" w:rsidR="00B61283" w:rsidRPr="00477469" w:rsidRDefault="00477469" w:rsidP="001F2C8A">
      <w:pPr>
        <w:pStyle w:val="Title"/>
        <w:rPr>
          <w:rFonts w:cs="Arial"/>
          <w:sz w:val="36"/>
          <w:szCs w:val="36"/>
        </w:rPr>
      </w:pPr>
      <w:r>
        <w:rPr>
          <w:rFonts w:cs="Arial"/>
          <w:sz w:val="36"/>
          <w:szCs w:val="36"/>
        </w:rPr>
        <w:t xml:space="preserve">Lecture </w:t>
      </w:r>
      <w:r w:rsidR="00B544C7">
        <w:rPr>
          <w:rFonts w:cs="Arial"/>
          <w:sz w:val="36"/>
          <w:szCs w:val="36"/>
        </w:rPr>
        <w:t>6</w:t>
      </w:r>
      <w:r>
        <w:rPr>
          <w:rFonts w:cs="Arial"/>
          <w:sz w:val="36"/>
          <w:szCs w:val="36"/>
        </w:rPr>
        <w:t xml:space="preserve">: </w:t>
      </w:r>
      <w:r w:rsidR="003171E0">
        <w:rPr>
          <w:rFonts w:cs="Arial"/>
          <w:sz w:val="36"/>
          <w:szCs w:val="36"/>
        </w:rPr>
        <w:t>COnsent as a defence to NFOAP</w:t>
      </w:r>
    </w:p>
    <w:p w14:paraId="69FD5C45" w14:textId="319E5686" w:rsidR="00F931A6" w:rsidRPr="00477469" w:rsidRDefault="00F931A6" w:rsidP="00F931A6">
      <w:pPr>
        <w:rPr>
          <w:rFonts w:cs="Arial"/>
        </w:rPr>
      </w:pPr>
    </w:p>
    <w:p w14:paraId="02BC702E" w14:textId="1B2D0787" w:rsidR="00635E56" w:rsidRDefault="00635E56" w:rsidP="005433CD">
      <w:pPr>
        <w:pStyle w:val="Heading3"/>
        <w:rPr>
          <w:rFonts w:cs="Arial"/>
        </w:rPr>
      </w:pPr>
      <w:r>
        <w:rPr>
          <w:rFonts w:cs="Arial"/>
        </w:rPr>
        <w:t>Trigger/Content Warnings</w:t>
      </w:r>
    </w:p>
    <w:p w14:paraId="2D077AE4" w14:textId="77777777" w:rsidR="00635E56" w:rsidRDefault="00635E56" w:rsidP="005433CD">
      <w:pPr>
        <w:pStyle w:val="Heading3"/>
        <w:rPr>
          <w:rFonts w:cs="Arial"/>
        </w:rPr>
      </w:pPr>
    </w:p>
    <w:p w14:paraId="67FA2917" w14:textId="017D3235" w:rsidR="00635E56" w:rsidRDefault="00635E56" w:rsidP="00635E56">
      <w:pPr>
        <w:pStyle w:val="ListParagraph"/>
        <w:numPr>
          <w:ilvl w:val="0"/>
          <w:numId w:val="2"/>
        </w:numPr>
        <w:jc w:val="both"/>
        <w:rPr>
          <w:rFonts w:cs="Arial"/>
        </w:rPr>
      </w:pPr>
      <w:r>
        <w:rPr>
          <w:rFonts w:cs="Arial"/>
        </w:rPr>
        <w:t>R v Brown [1994] AC 212 [sado-masochistic sexual activity]</w:t>
      </w:r>
    </w:p>
    <w:p w14:paraId="7A60ABD7" w14:textId="7992965E" w:rsidR="00635E56" w:rsidRDefault="00635E56" w:rsidP="00635E56">
      <w:pPr>
        <w:pStyle w:val="ListParagraph"/>
        <w:numPr>
          <w:ilvl w:val="0"/>
          <w:numId w:val="2"/>
        </w:numPr>
        <w:jc w:val="both"/>
        <w:rPr>
          <w:rFonts w:cs="Arial"/>
        </w:rPr>
      </w:pPr>
      <w:r w:rsidRPr="003171E0">
        <w:rPr>
          <w:rFonts w:cs="Arial"/>
        </w:rPr>
        <w:t>R v Dica [2004] QB 1257</w:t>
      </w:r>
      <w:r>
        <w:rPr>
          <w:rFonts w:cs="Arial"/>
        </w:rPr>
        <w:t xml:space="preserve"> [STD-transmission]</w:t>
      </w:r>
    </w:p>
    <w:p w14:paraId="66AFEAB4" w14:textId="76ACE161" w:rsidR="00635E56" w:rsidRDefault="00635E56" w:rsidP="00635E56">
      <w:pPr>
        <w:pStyle w:val="ListParagraph"/>
        <w:numPr>
          <w:ilvl w:val="0"/>
          <w:numId w:val="2"/>
        </w:numPr>
        <w:jc w:val="both"/>
        <w:rPr>
          <w:rFonts w:cs="Arial"/>
        </w:rPr>
      </w:pPr>
      <w:r>
        <w:rPr>
          <w:rFonts w:cs="Arial"/>
        </w:rPr>
        <w:t xml:space="preserve">R v </w:t>
      </w:r>
      <w:r w:rsidRPr="00635E56">
        <w:rPr>
          <w:rFonts w:cs="Arial"/>
        </w:rPr>
        <w:t>Konzani [2005] EWCA Crim 706 [STD-transmission]</w:t>
      </w:r>
    </w:p>
    <w:p w14:paraId="380250F2" w14:textId="7C0E70D3" w:rsidR="00635E56" w:rsidRPr="00635E56" w:rsidRDefault="00635E56" w:rsidP="00635E56">
      <w:pPr>
        <w:pStyle w:val="ListParagraph"/>
        <w:numPr>
          <w:ilvl w:val="0"/>
          <w:numId w:val="2"/>
        </w:numPr>
        <w:jc w:val="both"/>
        <w:rPr>
          <w:rFonts w:cs="Arial"/>
        </w:rPr>
      </w:pPr>
      <w:r w:rsidRPr="00635E56">
        <w:rPr>
          <w:rFonts w:cs="Arial"/>
        </w:rPr>
        <w:t>R v Mobilio [1991] 1 VR 339 [vaginal insertion/deception]</w:t>
      </w:r>
    </w:p>
    <w:p w14:paraId="6BAD576A" w14:textId="30F5ACF5" w:rsidR="00635E56" w:rsidRPr="00635E56" w:rsidRDefault="00635E56" w:rsidP="00635E56">
      <w:pPr>
        <w:pStyle w:val="ListParagraph"/>
        <w:numPr>
          <w:ilvl w:val="0"/>
          <w:numId w:val="2"/>
        </w:numPr>
        <w:jc w:val="both"/>
        <w:rPr>
          <w:rFonts w:cs="Arial"/>
        </w:rPr>
      </w:pPr>
      <w:r>
        <w:rPr>
          <w:rFonts w:cs="Arial"/>
        </w:rPr>
        <w:t xml:space="preserve">R  v </w:t>
      </w:r>
      <w:r w:rsidRPr="00635E56">
        <w:rPr>
          <w:rFonts w:cs="Arial"/>
        </w:rPr>
        <w:t>Wilson [1996] Crim LR 573 [body branding]</w:t>
      </w:r>
    </w:p>
    <w:p w14:paraId="02B97D58" w14:textId="77777777" w:rsidR="00635E56" w:rsidRPr="00635E56" w:rsidRDefault="00635E56" w:rsidP="00635E56"/>
    <w:p w14:paraId="4D985893" w14:textId="12283F0C" w:rsidR="005433CD" w:rsidRPr="00477469" w:rsidRDefault="005433CD" w:rsidP="005433CD">
      <w:pPr>
        <w:pStyle w:val="Heading3"/>
        <w:rPr>
          <w:rFonts w:cs="Arial"/>
        </w:rPr>
      </w:pPr>
      <w:r w:rsidRPr="00477469">
        <w:rPr>
          <w:rFonts w:cs="Arial"/>
        </w:rPr>
        <w:t>Required textbook reading</w:t>
      </w:r>
      <w:r w:rsidR="00477469">
        <w:rPr>
          <w:rFonts w:cs="Arial"/>
        </w:rPr>
        <w:t xml:space="preserve"> </w:t>
      </w:r>
    </w:p>
    <w:p w14:paraId="0920FE51" w14:textId="6A837D15" w:rsidR="00D62FA9" w:rsidRPr="00477469" w:rsidRDefault="00F44164">
      <w:pPr>
        <w:pStyle w:val="ListParagraph"/>
        <w:numPr>
          <w:ilvl w:val="0"/>
          <w:numId w:val="2"/>
        </w:numPr>
        <w:rPr>
          <w:rFonts w:cs="Arial"/>
        </w:rPr>
      </w:pPr>
      <w:r>
        <w:rPr>
          <w:rFonts w:cs="Arial"/>
        </w:rPr>
        <w:t xml:space="preserve">John Child &amp; David Ormerod, </w:t>
      </w:r>
      <w:r>
        <w:rPr>
          <w:rFonts w:cs="Arial"/>
          <w:i/>
          <w:iCs/>
        </w:rPr>
        <w:t xml:space="preserve">Smith, Hogan and Ormerod’s Essentials of </w:t>
      </w:r>
      <w:r w:rsidR="00621E9D" w:rsidRPr="00477469">
        <w:rPr>
          <w:rFonts w:cs="Arial"/>
          <w:i/>
          <w:iCs/>
        </w:rPr>
        <w:t>Criminal Law</w:t>
      </w:r>
      <w:r w:rsidR="00621E9D" w:rsidRPr="00477469">
        <w:rPr>
          <w:rFonts w:cs="Arial"/>
        </w:rPr>
        <w:t xml:space="preserve"> (</w:t>
      </w:r>
      <w:r>
        <w:rPr>
          <w:rFonts w:cs="Arial"/>
        </w:rPr>
        <w:t>5</w:t>
      </w:r>
      <w:r w:rsidRPr="00F44164">
        <w:rPr>
          <w:rFonts w:cs="Arial"/>
          <w:vertAlign w:val="superscript"/>
        </w:rPr>
        <w:t>th</w:t>
      </w:r>
      <w:r>
        <w:rPr>
          <w:rFonts w:cs="Arial"/>
        </w:rPr>
        <w:t xml:space="preserve"> edn OUP, 2023</w:t>
      </w:r>
      <w:r w:rsidR="00621E9D" w:rsidRPr="00477469">
        <w:rPr>
          <w:rFonts w:cs="Arial"/>
        </w:rPr>
        <w:t xml:space="preserve">), </w:t>
      </w:r>
      <w:r w:rsidR="003171E0">
        <w:rPr>
          <w:rFonts w:cs="Arial"/>
        </w:rPr>
        <w:t xml:space="preserve">chapter </w:t>
      </w:r>
      <w:r>
        <w:rPr>
          <w:rFonts w:cs="Arial"/>
        </w:rPr>
        <w:t>7, sections 7.3, 7.8, and 7.10.4.</w:t>
      </w:r>
    </w:p>
    <w:p w14:paraId="3E14AB74" w14:textId="77777777" w:rsidR="00F342CD" w:rsidRPr="00477469" w:rsidRDefault="00F342CD" w:rsidP="00D62FA9">
      <w:pPr>
        <w:rPr>
          <w:rFonts w:cs="Arial"/>
        </w:rPr>
      </w:pPr>
      <w:bookmarkStart w:id="0" w:name="_Hlk146704819"/>
    </w:p>
    <w:p w14:paraId="40F16BDC" w14:textId="2B6C919F" w:rsidR="00954E7D" w:rsidRPr="00477469" w:rsidRDefault="00954E7D" w:rsidP="00954E7D">
      <w:pPr>
        <w:pStyle w:val="Heading3"/>
        <w:rPr>
          <w:rFonts w:cs="Arial"/>
        </w:rPr>
      </w:pPr>
      <w:bookmarkStart w:id="1" w:name="_Hlk146704796"/>
      <w:r w:rsidRPr="00477469">
        <w:rPr>
          <w:rFonts w:cs="Arial"/>
        </w:rPr>
        <w:t>Required cases</w:t>
      </w:r>
      <w:r w:rsidR="00762EF2" w:rsidRPr="00477469">
        <w:rPr>
          <w:rFonts w:cs="Arial"/>
        </w:rPr>
        <w:t xml:space="preserve"> to</w:t>
      </w:r>
      <w:r w:rsidRPr="00477469">
        <w:rPr>
          <w:rFonts w:cs="Arial"/>
        </w:rPr>
        <w:t xml:space="preserve"> read</w:t>
      </w:r>
    </w:p>
    <w:bookmarkEnd w:id="0"/>
    <w:bookmarkEnd w:id="1"/>
    <w:p w14:paraId="7CB373DF" w14:textId="14CCA7A3" w:rsidR="00087D69" w:rsidRDefault="003171E0">
      <w:pPr>
        <w:pStyle w:val="ListParagraph"/>
        <w:numPr>
          <w:ilvl w:val="0"/>
          <w:numId w:val="2"/>
        </w:numPr>
        <w:jc w:val="both"/>
        <w:rPr>
          <w:rFonts w:cs="Arial"/>
        </w:rPr>
      </w:pPr>
      <w:r>
        <w:rPr>
          <w:rFonts w:cs="Arial"/>
        </w:rPr>
        <w:t>R v Brown [1994] AC 212</w:t>
      </w:r>
    </w:p>
    <w:p w14:paraId="06C23DD4" w14:textId="5991A621" w:rsidR="003171E0" w:rsidRDefault="003171E0">
      <w:pPr>
        <w:pStyle w:val="ListParagraph"/>
        <w:numPr>
          <w:ilvl w:val="0"/>
          <w:numId w:val="2"/>
        </w:numPr>
        <w:jc w:val="both"/>
        <w:rPr>
          <w:rFonts w:cs="Arial"/>
        </w:rPr>
      </w:pPr>
      <w:r w:rsidRPr="003171E0">
        <w:rPr>
          <w:rFonts w:cs="Arial"/>
        </w:rPr>
        <w:t>Aitken [1992] 1 WLR 1006</w:t>
      </w:r>
    </w:p>
    <w:p w14:paraId="439F2B10" w14:textId="3D0F5867" w:rsidR="003171E0" w:rsidRDefault="003171E0">
      <w:pPr>
        <w:pStyle w:val="ListParagraph"/>
        <w:numPr>
          <w:ilvl w:val="0"/>
          <w:numId w:val="2"/>
        </w:numPr>
        <w:jc w:val="both"/>
        <w:rPr>
          <w:rFonts w:cs="Arial"/>
        </w:rPr>
      </w:pPr>
      <w:r w:rsidRPr="003171E0">
        <w:rPr>
          <w:rFonts w:cs="Arial"/>
        </w:rPr>
        <w:t>R v Dica [2004] QB 1257</w:t>
      </w:r>
    </w:p>
    <w:p w14:paraId="7DBFFF7B" w14:textId="6A8B2E6B" w:rsidR="00AE6016" w:rsidRPr="00477469" w:rsidRDefault="00AE6016" w:rsidP="00AE6016">
      <w:pPr>
        <w:pStyle w:val="Heading3"/>
        <w:rPr>
          <w:rFonts w:cs="Arial"/>
        </w:rPr>
      </w:pPr>
      <w:r w:rsidRPr="00477469">
        <w:rPr>
          <w:rFonts w:cs="Arial"/>
        </w:rPr>
        <w:t>Further reading</w:t>
      </w:r>
    </w:p>
    <w:p w14:paraId="021BDF95" w14:textId="4D5E8B1D" w:rsidR="00AE6016" w:rsidRPr="00477469" w:rsidRDefault="00AE6016" w:rsidP="00F931A6">
      <w:pPr>
        <w:rPr>
          <w:rFonts w:cs="Arial"/>
        </w:rPr>
      </w:pPr>
    </w:p>
    <w:p w14:paraId="3F2278AD" w14:textId="1C7A2585" w:rsidR="00E17602" w:rsidRDefault="00E17602" w:rsidP="00477469">
      <w:pPr>
        <w:spacing w:line="240" w:lineRule="auto"/>
        <w:rPr>
          <w:rFonts w:cs="Arial"/>
        </w:rPr>
      </w:pPr>
      <w:r w:rsidRPr="00477469">
        <w:rPr>
          <w:rFonts w:cs="Arial"/>
        </w:rPr>
        <w:t xml:space="preserve">For further reading for this topic see the module </w:t>
      </w:r>
      <w:hyperlink r:id="rId8" w:history="1">
        <w:r w:rsidRPr="00477469">
          <w:rPr>
            <w:rStyle w:val="Hyperlink"/>
            <w:rFonts w:cs="Arial"/>
          </w:rPr>
          <w:t>Talis Aspire reading list</w:t>
        </w:r>
      </w:hyperlink>
      <w:r w:rsidRPr="00477469">
        <w:rPr>
          <w:rFonts w:cs="Arial"/>
        </w:rPr>
        <w:t>.</w:t>
      </w:r>
    </w:p>
    <w:p w14:paraId="14FE19D7" w14:textId="77777777" w:rsidR="00477469" w:rsidRPr="00477469" w:rsidRDefault="00477469" w:rsidP="00477469">
      <w:pPr>
        <w:spacing w:line="240" w:lineRule="auto"/>
        <w:rPr>
          <w:rFonts w:cs="Arial"/>
        </w:rPr>
      </w:pPr>
    </w:p>
    <w:p w14:paraId="39717D36" w14:textId="4BBCFE90" w:rsidR="00477469" w:rsidRDefault="00AE6016" w:rsidP="00477469">
      <w:pPr>
        <w:spacing w:line="240" w:lineRule="auto"/>
        <w:rPr>
          <w:rFonts w:cs="Arial"/>
        </w:rPr>
      </w:pPr>
      <w:r w:rsidRPr="00477469">
        <w:rPr>
          <w:rFonts w:cs="Arial"/>
          <w:b/>
          <w:bCs/>
        </w:rPr>
        <w:t>Review the sections:</w:t>
      </w:r>
      <w:r w:rsidRPr="00477469">
        <w:rPr>
          <w:rFonts w:cs="Arial"/>
        </w:rPr>
        <w:t xml:space="preserve"> </w:t>
      </w:r>
      <w:r w:rsidR="001509E6">
        <w:rPr>
          <w:rFonts w:cs="Arial"/>
        </w:rPr>
        <w:t>Consent and STD transmission.</w:t>
      </w:r>
      <w:r w:rsidR="00477469" w:rsidRPr="00477469">
        <w:rPr>
          <w:rFonts w:cs="Arial"/>
        </w:rPr>
        <w:t xml:space="preserve"> </w:t>
      </w:r>
    </w:p>
    <w:p w14:paraId="3414E9FA" w14:textId="77777777" w:rsidR="00477469" w:rsidRDefault="00477469" w:rsidP="00477469">
      <w:pPr>
        <w:spacing w:line="240" w:lineRule="auto"/>
        <w:rPr>
          <w:rFonts w:cs="Arial"/>
        </w:rPr>
      </w:pPr>
    </w:p>
    <w:p w14:paraId="7A101D09" w14:textId="51DD5BBB" w:rsidR="00AE6016" w:rsidRPr="00477469" w:rsidRDefault="00477469" w:rsidP="00477469">
      <w:pPr>
        <w:spacing w:line="240" w:lineRule="auto"/>
        <w:rPr>
          <w:rFonts w:cs="Arial"/>
        </w:rPr>
      </w:pPr>
      <w:r w:rsidRPr="00477469">
        <w:rPr>
          <w:rFonts w:cs="Arial"/>
        </w:rPr>
        <w:t>Please note that you are not expected to undertake all of the further reading. You may choose certain readings to further your understanding where needed or if you have an interest in a particular topic.</w:t>
      </w:r>
      <w:r>
        <w:rPr>
          <w:rFonts w:cs="Arial"/>
        </w:rPr>
        <w:t xml:space="preserve"> Further required reading will be provided for seminar 1.</w:t>
      </w:r>
    </w:p>
    <w:p w14:paraId="582608F3" w14:textId="77777777" w:rsidR="00A37859" w:rsidRPr="00477469" w:rsidRDefault="00A37859" w:rsidP="00E17602">
      <w:pPr>
        <w:rPr>
          <w:rFonts w:cs="Arial"/>
        </w:rPr>
      </w:pPr>
    </w:p>
    <w:p w14:paraId="0F467D4D" w14:textId="5F2B8881" w:rsidR="00592EB8" w:rsidRPr="00477469" w:rsidRDefault="00477469" w:rsidP="00592EB8">
      <w:pPr>
        <w:pStyle w:val="Heading1"/>
        <w:rPr>
          <w:rFonts w:cs="Arial"/>
          <w:szCs w:val="36"/>
        </w:rPr>
      </w:pPr>
      <w:r w:rsidRPr="00477469">
        <w:rPr>
          <w:rFonts w:cs="Arial"/>
          <w:szCs w:val="36"/>
        </w:rPr>
        <w:t>Introduction</w:t>
      </w:r>
    </w:p>
    <w:p w14:paraId="1143198E" w14:textId="7DB5926D" w:rsidR="009A6F3D" w:rsidRDefault="009A6F3D" w:rsidP="008F0740">
      <w:pPr>
        <w:jc w:val="both"/>
        <w:rPr>
          <w:rFonts w:cs="Arial"/>
        </w:rPr>
      </w:pPr>
    </w:p>
    <w:p w14:paraId="0CD68F3F" w14:textId="18D1428E" w:rsidR="003171E0" w:rsidRDefault="001509E6" w:rsidP="003171E0">
      <w:pPr>
        <w:spacing w:line="240" w:lineRule="auto"/>
        <w:jc w:val="both"/>
        <w:rPr>
          <w:rFonts w:ascii="Cambria" w:hAnsi="Cambria" w:cs="Arial"/>
        </w:rPr>
      </w:pPr>
      <w:r>
        <w:rPr>
          <w:rFonts w:ascii="Cambria" w:hAnsi="Cambria" w:cs="Arial"/>
        </w:rPr>
        <w:t>In</w:t>
      </w:r>
      <w:r w:rsidR="003171E0" w:rsidRPr="003171E0">
        <w:rPr>
          <w:rFonts w:ascii="Cambria" w:hAnsi="Cambria" w:cs="Arial"/>
        </w:rPr>
        <w:t xml:space="preserve"> the case of a charge of assault and battery </w:t>
      </w:r>
      <w:r>
        <w:rPr>
          <w:rFonts w:ascii="Cambria" w:hAnsi="Cambria" w:cs="Arial"/>
        </w:rPr>
        <w:t>a D may avoid liability if they have a specific defence of consent</w:t>
      </w:r>
      <w:r w:rsidR="00BA4D5E">
        <w:rPr>
          <w:rFonts w:ascii="Cambria" w:hAnsi="Cambria" w:cs="Arial"/>
        </w:rPr>
        <w:t xml:space="preserve"> or </w:t>
      </w:r>
      <w:r>
        <w:rPr>
          <w:rFonts w:ascii="Cambria" w:hAnsi="Cambria" w:cs="Arial"/>
        </w:rPr>
        <w:t>belief in consent</w:t>
      </w:r>
      <w:r w:rsidR="003171E0" w:rsidRPr="003171E0">
        <w:rPr>
          <w:rFonts w:ascii="Cambria" w:hAnsi="Cambria" w:cs="Arial"/>
        </w:rPr>
        <w:t xml:space="preserve">. </w:t>
      </w:r>
      <w:r>
        <w:rPr>
          <w:rFonts w:ascii="Cambria" w:hAnsi="Cambria" w:cs="Arial"/>
        </w:rPr>
        <w:t>Consent is a specific defence</w:t>
      </w:r>
      <w:r w:rsidR="00BA4D5E">
        <w:rPr>
          <w:rFonts w:ascii="Cambria" w:hAnsi="Cambria" w:cs="Arial"/>
        </w:rPr>
        <w:t xml:space="preserve"> to offences against the person and is not a general defence. </w:t>
      </w:r>
      <w:r w:rsidR="003171E0" w:rsidRPr="003171E0">
        <w:rPr>
          <w:rFonts w:ascii="Cambria" w:hAnsi="Cambria" w:cs="Arial"/>
        </w:rPr>
        <w:t xml:space="preserve">In short, the application of force to another may be lawful in certain circumstances, where it is consented to by the recipient. </w:t>
      </w:r>
    </w:p>
    <w:p w14:paraId="46EDB16D" w14:textId="77777777" w:rsidR="003171E0" w:rsidRPr="003171E0" w:rsidRDefault="003171E0" w:rsidP="003171E0">
      <w:pPr>
        <w:spacing w:line="240" w:lineRule="auto"/>
        <w:jc w:val="both"/>
        <w:rPr>
          <w:rFonts w:ascii="Cambria" w:hAnsi="Cambria" w:cs="Arial"/>
        </w:rPr>
      </w:pPr>
    </w:p>
    <w:p w14:paraId="66D7EFDB" w14:textId="77777777" w:rsidR="003171E0" w:rsidRPr="003171E0" w:rsidRDefault="003171E0" w:rsidP="003171E0">
      <w:pPr>
        <w:spacing w:line="240" w:lineRule="auto"/>
        <w:jc w:val="both"/>
        <w:rPr>
          <w:rFonts w:ascii="Cambria" w:hAnsi="Cambria" w:cs="Arial"/>
        </w:rPr>
      </w:pPr>
      <w:r w:rsidRPr="003171E0">
        <w:rPr>
          <w:rFonts w:ascii="Cambria" w:hAnsi="Cambria" w:cs="Arial"/>
        </w:rPr>
        <w:t xml:space="preserve">For the offences of assault and battery, consent will be valid if it is express or implied and effective. </w:t>
      </w:r>
    </w:p>
    <w:p w14:paraId="3EA85A01" w14:textId="77777777" w:rsidR="003171E0" w:rsidRPr="003171E0" w:rsidRDefault="003171E0" w:rsidP="003171E0">
      <w:pPr>
        <w:spacing w:line="240" w:lineRule="auto"/>
        <w:jc w:val="both"/>
        <w:rPr>
          <w:rFonts w:ascii="Cambria" w:hAnsi="Cambria" w:cs="Arial"/>
        </w:rPr>
      </w:pPr>
    </w:p>
    <w:p w14:paraId="39BF60B3" w14:textId="1E040CDE" w:rsidR="003171E0" w:rsidRPr="003171E0" w:rsidRDefault="003171E0" w:rsidP="003171E0">
      <w:pPr>
        <w:spacing w:line="240" w:lineRule="auto"/>
        <w:jc w:val="both"/>
        <w:rPr>
          <w:rFonts w:ascii="Cambria" w:hAnsi="Cambria" w:cs="Arial"/>
        </w:rPr>
      </w:pPr>
      <w:r w:rsidRPr="003171E0">
        <w:rPr>
          <w:rFonts w:ascii="Cambria" w:hAnsi="Cambria" w:cs="Arial"/>
        </w:rPr>
        <w:t>When the offence concerns harm of ABH or GBH (sections 47, 20 and 18 of the Offences Against the Person Act 1861), consent will only be valid if it is express or implied and effective and if the impugned conduct falls within a recognised category of exception. These exceptions include activity that the courts or parliament has recognised to be in the public interest because it involves some social purpose. This is an area of law therefore where public policy plays a key role. The courts have found that consent amounts to a defence in some cases, such as boxing, but not others, such as in a sexual encounter. As you read the cases consider whether you believe there is a sound reason for this? To what extent do you believe the law should regulate interactions between consenting adults? How do the courts decide what is a ‘good reason’ for harm being risked or caused?</w:t>
      </w:r>
    </w:p>
    <w:p w14:paraId="1ADB500B" w14:textId="77777777" w:rsidR="00922DD2" w:rsidRPr="00477469" w:rsidRDefault="00922DD2" w:rsidP="008F0740">
      <w:pPr>
        <w:spacing w:line="240" w:lineRule="auto"/>
        <w:rPr>
          <w:rFonts w:cs="Arial"/>
        </w:rPr>
      </w:pPr>
    </w:p>
    <w:p w14:paraId="7DB57C93" w14:textId="7D57F367" w:rsidR="0021483B" w:rsidRPr="00477469" w:rsidRDefault="001509E6" w:rsidP="0021483B">
      <w:pPr>
        <w:pStyle w:val="Heading2"/>
        <w:rPr>
          <w:rFonts w:cs="Arial"/>
          <w:sz w:val="36"/>
          <w:szCs w:val="36"/>
        </w:rPr>
      </w:pPr>
      <w:bookmarkStart w:id="2" w:name="_Hlk146704124"/>
      <w:r>
        <w:rPr>
          <w:rFonts w:cs="Arial"/>
          <w:sz w:val="36"/>
          <w:szCs w:val="36"/>
        </w:rPr>
        <w:t xml:space="preserve">A. </w:t>
      </w:r>
      <w:r w:rsidR="003171E0">
        <w:rPr>
          <w:rFonts w:cs="Arial"/>
          <w:sz w:val="36"/>
          <w:szCs w:val="36"/>
        </w:rPr>
        <w:t>ExPress/implied Consent</w:t>
      </w:r>
    </w:p>
    <w:p w14:paraId="1BDBF327" w14:textId="77777777" w:rsidR="00AE6016" w:rsidRPr="00477469" w:rsidRDefault="00AE6016" w:rsidP="009A6F3D">
      <w:pPr>
        <w:spacing w:after="120" w:line="240" w:lineRule="auto"/>
        <w:jc w:val="both"/>
        <w:rPr>
          <w:rFonts w:eastAsia="Arial Unicode MS" w:cs="Arial"/>
          <w:lang w:eastAsia="en-GB"/>
        </w:rPr>
      </w:pPr>
    </w:p>
    <w:p w14:paraId="432328EB" w14:textId="77777777" w:rsidR="003171E0" w:rsidRPr="003171E0" w:rsidRDefault="003171E0" w:rsidP="003171E0">
      <w:pPr>
        <w:rPr>
          <w:rFonts w:eastAsiaTheme="majorEastAsia" w:cs="Arial"/>
          <w:caps/>
          <w:color w:val="FFFFFF" w:themeColor="background1"/>
        </w:rPr>
      </w:pPr>
      <w:r w:rsidRPr="003171E0">
        <w:rPr>
          <w:rFonts w:eastAsiaTheme="majorEastAsia" w:cs="Arial"/>
          <w:caps/>
          <w:color w:val="FFFFFF" w:themeColor="background1"/>
        </w:rPr>
        <w:t>a.</w:t>
      </w:r>
      <w:r w:rsidRPr="003171E0">
        <w:rPr>
          <w:rFonts w:eastAsiaTheme="majorEastAsia" w:cs="Arial"/>
          <w:caps/>
          <w:color w:val="FFFFFF" w:themeColor="background1"/>
        </w:rPr>
        <w:tab/>
        <w:t>Express consent</w:t>
      </w:r>
    </w:p>
    <w:p w14:paraId="120BC3BE" w14:textId="7AAEB1B3" w:rsidR="003171E0" w:rsidRPr="003171E0" w:rsidRDefault="003171E0" w:rsidP="003171E0">
      <w:pPr>
        <w:pStyle w:val="ListParagraph"/>
        <w:numPr>
          <w:ilvl w:val="1"/>
          <w:numId w:val="15"/>
        </w:numPr>
        <w:spacing w:after="120" w:line="240" w:lineRule="auto"/>
        <w:ind w:left="1080"/>
        <w:jc w:val="both"/>
        <w:rPr>
          <w:rFonts w:ascii="Cambria" w:eastAsia="Times New Roman" w:hAnsi="Cambria" w:cs="Arial"/>
          <w:b/>
          <w:bCs/>
          <w:lang w:eastAsia="en-GB"/>
        </w:rPr>
      </w:pPr>
      <w:r w:rsidRPr="003171E0">
        <w:rPr>
          <w:rFonts w:ascii="Cambria" w:eastAsia="Times New Roman" w:hAnsi="Cambria" w:cs="Arial"/>
          <w:b/>
          <w:bCs/>
          <w:lang w:eastAsia="en-GB"/>
        </w:rPr>
        <w:t>Express consent</w:t>
      </w:r>
    </w:p>
    <w:p w14:paraId="6860FE7A" w14:textId="182467C7" w:rsid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Express consent is relatively uncontroversial and uncomplicated; it involves cases where V expressly consents to contact with D, either by words, or conduct, such as when V motions to shake D’s hand.</w:t>
      </w:r>
    </w:p>
    <w:p w14:paraId="47AE0A52" w14:textId="77777777" w:rsidR="003171E0" w:rsidRPr="003171E0" w:rsidRDefault="003171E0" w:rsidP="003171E0">
      <w:pPr>
        <w:spacing w:after="120" w:line="240" w:lineRule="auto"/>
        <w:jc w:val="both"/>
        <w:rPr>
          <w:rFonts w:ascii="Cambria" w:eastAsia="Times New Roman" w:hAnsi="Cambria" w:cs="Arial"/>
          <w:b/>
          <w:bCs/>
          <w:lang w:eastAsia="en-GB"/>
        </w:rPr>
      </w:pPr>
    </w:p>
    <w:p w14:paraId="6C0F7FD6" w14:textId="77777777" w:rsidR="003171E0" w:rsidRPr="003171E0" w:rsidRDefault="003171E0" w:rsidP="003171E0">
      <w:pPr>
        <w:numPr>
          <w:ilvl w:val="1"/>
          <w:numId w:val="15"/>
        </w:numPr>
        <w:spacing w:after="120" w:line="240" w:lineRule="auto"/>
        <w:ind w:left="1080"/>
        <w:contextualSpacing/>
        <w:jc w:val="both"/>
        <w:rPr>
          <w:rFonts w:ascii="Cambria" w:eastAsia="Times New Roman" w:hAnsi="Cambria" w:cs="Arial"/>
          <w:b/>
          <w:bCs/>
          <w:lang w:eastAsia="en-GB"/>
        </w:rPr>
      </w:pPr>
      <w:r w:rsidRPr="003171E0">
        <w:rPr>
          <w:rFonts w:ascii="Cambria" w:eastAsia="Times New Roman" w:hAnsi="Cambria" w:cs="Arial"/>
          <w:b/>
          <w:bCs/>
          <w:lang w:eastAsia="en-GB"/>
        </w:rPr>
        <w:t>Implied consent</w:t>
      </w:r>
    </w:p>
    <w:p w14:paraId="29A815B3"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Implied consent applies to touching which, whilst not explicitly consented to, is part of everyday life. Examples include: being jostled on a busy street, in a shop, or on a bus or train, being embraced at new year’s eve, or being patted on the back, for example at work or in a sporting event. The reason is that by voluntarily participating with others in society we agree to be exposed to the contact that this entails. The key case for this is </w:t>
      </w:r>
      <w:r w:rsidRPr="003171E0">
        <w:rPr>
          <w:rFonts w:ascii="Cambria" w:eastAsia="Times New Roman" w:hAnsi="Cambria" w:cs="Arial"/>
          <w:i/>
          <w:iCs/>
          <w:lang w:eastAsia="en-GB"/>
        </w:rPr>
        <w:t xml:space="preserve">Collins v Wilcock </w:t>
      </w:r>
      <w:r w:rsidRPr="003171E0">
        <w:rPr>
          <w:rFonts w:ascii="Cambria" w:eastAsia="Times New Roman" w:hAnsi="Cambria" w:cs="Arial"/>
          <w:lang w:eastAsia="en-GB"/>
        </w:rPr>
        <w:t>[1984] All ER 374:</w:t>
      </w:r>
    </w:p>
    <w:p w14:paraId="30554FAA" w14:textId="77777777" w:rsidR="003171E0" w:rsidRPr="003171E0" w:rsidRDefault="003171E0" w:rsidP="003171E0">
      <w:pPr>
        <w:spacing w:after="120" w:line="240" w:lineRule="auto"/>
        <w:ind w:left="567" w:right="567"/>
        <w:jc w:val="both"/>
        <w:rPr>
          <w:rFonts w:ascii="Cambria" w:eastAsia="Times New Roman" w:hAnsi="Cambria" w:cs="Times New Roman"/>
          <w:lang w:eastAsia="en-GB"/>
        </w:rPr>
      </w:pPr>
      <w:r w:rsidRPr="003171E0">
        <w:rPr>
          <w:rFonts w:ascii="Cambria" w:eastAsia="Times New Roman" w:hAnsi="Cambria" w:cs="Times New Roman"/>
          <w:i/>
          <w:iCs/>
          <w:lang w:eastAsia="en-GB"/>
        </w:rPr>
        <w:t>The fundamental principle, plain and incontestable, is that every person's body is inviolate. It has long been established that any touching of another person, however slight, may amount to a battery. But, apart from these special instances where the control or constraint is lawful, a broader exception has been created to allow for the exigencies of everyday life. Generally speaking, consent is a defence to battery; and most of the physical contacts of ordinary life are not actionable because they are impliedly consented to by all who move in society and so expose themselves to the risk of bodily contact. So nobody can complain of the jostling which is inevitable from his presence in, for example, a supermarket, an underground station or a busy street; nor can a person who attends a party complain if his hand is seized in friendship, or even if his back is, within reason, slapped … Although such cases are regarded as examples of implied consent, it is more common nowadays to treat them as falling within a general exception embracing all physical contact which is generally acceptable in the ordinary conduct of daily life. In each case, the test must be whether the physical contact so persisted in has in the circumstances gone beyond generally acceptable standards of conduct; and the answer to that question will depend upon the facts of the particular case</w:t>
      </w:r>
      <w:r w:rsidRPr="003171E0">
        <w:rPr>
          <w:rFonts w:ascii="Cambria" w:eastAsia="Times New Roman" w:hAnsi="Cambria" w:cs="Times New Roman"/>
          <w:lang w:eastAsia="en-GB"/>
        </w:rPr>
        <w:t>.</w:t>
      </w:r>
    </w:p>
    <w:p w14:paraId="53DE0C37" w14:textId="77777777" w:rsidR="003171E0" w:rsidRPr="003171E0" w:rsidRDefault="003171E0" w:rsidP="003171E0">
      <w:pPr>
        <w:spacing w:after="120" w:line="240" w:lineRule="auto"/>
        <w:jc w:val="both"/>
        <w:rPr>
          <w:rFonts w:ascii="Cambria" w:eastAsia="Times New Roman" w:hAnsi="Cambria" w:cs="Arial"/>
          <w:b/>
          <w:bCs/>
          <w:lang w:eastAsia="en-GB"/>
        </w:rPr>
      </w:pPr>
      <w:r w:rsidRPr="003171E0">
        <w:rPr>
          <w:rFonts w:ascii="Cambria" w:eastAsia="Times New Roman" w:hAnsi="Cambria" w:cs="Arial"/>
          <w:lang w:eastAsia="en-GB"/>
        </w:rPr>
        <w:lastRenderedPageBreak/>
        <w:t xml:space="preserve">Per </w:t>
      </w:r>
      <w:r w:rsidRPr="003171E0">
        <w:rPr>
          <w:rFonts w:ascii="Cambria" w:eastAsia="Times New Roman" w:hAnsi="Cambria" w:cs="Arial"/>
          <w:i/>
          <w:iCs/>
          <w:lang w:eastAsia="en-GB"/>
        </w:rPr>
        <w:t xml:space="preserve">Wood v DPP </w:t>
      </w:r>
      <w:r w:rsidRPr="003171E0">
        <w:rPr>
          <w:rFonts w:ascii="Cambria" w:eastAsia="Times New Roman" w:hAnsi="Cambria" w:cs="Arial"/>
          <w:lang w:eastAsia="en-GB"/>
        </w:rPr>
        <w:t>[2008] EWHC 1056 (Admin), the contact must genuinely be within the realms of everyday activity; in this case a police officer could not rely on implied consent when attempting to restrain an individual not in the process of arresting them.</w:t>
      </w:r>
    </w:p>
    <w:p w14:paraId="3287974C" w14:textId="7B92EFEB" w:rsidR="0021483B" w:rsidRPr="00477469" w:rsidRDefault="003171E0" w:rsidP="003171E0">
      <w:pPr>
        <w:rPr>
          <w:rFonts w:eastAsiaTheme="majorEastAsia" w:cs="Arial"/>
          <w:caps/>
          <w:color w:val="FFFFFF" w:themeColor="background1"/>
        </w:rPr>
      </w:pPr>
      <w:r w:rsidRPr="003171E0">
        <w:rPr>
          <w:rFonts w:eastAsiaTheme="majorEastAsia" w:cs="Arial"/>
          <w:caps/>
          <w:color w:val="FFFFFF" w:themeColor="background1"/>
        </w:rPr>
        <w:t>to restrain an individual not in the process of arresting them.</w:t>
      </w:r>
    </w:p>
    <w:p w14:paraId="13ACB402" w14:textId="211D2B9E" w:rsidR="009A6F3D" w:rsidRPr="00477469" w:rsidRDefault="001509E6" w:rsidP="009A6F3D">
      <w:pPr>
        <w:pStyle w:val="Heading2"/>
        <w:rPr>
          <w:rFonts w:cs="Arial"/>
          <w:sz w:val="36"/>
          <w:szCs w:val="36"/>
        </w:rPr>
      </w:pPr>
      <w:bookmarkStart w:id="3" w:name="_Hlk146704169"/>
      <w:bookmarkEnd w:id="2"/>
      <w:r>
        <w:rPr>
          <w:rFonts w:cs="Arial"/>
          <w:sz w:val="36"/>
          <w:szCs w:val="36"/>
        </w:rPr>
        <w:t xml:space="preserve">B. </w:t>
      </w:r>
      <w:r w:rsidR="003171E0">
        <w:rPr>
          <w:rFonts w:cs="Arial"/>
          <w:sz w:val="36"/>
          <w:szCs w:val="36"/>
        </w:rPr>
        <w:t>EFFECTIVE CONSENT</w:t>
      </w:r>
    </w:p>
    <w:p w14:paraId="63825DAF" w14:textId="08117D86" w:rsidR="009A6F3D" w:rsidRDefault="009A6F3D" w:rsidP="009A6F3D">
      <w:pPr>
        <w:rPr>
          <w:rFonts w:eastAsia="Arial Unicode MS" w:cs="Arial"/>
          <w:bCs/>
          <w:lang w:eastAsia="en-GB"/>
        </w:rPr>
      </w:pPr>
    </w:p>
    <w:p w14:paraId="2B052509"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For consent to be valid it must be effective. The individual must have capacity to consent, and their consent must be informed. Fraud and duress may undermine an individual’s capacity to consent. </w:t>
      </w:r>
    </w:p>
    <w:p w14:paraId="7F6A92CC" w14:textId="77777777" w:rsidR="003171E0" w:rsidRPr="003171E0" w:rsidRDefault="003171E0" w:rsidP="003171E0">
      <w:pPr>
        <w:numPr>
          <w:ilvl w:val="0"/>
          <w:numId w:val="16"/>
        </w:numPr>
        <w:spacing w:after="120" w:line="240" w:lineRule="auto"/>
        <w:contextualSpacing/>
        <w:jc w:val="both"/>
        <w:rPr>
          <w:rFonts w:ascii="Cambria" w:eastAsia="Times New Roman" w:hAnsi="Cambria" w:cs="Arial"/>
          <w:b/>
          <w:bCs/>
          <w:lang w:eastAsia="en-GB"/>
        </w:rPr>
      </w:pPr>
      <w:r w:rsidRPr="003171E0">
        <w:rPr>
          <w:rFonts w:ascii="Cambria" w:eastAsia="Times New Roman" w:hAnsi="Cambria" w:cs="Arial"/>
          <w:b/>
          <w:bCs/>
          <w:lang w:eastAsia="en-GB"/>
        </w:rPr>
        <w:t>Capacity</w:t>
      </w:r>
    </w:p>
    <w:p w14:paraId="368E95B8"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Historically, courts based an individual’s capacity to consent on some aspect of their status, such as age, mental disorder, learning difficulty, or other short-term conditions. However, a more nuanced position has emerged in the wake of the Mental Capacity Act 2005, which states that “a person lacks capacity in relation to a matter if at the material time he is unable to make a decision for himself in relation to the matter because of an impairment of, or a disturbance in the functioning of, the mind or brain”. Note that criminal courts are not bound by the definition of capacity in this Act, but they have used it to inform decisions on capacity, and to engage in an assessment of capacity on a case-by-case basis and on the evidence of individual facts. </w:t>
      </w:r>
    </w:p>
    <w:p w14:paraId="17128631" w14:textId="77777777" w:rsidR="003171E0" w:rsidRPr="003171E0" w:rsidRDefault="003171E0" w:rsidP="003171E0">
      <w:pPr>
        <w:numPr>
          <w:ilvl w:val="0"/>
          <w:numId w:val="16"/>
        </w:numPr>
        <w:spacing w:after="120" w:line="240" w:lineRule="auto"/>
        <w:contextualSpacing/>
        <w:jc w:val="both"/>
        <w:rPr>
          <w:rFonts w:ascii="Cambria" w:eastAsia="Times New Roman" w:hAnsi="Cambria" w:cs="Arial"/>
          <w:b/>
          <w:bCs/>
          <w:lang w:eastAsia="en-GB"/>
        </w:rPr>
      </w:pPr>
      <w:r w:rsidRPr="003171E0">
        <w:rPr>
          <w:rFonts w:ascii="Cambria" w:eastAsia="Times New Roman" w:hAnsi="Cambria" w:cs="Arial"/>
          <w:b/>
          <w:bCs/>
          <w:lang w:eastAsia="en-GB"/>
        </w:rPr>
        <w:t>Informed consent</w:t>
      </w:r>
    </w:p>
    <w:p w14:paraId="3CB2D12E" w14:textId="55536B9C" w:rsidR="003171E0" w:rsidRPr="003171E0" w:rsidRDefault="003171E0" w:rsidP="003171E0">
      <w:pPr>
        <w:spacing w:after="120" w:line="240" w:lineRule="auto"/>
        <w:jc w:val="both"/>
        <w:rPr>
          <w:rFonts w:ascii="Cambria" w:eastAsia="Times New Roman" w:hAnsi="Cambria" w:cs="Arial"/>
          <w:b/>
          <w:bCs/>
          <w:lang w:eastAsia="en-GB"/>
        </w:rPr>
      </w:pPr>
      <w:r w:rsidRPr="003171E0">
        <w:rPr>
          <w:rFonts w:ascii="Cambria" w:eastAsia="Times New Roman" w:hAnsi="Cambria" w:cs="Arial"/>
          <w:lang w:eastAsia="en-GB"/>
        </w:rPr>
        <w:t xml:space="preserve">V must possess sufficient information to understand what they are consenting to; D is expected to provide sufficient information for V to make an informed decision about any risks involved, including any risks that D might have special knowledge of. The key case of this is </w:t>
      </w:r>
      <w:r w:rsidRPr="003171E0">
        <w:rPr>
          <w:rFonts w:ascii="Cambria" w:eastAsia="Times New Roman" w:hAnsi="Cambria" w:cs="Arial"/>
          <w:i/>
          <w:iCs/>
          <w:lang w:eastAsia="en-GB"/>
        </w:rPr>
        <w:t>Konzani</w:t>
      </w:r>
      <w:r w:rsidRPr="003171E0">
        <w:rPr>
          <w:rFonts w:ascii="Cambria" w:eastAsia="Times New Roman" w:hAnsi="Cambria" w:cs="Arial"/>
          <w:lang w:eastAsia="en-GB"/>
        </w:rPr>
        <w:t xml:space="preserve"> [2005] EWCA Crim 706, though this was a case about GBH, it is relevant to all non-fatal offences against the person. In this case, D engaged in consensual unprotected sexual intercourse with the three Vs, knowing that he was infected with HIV but not informing them of this. Each of the victims contracted HIV. The Court of Appeal held that Vs had given valid consent to sexual activity with D, but that by failing to inform the victims of his HIV positive status, they had not effectively consented to the risk of contracting HIV. </w:t>
      </w:r>
    </w:p>
    <w:p w14:paraId="330FA136" w14:textId="77777777" w:rsidR="003171E0" w:rsidRPr="003171E0" w:rsidRDefault="003171E0" w:rsidP="003171E0">
      <w:pPr>
        <w:numPr>
          <w:ilvl w:val="0"/>
          <w:numId w:val="16"/>
        </w:numPr>
        <w:spacing w:after="120" w:line="240" w:lineRule="auto"/>
        <w:contextualSpacing/>
        <w:jc w:val="both"/>
        <w:rPr>
          <w:rFonts w:ascii="Cambria" w:eastAsia="Times New Roman" w:hAnsi="Cambria" w:cs="Arial"/>
          <w:b/>
          <w:bCs/>
          <w:lang w:eastAsia="en-GB"/>
        </w:rPr>
      </w:pPr>
      <w:r w:rsidRPr="003171E0">
        <w:rPr>
          <w:rFonts w:ascii="Cambria" w:eastAsia="Times New Roman" w:hAnsi="Cambria" w:cs="Arial"/>
          <w:b/>
          <w:bCs/>
          <w:lang w:eastAsia="en-GB"/>
        </w:rPr>
        <w:t>Fraud</w:t>
      </w:r>
    </w:p>
    <w:p w14:paraId="79A863BD"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There are two situations in which V’s apparent consent will be undermined by fraud: fraud as to the identity of D, and fraud as to the nature of D’s conduct</w:t>
      </w:r>
    </w:p>
    <w:p w14:paraId="4C0742AB" w14:textId="77777777" w:rsidR="003171E0" w:rsidRPr="003171E0" w:rsidRDefault="003171E0" w:rsidP="003171E0">
      <w:pPr>
        <w:spacing w:after="120" w:line="240" w:lineRule="auto"/>
        <w:jc w:val="both"/>
        <w:rPr>
          <w:rFonts w:ascii="Cambria" w:eastAsia="Times New Roman" w:hAnsi="Cambria" w:cs="Arial"/>
          <w:i/>
          <w:iCs/>
          <w:lang w:eastAsia="en-GB"/>
        </w:rPr>
      </w:pPr>
      <w:r w:rsidRPr="003171E0">
        <w:rPr>
          <w:rFonts w:ascii="Cambria" w:eastAsia="Times New Roman" w:hAnsi="Cambria" w:cs="Arial"/>
          <w:i/>
          <w:iCs/>
          <w:lang w:eastAsia="en-GB"/>
        </w:rPr>
        <w:t>Fraud as to the identity of D</w:t>
      </w:r>
    </w:p>
    <w:p w14:paraId="4D958172" w14:textId="0357CA8B"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The basic rule is that if D gains V’s consent to being touched by impersonating X, then V’s consent is not effective. V has consented to being touched by X, not by D impersonating X. In </w:t>
      </w:r>
      <w:r w:rsidRPr="003171E0">
        <w:rPr>
          <w:rFonts w:ascii="Cambria" w:eastAsia="Times New Roman" w:hAnsi="Cambria" w:cs="Arial"/>
          <w:i/>
          <w:iCs/>
          <w:lang w:eastAsia="en-GB"/>
        </w:rPr>
        <w:t xml:space="preserve">Richardson </w:t>
      </w:r>
      <w:r w:rsidRPr="003171E0">
        <w:rPr>
          <w:rFonts w:ascii="Cambria" w:eastAsia="Times New Roman" w:hAnsi="Cambria" w:cs="Arial"/>
          <w:lang w:eastAsia="en-GB"/>
        </w:rPr>
        <w:t xml:space="preserve">[1999] QB 444, </w:t>
      </w:r>
      <w:r w:rsidRPr="003171E0">
        <w:rPr>
          <w:rFonts w:ascii="Cambria" w:eastAsia="Times New Roman" w:hAnsi="Cambria" w:cs="Arial"/>
          <w:lang w:val="en-US" w:eastAsia="en-GB"/>
        </w:rPr>
        <w:t>D was a dentist who had been suspended from practicing dentistry. D continued to treat patient. The court held that there was no mistake as to identity;</w:t>
      </w:r>
      <w:r w:rsidRPr="003171E0">
        <w:rPr>
          <w:rFonts w:ascii="Cambria" w:eastAsia="Times New Roman" w:hAnsi="Cambria" w:cs="Arial"/>
          <w:lang w:eastAsia="en-GB"/>
        </w:rPr>
        <w:t xml:space="preserve"> the patients </w:t>
      </w:r>
      <w:r w:rsidRPr="003171E0">
        <w:rPr>
          <w:rFonts w:ascii="Cambria" w:eastAsia="Times New Roman" w:hAnsi="Cambria" w:cs="Arial"/>
          <w:lang w:val="en-US" w:eastAsia="en-GB"/>
        </w:rPr>
        <w:t>had consented to treatment by a dentist and were still being treated by a dentist, albeit one that was not registered.</w:t>
      </w:r>
      <w:r w:rsidR="00801AA1">
        <w:rPr>
          <w:rFonts w:ascii="Cambria" w:eastAsia="Times New Roman" w:hAnsi="Cambria" w:cs="Arial"/>
          <w:lang w:val="en-US" w:eastAsia="en-GB"/>
        </w:rPr>
        <w:t xml:space="preserve"> However the law has been clarified in the case of Melin [2019] EWCA Crim 557. </w:t>
      </w:r>
      <w:r w:rsidR="005F345B">
        <w:rPr>
          <w:rFonts w:ascii="Cambria" w:eastAsia="Times New Roman" w:hAnsi="Cambria" w:cs="Arial"/>
          <w:lang w:val="en-US" w:eastAsia="en-GB"/>
        </w:rPr>
        <w:t xml:space="preserve"> In this case the D fraudulently presented himself as medically qualified to give Botox injections. The court made a distinction between passive frauds (where there is a failure to inform) and active frauds (where V is deliberately supplied misinformation).  </w:t>
      </w:r>
    </w:p>
    <w:p w14:paraId="7B93DEC2" w14:textId="77777777" w:rsidR="003171E0" w:rsidRPr="003171E0" w:rsidRDefault="003171E0" w:rsidP="003171E0">
      <w:pPr>
        <w:spacing w:after="120" w:line="240" w:lineRule="auto"/>
        <w:jc w:val="both"/>
        <w:rPr>
          <w:rFonts w:ascii="Cambria" w:eastAsia="Times New Roman" w:hAnsi="Cambria" w:cs="Arial"/>
          <w:i/>
          <w:iCs/>
          <w:lang w:eastAsia="en-GB"/>
        </w:rPr>
      </w:pPr>
      <w:r w:rsidRPr="003171E0">
        <w:rPr>
          <w:rFonts w:ascii="Cambria" w:eastAsia="Times New Roman" w:hAnsi="Cambria" w:cs="Arial"/>
          <w:i/>
          <w:iCs/>
          <w:lang w:eastAsia="en-GB"/>
        </w:rPr>
        <w:t>Fraud as to the nature of D’s conduct</w:t>
      </w:r>
    </w:p>
    <w:p w14:paraId="72D5AB57" w14:textId="0676EDED"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lastRenderedPageBreak/>
        <w:t xml:space="preserve">V’s consent may be undermined where D’s fraud is to the nature of the relevant act. In </w:t>
      </w:r>
      <w:r w:rsidRPr="003171E0">
        <w:rPr>
          <w:rFonts w:ascii="Cambria" w:eastAsia="Times New Roman" w:hAnsi="Cambria" w:cs="Arial"/>
          <w:i/>
          <w:iCs/>
          <w:lang w:eastAsia="en-GB"/>
        </w:rPr>
        <w:t xml:space="preserve">Mobilio </w:t>
      </w:r>
      <w:r w:rsidRPr="003171E0">
        <w:rPr>
          <w:rFonts w:ascii="Cambria" w:eastAsia="Times New Roman" w:hAnsi="Cambria" w:cs="Arial"/>
          <w:lang w:eastAsia="en-GB"/>
        </w:rPr>
        <w:t>[1991] 1 VR 339, V consented to D inserting an instrument into her vagina for medical reasons, but D acted for his own sexual gratification. D’s conduct did not vitiate consent because the nature of the act that he carried out was the same as the act that V consented.</w:t>
      </w:r>
      <w:r w:rsidR="005F345B">
        <w:rPr>
          <w:rFonts w:ascii="Cambria" w:eastAsia="Times New Roman" w:hAnsi="Cambria" w:cs="Arial"/>
          <w:lang w:eastAsia="en-GB"/>
        </w:rPr>
        <w:t xml:space="preserve"> Also see discussion on sexual transmission of diseases below.</w:t>
      </w:r>
    </w:p>
    <w:p w14:paraId="0A1B13FB" w14:textId="77777777" w:rsidR="003171E0" w:rsidRPr="003171E0" w:rsidRDefault="003171E0" w:rsidP="003171E0">
      <w:pPr>
        <w:numPr>
          <w:ilvl w:val="0"/>
          <w:numId w:val="16"/>
        </w:numPr>
        <w:spacing w:after="120" w:line="240" w:lineRule="auto"/>
        <w:contextualSpacing/>
        <w:jc w:val="both"/>
        <w:rPr>
          <w:rFonts w:ascii="Cambria" w:eastAsia="Times New Roman" w:hAnsi="Cambria" w:cs="Arial"/>
          <w:b/>
          <w:bCs/>
          <w:lang w:eastAsia="en-GB"/>
        </w:rPr>
      </w:pPr>
      <w:r w:rsidRPr="003171E0">
        <w:rPr>
          <w:rFonts w:ascii="Cambria" w:eastAsia="Times New Roman" w:hAnsi="Cambria" w:cs="Arial"/>
          <w:b/>
          <w:bCs/>
          <w:lang w:eastAsia="en-GB"/>
        </w:rPr>
        <w:t>Duress</w:t>
      </w:r>
    </w:p>
    <w:p w14:paraId="56DC4C91" w14:textId="1752A1C6" w:rsidR="005F345B"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V’s apparent consent will not be effective if it is obtained through threats. V’s conduct must be caused by D’s threat, as opposed to other factors, and the gravity of the threat must be balanced against the act consented to. However, it is unclear whether this is a</w:t>
      </w:r>
      <w:r>
        <w:rPr>
          <w:rFonts w:ascii="Cambria" w:eastAsia="Times New Roman" w:hAnsi="Cambria" w:cs="Arial"/>
          <w:lang w:eastAsia="en-GB"/>
        </w:rPr>
        <w:t>n</w:t>
      </w:r>
      <w:r w:rsidRPr="003171E0">
        <w:rPr>
          <w:rFonts w:ascii="Cambria" w:eastAsia="Times New Roman" w:hAnsi="Cambria" w:cs="Arial"/>
          <w:lang w:eastAsia="en-GB"/>
        </w:rPr>
        <w:t xml:space="preserve"> objective or subjective test.</w:t>
      </w:r>
    </w:p>
    <w:p w14:paraId="43C31281" w14:textId="7FAACE82" w:rsidR="005F345B" w:rsidRDefault="005F345B" w:rsidP="005F345B">
      <w:pPr>
        <w:pStyle w:val="ListParagraph"/>
        <w:numPr>
          <w:ilvl w:val="0"/>
          <w:numId w:val="16"/>
        </w:numPr>
        <w:spacing w:after="120" w:line="240" w:lineRule="auto"/>
        <w:jc w:val="both"/>
        <w:rPr>
          <w:rFonts w:ascii="Cambria" w:eastAsia="Times New Roman" w:hAnsi="Cambria" w:cs="Arial"/>
          <w:b/>
          <w:bCs/>
          <w:lang w:eastAsia="en-GB"/>
        </w:rPr>
      </w:pPr>
      <w:r>
        <w:rPr>
          <w:rFonts w:ascii="Cambria" w:eastAsia="Times New Roman" w:hAnsi="Cambria" w:cs="Arial"/>
          <w:b/>
          <w:bCs/>
          <w:lang w:eastAsia="en-GB"/>
        </w:rPr>
        <w:t>Belief in consent</w:t>
      </w:r>
    </w:p>
    <w:p w14:paraId="56C13B1A" w14:textId="6808D6D9" w:rsidR="005F345B" w:rsidRPr="005F345B" w:rsidRDefault="005F345B" w:rsidP="005F345B">
      <w:pPr>
        <w:spacing w:after="120" w:line="240" w:lineRule="auto"/>
        <w:jc w:val="both"/>
        <w:rPr>
          <w:rFonts w:ascii="Cambria" w:eastAsia="Times New Roman" w:hAnsi="Cambria" w:cs="Arial"/>
          <w:lang w:eastAsia="en-GB"/>
        </w:rPr>
      </w:pPr>
      <w:r w:rsidRPr="005F345B">
        <w:rPr>
          <w:rFonts w:ascii="Cambria" w:eastAsia="Times New Roman" w:hAnsi="Cambria" w:cs="Arial"/>
          <w:lang w:eastAsia="en-GB"/>
        </w:rPr>
        <w:t xml:space="preserve">D may avoid liability if they believed that V provided valid consent, even if this was not the case. D must genuinely believe that V consented, but the belief can be unreasonable. In practice this is hardly every relied on but see the case of Jones and Others (1986) 83 Cr App R 375 where the court held that consent could have been a valid defence if V had consented OR D genuinely (even if unreasonably) believed that V had consented. </w:t>
      </w:r>
    </w:p>
    <w:p w14:paraId="22092CD0" w14:textId="77777777" w:rsidR="003171E0" w:rsidRPr="00477469" w:rsidRDefault="003171E0" w:rsidP="009A6F3D">
      <w:pPr>
        <w:rPr>
          <w:rFonts w:eastAsiaTheme="majorEastAsia" w:cs="Arial"/>
          <w:caps/>
          <w:color w:val="FFFFFF" w:themeColor="background1"/>
        </w:rPr>
      </w:pPr>
      <w:bookmarkStart w:id="4" w:name="_Hlk148370528"/>
    </w:p>
    <w:bookmarkEnd w:id="3"/>
    <w:p w14:paraId="3D6DBE67" w14:textId="0C019C08" w:rsidR="009A6F3D" w:rsidRPr="00477469" w:rsidRDefault="001509E6" w:rsidP="009A6F3D">
      <w:pPr>
        <w:pStyle w:val="Heading2"/>
        <w:rPr>
          <w:rFonts w:cs="Arial"/>
          <w:sz w:val="36"/>
          <w:szCs w:val="36"/>
        </w:rPr>
      </w:pPr>
      <w:r>
        <w:rPr>
          <w:rFonts w:cs="Arial"/>
          <w:sz w:val="36"/>
          <w:szCs w:val="36"/>
        </w:rPr>
        <w:t xml:space="preserve">C. </w:t>
      </w:r>
      <w:r w:rsidR="003171E0">
        <w:rPr>
          <w:rFonts w:cs="Arial"/>
          <w:sz w:val="36"/>
          <w:szCs w:val="36"/>
        </w:rPr>
        <w:t>Recognised categories of exception</w:t>
      </w:r>
    </w:p>
    <w:p w14:paraId="362E3EB3" w14:textId="13E6B141" w:rsidR="009A6F3D" w:rsidRPr="00477469" w:rsidRDefault="009A6F3D" w:rsidP="009A6F3D">
      <w:pPr>
        <w:rPr>
          <w:rFonts w:eastAsiaTheme="majorEastAsia" w:cs="Arial"/>
          <w:caps/>
          <w:color w:val="FFFFFF" w:themeColor="background1"/>
        </w:rPr>
      </w:pPr>
    </w:p>
    <w:p w14:paraId="7123AF0A"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For the offences of assault and battery, consent will be valid if it is express or implied and effective. When the offence concerns harm of ABH or GBH (sections 47, 20 and 18 of the Offences Against the Person Act 1861), consent will only be valid if it is express or implied and effective </w:t>
      </w:r>
      <w:r w:rsidRPr="003171E0">
        <w:rPr>
          <w:rFonts w:ascii="Cambria" w:eastAsia="Times New Roman" w:hAnsi="Cambria" w:cs="Arial"/>
          <w:b/>
          <w:bCs/>
          <w:u w:val="single"/>
          <w:lang w:eastAsia="en-GB"/>
        </w:rPr>
        <w:t>and</w:t>
      </w:r>
      <w:r w:rsidRPr="003171E0">
        <w:rPr>
          <w:rFonts w:ascii="Cambria" w:eastAsia="Times New Roman" w:hAnsi="Cambria" w:cs="Arial"/>
          <w:b/>
          <w:bCs/>
          <w:lang w:eastAsia="en-GB"/>
        </w:rPr>
        <w:t xml:space="preserve"> </w:t>
      </w:r>
      <w:r w:rsidRPr="003171E0">
        <w:rPr>
          <w:rFonts w:ascii="Cambria" w:eastAsia="Times New Roman" w:hAnsi="Cambria" w:cs="Arial"/>
          <w:lang w:eastAsia="en-GB"/>
        </w:rPr>
        <w:t>if the impugned conduct falls within a recognised category of exception. These exceptions include activity that the courts or parliament has recognised to be in the public interest because it involves some social purpose.</w:t>
      </w:r>
    </w:p>
    <w:bookmarkEnd w:id="4"/>
    <w:p w14:paraId="00FF0401" w14:textId="4A233AE4"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The key case for this is </w:t>
      </w:r>
      <w:r w:rsidRPr="003171E0">
        <w:rPr>
          <w:rFonts w:ascii="Cambria" w:eastAsia="Times New Roman" w:hAnsi="Cambria" w:cs="Arial"/>
          <w:i/>
          <w:iCs/>
          <w:u w:val="single"/>
          <w:lang w:eastAsia="en-GB"/>
        </w:rPr>
        <w:t xml:space="preserve">R v Brown </w:t>
      </w:r>
      <w:r w:rsidRPr="003171E0">
        <w:rPr>
          <w:rFonts w:ascii="Cambria" w:eastAsia="Times New Roman" w:hAnsi="Cambria" w:cs="Arial"/>
          <w:u w:val="single"/>
          <w:lang w:eastAsia="en-GB"/>
        </w:rPr>
        <w:t>[1994] AC 212.</w:t>
      </w:r>
      <w:r>
        <w:rPr>
          <w:rFonts w:ascii="Cambria" w:eastAsia="Times New Roman" w:hAnsi="Cambria" w:cs="Arial"/>
          <w:u w:val="single"/>
          <w:lang w:eastAsia="en-GB"/>
        </w:rPr>
        <w:t xml:space="preserve"> </w:t>
      </w:r>
      <w:r w:rsidRPr="003171E0">
        <w:rPr>
          <w:rFonts w:ascii="Cambria" w:eastAsia="Times New Roman" w:hAnsi="Cambria" w:cs="Arial"/>
          <w:lang w:eastAsia="en-GB"/>
        </w:rPr>
        <w:t>You must read this case.</w:t>
      </w:r>
    </w:p>
    <w:p w14:paraId="52494718" w14:textId="77777777" w:rsidR="003171E0" w:rsidRPr="003171E0" w:rsidRDefault="003171E0" w:rsidP="003171E0">
      <w:pPr>
        <w:numPr>
          <w:ilvl w:val="0"/>
          <w:numId w:val="17"/>
        </w:numPr>
        <w:spacing w:after="120" w:line="240" w:lineRule="auto"/>
        <w:contextualSpacing/>
        <w:jc w:val="both"/>
        <w:rPr>
          <w:rFonts w:ascii="Cambria" w:eastAsia="Times New Roman" w:hAnsi="Cambria" w:cs="Arial"/>
          <w:b/>
          <w:bCs/>
          <w:i/>
          <w:iCs/>
          <w:lang w:eastAsia="en-GB"/>
        </w:rPr>
      </w:pPr>
      <w:r w:rsidRPr="003171E0">
        <w:rPr>
          <w:rFonts w:ascii="Cambria" w:eastAsia="Times New Roman" w:hAnsi="Cambria" w:cs="Arial"/>
          <w:b/>
          <w:bCs/>
          <w:i/>
          <w:iCs/>
          <w:lang w:eastAsia="en-GB"/>
        </w:rPr>
        <w:t xml:space="preserve">R v Brown </w:t>
      </w:r>
      <w:r w:rsidRPr="003171E0">
        <w:rPr>
          <w:rFonts w:ascii="Cambria" w:eastAsia="Times New Roman" w:hAnsi="Cambria" w:cs="Arial"/>
          <w:b/>
          <w:bCs/>
          <w:lang w:eastAsia="en-GB"/>
        </w:rPr>
        <w:t>[1994] AC 212</w:t>
      </w:r>
    </w:p>
    <w:p w14:paraId="60394E6B" w14:textId="44970D14"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In </w:t>
      </w:r>
      <w:r w:rsidRPr="003171E0">
        <w:rPr>
          <w:rFonts w:ascii="Cambria" w:eastAsia="Times New Roman" w:hAnsi="Cambria" w:cs="Arial"/>
          <w:i/>
          <w:iCs/>
          <w:lang w:eastAsia="en-GB"/>
        </w:rPr>
        <w:t>R v Brown</w:t>
      </w:r>
      <w:r w:rsidRPr="003171E0">
        <w:rPr>
          <w:rFonts w:ascii="Cambria" w:eastAsia="Times New Roman" w:hAnsi="Cambria" w:cs="Arial"/>
          <w:lang w:eastAsia="en-GB"/>
        </w:rPr>
        <w:t>, the appellants were members of a group of homosexual men who took part in consensual sadomasochistic acts for the purposes of sexual gratification. The group video recorded the activities, and the tapes were subsequently found by the police. The men were charged under sections 47 and 20 of the Offences Against the Person Act 1861 and pleaded guilty following the trial judge’s ruling that consent was not a defence to these charges. The</w:t>
      </w:r>
      <w:r>
        <w:rPr>
          <w:rFonts w:ascii="Cambria" w:eastAsia="Times New Roman" w:hAnsi="Cambria" w:cs="Arial"/>
          <w:lang w:eastAsia="en-GB"/>
        </w:rPr>
        <w:t>y</w:t>
      </w:r>
      <w:r w:rsidRPr="003171E0">
        <w:rPr>
          <w:rFonts w:ascii="Cambria" w:eastAsia="Times New Roman" w:hAnsi="Cambria" w:cs="Arial"/>
          <w:lang w:eastAsia="en-GB"/>
        </w:rPr>
        <w:t xml:space="preserve"> appealed to the Court of Appeal on the basis that consent was relevant. The Court of Appeal dismissed their appeals and they then appealed to the House of Lords. The point of law of general public importance certified by the Court of Appeal was as follows: </w:t>
      </w:r>
    </w:p>
    <w:p w14:paraId="118236FD" w14:textId="77777777" w:rsidR="003171E0" w:rsidRPr="003171E0" w:rsidRDefault="003171E0" w:rsidP="003171E0">
      <w:pPr>
        <w:spacing w:after="120" w:line="240" w:lineRule="auto"/>
        <w:ind w:left="567" w:right="567"/>
        <w:jc w:val="both"/>
        <w:rPr>
          <w:rFonts w:ascii="Cambria" w:eastAsia="Times New Roman" w:hAnsi="Cambria" w:cs="Arial"/>
          <w:lang w:eastAsia="en-GB"/>
        </w:rPr>
      </w:pPr>
      <w:r w:rsidRPr="003171E0">
        <w:rPr>
          <w:rFonts w:ascii="Cambria" w:eastAsia="Times New Roman" w:hAnsi="Cambria" w:cs="Arial"/>
          <w:lang w:eastAsia="en-GB"/>
        </w:rPr>
        <w:t>“Where A wounds or assaults B occasioning him actual bodily harm in the course of a sadomasochistic encounter, does the prosecution have to prove lack of consent on the part of B before they can establish A’s guilt under section 20 and section 47 of the Offences Against the Person Act?”</w:t>
      </w:r>
    </w:p>
    <w:p w14:paraId="4B8452C3"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The House of Lords dismissed the appeal by a 3:2 majority, holding that it was not necessary to prove lack of consent. The decision is authority for the principle that where the injury charged amounts to actual bodily harm or grievous bodily harm, the defence of </w:t>
      </w:r>
      <w:r w:rsidRPr="003171E0">
        <w:rPr>
          <w:rFonts w:ascii="Cambria" w:eastAsia="Times New Roman" w:hAnsi="Cambria" w:cs="Arial"/>
          <w:lang w:eastAsia="en-GB"/>
        </w:rPr>
        <w:lastRenderedPageBreak/>
        <w:t>consent could only be used if the impugned conduct fell within one of an accepted category of exceptions. Per Lord Jauncey:</w:t>
      </w:r>
    </w:p>
    <w:p w14:paraId="2E67EE4A" w14:textId="77777777" w:rsidR="003171E0" w:rsidRPr="003171E0" w:rsidRDefault="003171E0" w:rsidP="003171E0">
      <w:pPr>
        <w:spacing w:after="120" w:line="240" w:lineRule="auto"/>
        <w:ind w:left="567" w:right="567"/>
        <w:jc w:val="both"/>
        <w:rPr>
          <w:rFonts w:ascii="Cambria" w:eastAsia="Times New Roman" w:hAnsi="Cambria" w:cs="Arial"/>
          <w:lang w:eastAsia="en-GB"/>
        </w:rPr>
      </w:pPr>
      <w:r w:rsidRPr="003171E0">
        <w:rPr>
          <w:rFonts w:ascii="Cambria" w:eastAsia="Times New Roman" w:hAnsi="Cambria" w:cs="Arial"/>
          <w:lang w:eastAsia="en-GB"/>
        </w:rPr>
        <w:t>“</w:t>
      </w:r>
      <w:r w:rsidRPr="003171E0">
        <w:rPr>
          <w:rFonts w:ascii="Cambria" w:eastAsia="Times New Roman" w:hAnsi="Cambria" w:cs="Arial"/>
          <w:i/>
          <w:iCs/>
          <w:lang w:eastAsia="en-GB"/>
        </w:rPr>
        <w:t>In my view the line properly falls to be drawn between assault at common law and the offence of assault occasioning actual bodily harm created by section 47 of the Offences Against the Person Act 1861, with the result that consent of the victim is no answer to anyone charged with the latter offence or with a contravention of section 20 unless the circumstances fall within one of the well known exceptions such as organised sporting contests and games, parental chastisement or reasonable surgery.”</w:t>
      </w:r>
    </w:p>
    <w:p w14:paraId="177F5910" w14:textId="269B1847" w:rsidR="00AC3C72"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These recognised categories of exception are ones that parliament and the courts have legally recognised to be activities to which the defence of consent may apply.</w:t>
      </w:r>
    </w:p>
    <w:p w14:paraId="0F519826" w14:textId="29CE5D59" w:rsidR="00AC3C72" w:rsidRPr="003171E0" w:rsidRDefault="00AC3C72" w:rsidP="003171E0">
      <w:pPr>
        <w:spacing w:after="120" w:line="240" w:lineRule="auto"/>
        <w:jc w:val="both"/>
        <w:rPr>
          <w:rFonts w:ascii="Cambria" w:eastAsia="Times New Roman" w:hAnsi="Cambria" w:cs="Arial"/>
          <w:i/>
          <w:iCs/>
          <w:lang w:eastAsia="en-GB"/>
        </w:rPr>
      </w:pPr>
      <w:r>
        <w:rPr>
          <w:rFonts w:ascii="Cambria" w:eastAsia="Times New Roman" w:hAnsi="Cambria" w:cs="Arial"/>
          <w:lang w:eastAsia="en-GB"/>
        </w:rPr>
        <w:t>The common law position in Brown is now reflected in legislation as section 71(2) of the Domestic Abuse Act 2021 provides that ‘it is not a defence that V consented to the infliction of the serious harm for the purposes of obtaining sexual gratification’. Serious harm is defined as ABH and GBH.</w:t>
      </w:r>
    </w:p>
    <w:p w14:paraId="39C27BCC" w14:textId="77777777" w:rsidR="003171E0" w:rsidRPr="003171E0" w:rsidRDefault="003171E0" w:rsidP="003171E0">
      <w:pPr>
        <w:numPr>
          <w:ilvl w:val="0"/>
          <w:numId w:val="17"/>
        </w:numPr>
        <w:spacing w:after="120" w:line="240" w:lineRule="auto"/>
        <w:contextualSpacing/>
        <w:jc w:val="both"/>
        <w:rPr>
          <w:rFonts w:ascii="Cambria" w:eastAsia="Times New Roman" w:hAnsi="Cambria" w:cs="Arial"/>
          <w:b/>
          <w:bCs/>
          <w:i/>
          <w:iCs/>
          <w:lang w:eastAsia="en-GB"/>
        </w:rPr>
      </w:pPr>
      <w:r w:rsidRPr="003171E0">
        <w:rPr>
          <w:rFonts w:ascii="Cambria" w:eastAsia="Times New Roman" w:hAnsi="Cambria" w:cs="Arial"/>
          <w:b/>
          <w:bCs/>
          <w:lang w:eastAsia="en-GB"/>
        </w:rPr>
        <w:t>Categories of exception</w:t>
      </w:r>
    </w:p>
    <w:p w14:paraId="75141AA5"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The below categories of exception have evolved as a matter of ‘public policy’, not in accordance with any particular legal principles of medical notions of acceptable harm. They are at times contradictory, and the boundaries of what constitutes an activity that is or is not recognised are not neat.</w:t>
      </w:r>
    </w:p>
    <w:p w14:paraId="1F4F2E78" w14:textId="77777777" w:rsidR="003171E0" w:rsidRPr="003171E0" w:rsidRDefault="003171E0" w:rsidP="003171E0">
      <w:pPr>
        <w:numPr>
          <w:ilvl w:val="2"/>
          <w:numId w:val="15"/>
        </w:numPr>
        <w:spacing w:after="120" w:line="240" w:lineRule="auto"/>
        <w:ind w:left="1800"/>
        <w:contextualSpacing/>
        <w:jc w:val="both"/>
        <w:rPr>
          <w:rFonts w:ascii="Cambria" w:eastAsia="Times New Roman" w:hAnsi="Cambria" w:cs="Arial"/>
          <w:b/>
          <w:bCs/>
          <w:lang w:eastAsia="en-GB"/>
        </w:rPr>
      </w:pPr>
      <w:r w:rsidRPr="003171E0">
        <w:rPr>
          <w:rFonts w:ascii="Cambria" w:eastAsia="Times New Roman" w:hAnsi="Cambria" w:cs="Arial"/>
          <w:b/>
          <w:bCs/>
          <w:lang w:eastAsia="en-GB"/>
        </w:rPr>
        <w:t>Surgery</w:t>
      </w:r>
    </w:p>
    <w:p w14:paraId="3BB67541"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Medical treatments, such as surgery, are a relatively straightforward example of an activity that might cause serious harm to an individual that can be validly consented to. This includes essential, or therapeutic surgery (surgeries carried out to improve the health of the patient) as well as non-essential, or non-therapeutic surgeries, such as cosmetic surgery, gender reassignment surgery (see: </w:t>
      </w:r>
      <w:r w:rsidRPr="003171E0">
        <w:rPr>
          <w:rFonts w:ascii="Cambria" w:eastAsia="Times New Roman" w:hAnsi="Cambria" w:cs="Arial"/>
          <w:i/>
          <w:iCs/>
          <w:lang w:eastAsia="en-GB"/>
        </w:rPr>
        <w:t xml:space="preserve">Corbett v Corbett </w:t>
      </w:r>
      <w:r w:rsidRPr="003171E0">
        <w:rPr>
          <w:rFonts w:ascii="Cambria" w:eastAsia="Times New Roman" w:hAnsi="Cambria" w:cs="Arial"/>
          <w:lang w:eastAsia="en-GB"/>
        </w:rPr>
        <w:t xml:space="preserve">[1971]), organ donation, religious circumcision, and contraceptive procedures. </w:t>
      </w:r>
    </w:p>
    <w:p w14:paraId="61BD1946" w14:textId="77777777" w:rsidR="003171E0" w:rsidRPr="003171E0" w:rsidRDefault="003171E0" w:rsidP="003171E0">
      <w:pPr>
        <w:tabs>
          <w:tab w:val="num" w:pos="1440"/>
        </w:tabs>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An exception to this otherwise non-controversial rule has emerged in relation to medical interventions that are carried out by non-medically trained individuals, such as body modification. This has generally been considered analogous to the category of piercings, tattooing, and haircutting.</w:t>
      </w:r>
    </w:p>
    <w:p w14:paraId="2E7F8A64" w14:textId="77777777" w:rsidR="003171E0" w:rsidRPr="003171E0" w:rsidRDefault="003171E0" w:rsidP="003171E0">
      <w:pPr>
        <w:numPr>
          <w:ilvl w:val="2"/>
          <w:numId w:val="15"/>
        </w:numPr>
        <w:spacing w:after="120" w:line="240" w:lineRule="auto"/>
        <w:ind w:left="1800"/>
        <w:contextualSpacing/>
        <w:jc w:val="both"/>
        <w:rPr>
          <w:rFonts w:ascii="Cambria" w:eastAsia="Times New Roman" w:hAnsi="Cambria" w:cs="Arial"/>
          <w:b/>
          <w:bCs/>
          <w:lang w:eastAsia="en-GB"/>
        </w:rPr>
      </w:pPr>
      <w:r w:rsidRPr="003171E0">
        <w:rPr>
          <w:rFonts w:ascii="Cambria" w:eastAsia="Times New Roman" w:hAnsi="Cambria" w:cs="Arial"/>
          <w:b/>
          <w:bCs/>
          <w:lang w:eastAsia="en-GB"/>
        </w:rPr>
        <w:t>Piercings, tattooing, hair cutting</w:t>
      </w:r>
    </w:p>
    <w:p w14:paraId="6DECF0BF"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Cosmetic procedures short of surgery, such as piercings, tattooing, and hair cutting can be validly consented to, regardless of whether they are carried out by a professional. In </w:t>
      </w:r>
      <w:r w:rsidRPr="003171E0">
        <w:rPr>
          <w:rFonts w:ascii="Cambria" w:eastAsia="Times New Roman" w:hAnsi="Cambria" w:cs="Arial"/>
          <w:i/>
          <w:iCs/>
          <w:lang w:eastAsia="en-GB"/>
        </w:rPr>
        <w:t xml:space="preserve">Wilson </w:t>
      </w:r>
      <w:r w:rsidRPr="003171E0">
        <w:rPr>
          <w:rFonts w:ascii="Cambria" w:eastAsia="Times New Roman" w:hAnsi="Cambria" w:cs="Arial"/>
          <w:lang w:eastAsia="en-GB"/>
        </w:rPr>
        <w:t xml:space="preserve">[1996] Crim LR 573, the defendant branded his initials on the victim, his wife’s, buttocks with a hot knife at her request and with her consent. The Court of Appeal allowed the Wilson’s appeal against conviction for ABH on the grounds that the conduct was akin to tattooing and so V’s consent was valid. There is a limit to the types of activity within this category to which consent will constitute a valid defence to harm. The key case is </w:t>
      </w:r>
      <w:r w:rsidRPr="003171E0">
        <w:rPr>
          <w:rFonts w:ascii="Cambria" w:eastAsia="Times New Roman" w:hAnsi="Cambria" w:cs="Arial"/>
          <w:i/>
          <w:iCs/>
          <w:lang w:eastAsia="en-GB"/>
        </w:rPr>
        <w:t>BM</w:t>
      </w:r>
      <w:r w:rsidRPr="003171E0">
        <w:rPr>
          <w:rFonts w:ascii="Cambria" w:eastAsia="Times New Roman" w:hAnsi="Cambria" w:cs="Arial"/>
          <w:lang w:eastAsia="en-GB"/>
        </w:rPr>
        <w:t xml:space="preserve"> [2018] EWCA Crim 560.</w:t>
      </w:r>
    </w:p>
    <w:p w14:paraId="35DCC819"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In BM, the defendant was a self-styled ‘body modification artist’, registered tattooist and body piercer. He removed the ear and nipple of two clients, and split the tongue of a third. All three requested, and provided consent to the procedure. The defendant was charged under section 18 of the Offences Against the Person Act 1861 and eventually pleaded guilty to the offence. This followed a Crown Court preparatory hearing that found that </w:t>
      </w:r>
      <w:r w:rsidRPr="003171E0">
        <w:rPr>
          <w:rFonts w:ascii="Cambria" w:eastAsia="Times New Roman" w:hAnsi="Cambria" w:cs="Arial"/>
          <w:lang w:eastAsia="en-GB"/>
        </w:rPr>
        <w:lastRenderedPageBreak/>
        <w:t xml:space="preserve">consent was not legally valid, and an interlocutory appeal hear by the Court of Appeal that upheld the Crown Court’s decision. Per Lord Burnett: </w:t>
      </w:r>
    </w:p>
    <w:p w14:paraId="71F53288" w14:textId="77777777" w:rsidR="003171E0" w:rsidRPr="003171E0" w:rsidRDefault="003171E0" w:rsidP="003171E0">
      <w:pPr>
        <w:spacing w:after="120" w:line="240" w:lineRule="auto"/>
        <w:ind w:left="567" w:right="567"/>
        <w:jc w:val="both"/>
        <w:rPr>
          <w:rFonts w:ascii="Cambria" w:eastAsia="Times New Roman" w:hAnsi="Cambria" w:cs="Arial"/>
          <w:lang w:eastAsia="en-GB"/>
        </w:rPr>
      </w:pPr>
      <w:r w:rsidRPr="003171E0">
        <w:rPr>
          <w:rFonts w:ascii="Cambria" w:eastAsia="Times New Roman" w:hAnsi="Cambria" w:cs="Arial"/>
          <w:i/>
          <w:iCs/>
          <w:lang w:eastAsia="en-GB"/>
        </w:rPr>
        <w:t>“we can see no good reason why body modification should be placed in a special category of exemption from the general rule that the consent of an individual to injury provides no defence to the person who inflicts that injury of the violence causes actual bodily harm or more serious injury.”</w:t>
      </w:r>
    </w:p>
    <w:p w14:paraId="66A0883C"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The judgment has clarified the boundaries of this category of exemption – routine piercings and tattooing will constitute activities to which consent can be validly given, but “extreme cosmetic surgery” of the type undertaken in </w:t>
      </w:r>
      <w:r w:rsidRPr="003171E0">
        <w:rPr>
          <w:rFonts w:ascii="Cambria" w:eastAsia="Times New Roman" w:hAnsi="Cambria" w:cs="Arial"/>
          <w:i/>
          <w:iCs/>
          <w:lang w:eastAsia="en-GB"/>
        </w:rPr>
        <w:t>BM</w:t>
      </w:r>
      <w:r w:rsidRPr="003171E0">
        <w:rPr>
          <w:rFonts w:ascii="Cambria" w:eastAsia="Times New Roman" w:hAnsi="Cambria" w:cs="Arial"/>
          <w:lang w:eastAsia="en-GB"/>
        </w:rPr>
        <w:t xml:space="preserve"> will not. However, it has left the middle ground rather murky, and the Court offered no guidance as to what types of activities would be considered akin to piercing and tattooing, and what would not. </w:t>
      </w:r>
    </w:p>
    <w:p w14:paraId="37975750" w14:textId="77777777" w:rsidR="003171E0" w:rsidRPr="003171E0" w:rsidRDefault="003171E0" w:rsidP="003171E0">
      <w:pPr>
        <w:numPr>
          <w:ilvl w:val="2"/>
          <w:numId w:val="15"/>
        </w:numPr>
        <w:spacing w:after="120" w:line="240" w:lineRule="auto"/>
        <w:ind w:left="1800"/>
        <w:contextualSpacing/>
        <w:jc w:val="both"/>
        <w:rPr>
          <w:rFonts w:ascii="Cambria" w:eastAsia="Times New Roman" w:hAnsi="Cambria" w:cs="Arial"/>
          <w:b/>
          <w:bCs/>
          <w:lang w:eastAsia="en-GB"/>
        </w:rPr>
      </w:pPr>
      <w:r w:rsidRPr="003171E0">
        <w:rPr>
          <w:rFonts w:ascii="Cambria" w:eastAsia="Times New Roman" w:hAnsi="Cambria" w:cs="Arial"/>
          <w:b/>
          <w:bCs/>
          <w:lang w:eastAsia="en-GB"/>
        </w:rPr>
        <w:t>Religious flagellation</w:t>
      </w:r>
    </w:p>
    <w:p w14:paraId="43FD7905"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Religious flagellation, that is beating or whipping as part of a religious ritual, has been deemed to be a category of exception to the rule that consent is not a valid defence to serious harm.  Recognised as an exception by Lord Mustill in </w:t>
      </w:r>
      <w:r w:rsidRPr="003171E0">
        <w:rPr>
          <w:rFonts w:ascii="Cambria" w:eastAsia="Times New Roman" w:hAnsi="Cambria" w:cs="Arial"/>
          <w:i/>
          <w:iCs/>
          <w:lang w:eastAsia="en-GB"/>
        </w:rPr>
        <w:t>R v Brown</w:t>
      </w:r>
      <w:r w:rsidRPr="003171E0">
        <w:rPr>
          <w:rFonts w:ascii="Cambria" w:eastAsia="Times New Roman" w:hAnsi="Cambria" w:cs="Arial"/>
          <w:lang w:eastAsia="en-GB"/>
        </w:rPr>
        <w:t>:</w:t>
      </w:r>
    </w:p>
    <w:p w14:paraId="6E18904D" w14:textId="77777777" w:rsidR="003171E0" w:rsidRPr="003171E0" w:rsidRDefault="003171E0" w:rsidP="003171E0">
      <w:pPr>
        <w:spacing w:after="120" w:line="240" w:lineRule="auto"/>
        <w:ind w:left="567" w:right="567"/>
        <w:rPr>
          <w:rFonts w:ascii="Cambria" w:eastAsia="Times New Roman" w:hAnsi="Cambria" w:cs="Times New Roman"/>
          <w:i/>
          <w:iCs/>
          <w:lang w:eastAsia="en-GB"/>
        </w:rPr>
      </w:pPr>
      <w:r w:rsidRPr="003171E0">
        <w:rPr>
          <w:rFonts w:ascii="Cambria" w:eastAsia="Times New Roman" w:hAnsi="Cambria" w:cs="Times New Roman"/>
          <w:i/>
          <w:iCs/>
          <w:lang w:eastAsia="en-GB"/>
        </w:rPr>
        <w:t>“For the sake of completeness I should mention that the list of situations in which one person may agree to the infliction of harm, or to the risk of infliction of harm, by another includes dangerous pastimes, bravado (as where a boastful man challenges another to try to hurt him with a blow) and religious mortification. These examples have little in common with one another and even less with the present case. They do not appear to be discussed in the authorities although dangerous pastimes are briefly mentioned and I see no advantage in exploring them here.”</w:t>
      </w:r>
    </w:p>
    <w:p w14:paraId="3F64D1DC" w14:textId="77777777" w:rsidR="003171E0" w:rsidRPr="003171E0" w:rsidRDefault="003171E0" w:rsidP="003171E0">
      <w:pPr>
        <w:numPr>
          <w:ilvl w:val="2"/>
          <w:numId w:val="15"/>
        </w:numPr>
        <w:spacing w:after="120" w:line="240" w:lineRule="auto"/>
        <w:ind w:left="1800"/>
        <w:contextualSpacing/>
        <w:jc w:val="both"/>
        <w:rPr>
          <w:rFonts w:ascii="Cambria" w:eastAsia="Times New Roman" w:hAnsi="Cambria" w:cs="Arial"/>
          <w:b/>
          <w:bCs/>
          <w:lang w:eastAsia="en-GB"/>
        </w:rPr>
      </w:pPr>
      <w:r w:rsidRPr="003171E0">
        <w:rPr>
          <w:rFonts w:ascii="Cambria" w:eastAsia="Times New Roman" w:hAnsi="Cambria" w:cs="Arial"/>
          <w:b/>
          <w:bCs/>
          <w:lang w:eastAsia="en-GB"/>
        </w:rPr>
        <w:t>Sports</w:t>
      </w:r>
    </w:p>
    <w:p w14:paraId="19D3B061" w14:textId="77777777" w:rsidR="003171E0" w:rsidRPr="003171E0" w:rsidRDefault="003171E0" w:rsidP="003171E0">
      <w:pPr>
        <w:tabs>
          <w:tab w:val="num" w:pos="720"/>
        </w:tabs>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The law recognises that the social utility of sport, despite the high risk of bodily injury involved in some sports, means it falls into a category of exception to the general rule that consent is no valid defence to serious harm. Several principle have developed to ensure that consent to the harm involved in sport is valid.</w:t>
      </w:r>
    </w:p>
    <w:p w14:paraId="69222957"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First, the sport must be recognised by the law as lawful, well-established sports with rule-making bodies, such as rugby union, cricket, hockey, and association football, easily fall into this category. However, where V’s injury results from an unrecognised sport then consent will be invalid and D may be liable.</w:t>
      </w:r>
    </w:p>
    <w:p w14:paraId="5E98DFF8" w14:textId="77777777" w:rsidR="003171E0" w:rsidRPr="003171E0" w:rsidRDefault="003171E0" w:rsidP="003171E0">
      <w:pPr>
        <w:tabs>
          <w:tab w:val="num" w:pos="1440"/>
        </w:tabs>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Secondly, no offence will arise where harm is caused within the rules of the sport, played consensually; this has been implicitly consented to by V. This includes, for example, where V suffers harm after being tackled by D in a rugby match, but where that tackle was not considered a foul. However, where an injury has been intentionally inflicted, even if it is within the rules of the game, it could be considered unlawful: </w:t>
      </w:r>
      <w:r w:rsidRPr="003171E0">
        <w:rPr>
          <w:rFonts w:ascii="Cambria" w:eastAsia="Times New Roman" w:hAnsi="Cambria" w:cs="Arial"/>
          <w:i/>
          <w:iCs/>
          <w:lang w:eastAsia="en-GB"/>
        </w:rPr>
        <w:t>Bradshaw</w:t>
      </w:r>
      <w:r w:rsidRPr="003171E0">
        <w:rPr>
          <w:rFonts w:ascii="Cambria" w:eastAsia="Times New Roman" w:hAnsi="Cambria" w:cs="Arial"/>
          <w:lang w:eastAsia="en-GB"/>
        </w:rPr>
        <w:t xml:space="preserve"> (1878) Cox CC 83.</w:t>
      </w:r>
    </w:p>
    <w:p w14:paraId="29D5267B"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Third, consent may be valid to injuries that result outside the rules of the game, but which might constitute legitimate foul play that V has still impliedly consented to. This includes inadvertent or reckless behaviour, such as a late tackle in association football: </w:t>
      </w:r>
      <w:r w:rsidRPr="003171E0">
        <w:rPr>
          <w:rFonts w:ascii="Cambria" w:eastAsia="Times New Roman" w:hAnsi="Cambria" w:cs="Arial"/>
          <w:i/>
          <w:iCs/>
          <w:lang w:eastAsia="en-GB"/>
        </w:rPr>
        <w:t xml:space="preserve">Barnes </w:t>
      </w:r>
      <w:r w:rsidRPr="003171E0">
        <w:rPr>
          <w:rFonts w:ascii="Cambria" w:eastAsia="Times New Roman" w:hAnsi="Cambria" w:cs="Arial"/>
          <w:lang w:eastAsia="en-GB"/>
        </w:rPr>
        <w:t xml:space="preserve">[2005] 1 WLR 910. The Court of Appeal set out a range of factors to be considered in these types of cases: the type of sport, the level at which it is being played, the nature of the act, the degree of force, the extent of the risk of injury and D’s state of mind. </w:t>
      </w:r>
    </w:p>
    <w:p w14:paraId="7131FA0C" w14:textId="77777777" w:rsidR="003171E0" w:rsidRPr="003171E0" w:rsidRDefault="003171E0" w:rsidP="003171E0">
      <w:pPr>
        <w:spacing w:after="120" w:line="240" w:lineRule="auto"/>
        <w:jc w:val="both"/>
        <w:rPr>
          <w:rFonts w:ascii="Cambria" w:eastAsia="Times New Roman" w:hAnsi="Cambria" w:cs="Arial"/>
          <w:b/>
          <w:bCs/>
          <w:lang w:eastAsia="en-GB"/>
        </w:rPr>
      </w:pPr>
      <w:r w:rsidRPr="003171E0">
        <w:rPr>
          <w:rFonts w:ascii="Cambria" w:eastAsia="Times New Roman" w:hAnsi="Cambria" w:cs="Arial"/>
          <w:lang w:eastAsia="en-GB"/>
        </w:rPr>
        <w:lastRenderedPageBreak/>
        <w:t xml:space="preserve">Finally, an offence may arise where D intentionally engages in conduct that breaches the rules of the sport to such an extent that it is not validly consented to: </w:t>
      </w:r>
      <w:r w:rsidRPr="003171E0">
        <w:rPr>
          <w:rFonts w:ascii="Cambria" w:eastAsia="Times New Roman" w:hAnsi="Cambria" w:cs="Arial"/>
          <w:i/>
          <w:iCs/>
          <w:lang w:eastAsia="en-GB"/>
        </w:rPr>
        <w:t xml:space="preserve">Barnes </w:t>
      </w:r>
      <w:r w:rsidRPr="003171E0">
        <w:rPr>
          <w:rFonts w:ascii="Cambria" w:eastAsia="Times New Roman" w:hAnsi="Cambria" w:cs="Arial"/>
          <w:lang w:eastAsia="en-GB"/>
        </w:rPr>
        <w:t>[2005] 1 WLR 910.</w:t>
      </w:r>
    </w:p>
    <w:p w14:paraId="2552957F" w14:textId="77777777" w:rsidR="003171E0" w:rsidRPr="003171E0" w:rsidRDefault="003171E0" w:rsidP="003171E0">
      <w:pPr>
        <w:numPr>
          <w:ilvl w:val="2"/>
          <w:numId w:val="15"/>
        </w:numPr>
        <w:spacing w:after="120" w:line="240" w:lineRule="auto"/>
        <w:ind w:left="1800"/>
        <w:contextualSpacing/>
        <w:jc w:val="both"/>
        <w:rPr>
          <w:rFonts w:ascii="Cambria" w:eastAsia="Times New Roman" w:hAnsi="Cambria" w:cs="Arial"/>
          <w:b/>
          <w:bCs/>
          <w:lang w:eastAsia="en-GB"/>
        </w:rPr>
      </w:pPr>
      <w:r w:rsidRPr="003171E0">
        <w:rPr>
          <w:rFonts w:ascii="Cambria" w:eastAsia="Times New Roman" w:hAnsi="Cambria" w:cs="Arial"/>
          <w:b/>
          <w:bCs/>
          <w:lang w:eastAsia="en-GB"/>
        </w:rPr>
        <w:t>Horseplay</w:t>
      </w:r>
    </w:p>
    <w:p w14:paraId="6C3DFBC8" w14:textId="77777777" w:rsidR="003171E0" w:rsidRPr="003171E0" w:rsidRDefault="003171E0" w:rsidP="003171E0">
      <w:pPr>
        <w:tabs>
          <w:tab w:val="num" w:pos="720"/>
        </w:tabs>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This category of exception recognises that consent may validly be given to conduct that does not constitute organised sport but which might fall into the category of ‘rough’ or ‘undisciplined’ play. The defence will be available as long as there is a genuine belief in the consent of V, even if it is an unreasonable one. If injury is intentionally inflicted however, it will lose its essential character of ‘play’ and consent will not be valid. There are three key cases:</w:t>
      </w:r>
    </w:p>
    <w:p w14:paraId="20F10EE9"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In </w:t>
      </w:r>
      <w:r w:rsidRPr="003171E0">
        <w:rPr>
          <w:rFonts w:ascii="Cambria" w:eastAsia="Times New Roman" w:hAnsi="Cambria" w:cs="Arial"/>
          <w:i/>
          <w:iCs/>
          <w:lang w:eastAsia="en-GB"/>
        </w:rPr>
        <w:t xml:space="preserve">Jones </w:t>
      </w:r>
      <w:r w:rsidRPr="003171E0">
        <w:rPr>
          <w:rFonts w:ascii="Cambria" w:eastAsia="Times New Roman" w:hAnsi="Cambria" w:cs="Arial"/>
          <w:lang w:eastAsia="en-GB"/>
        </w:rPr>
        <w:t xml:space="preserve">[1987] Crim LR 123, schoolboys were injured by being tossed up in the air (and dropped) by their schoolmates. </w:t>
      </w:r>
    </w:p>
    <w:p w14:paraId="5AD5BFCF" w14:textId="77777777"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In </w:t>
      </w:r>
      <w:r w:rsidRPr="003171E0">
        <w:rPr>
          <w:rFonts w:ascii="Cambria" w:eastAsia="Times New Roman" w:hAnsi="Cambria" w:cs="Arial"/>
          <w:i/>
          <w:iCs/>
          <w:lang w:eastAsia="en-GB"/>
        </w:rPr>
        <w:t>Aitken</w:t>
      </w:r>
      <w:r w:rsidRPr="003171E0">
        <w:rPr>
          <w:rFonts w:ascii="Cambria" w:eastAsia="Times New Roman" w:hAnsi="Cambria" w:cs="Arial"/>
          <w:lang w:eastAsia="en-GB"/>
        </w:rPr>
        <w:t xml:space="preserve"> [1992] 1 WLR 1006, RAF officers set fire to one another’s fire-resistant clothing, causing V severe burns. It was held that if V consented to the activities, or if D believed that V consented, whether that belief was reasonable or not, then the trial court could find that no offence had been committed.</w:t>
      </w:r>
    </w:p>
    <w:p w14:paraId="552C46C2" w14:textId="17171975" w:rsidR="003171E0" w:rsidRP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In </w:t>
      </w:r>
      <w:r w:rsidRPr="003171E0">
        <w:rPr>
          <w:rFonts w:ascii="Cambria" w:eastAsia="Times New Roman" w:hAnsi="Cambria" w:cs="Arial"/>
          <w:i/>
          <w:iCs/>
          <w:lang w:eastAsia="en-GB"/>
        </w:rPr>
        <w:t>A</w:t>
      </w:r>
      <w:r w:rsidRPr="003171E0">
        <w:rPr>
          <w:rFonts w:ascii="Cambria" w:eastAsia="Times New Roman" w:hAnsi="Cambria" w:cs="Arial"/>
          <w:lang w:eastAsia="en-GB"/>
        </w:rPr>
        <w:t xml:space="preserve"> [2005] All ER 38, D dropped V, a non-swimmer off a bridge into the river and V drowned. V had been fighting against D to stop this from happening. The court held that it was not credible for D to state that D believed V to be consenting, and so consent was not considered a valid defence. Horseplay can only be relied upon as a defence if D genuinely believes V to be consenting.</w:t>
      </w:r>
    </w:p>
    <w:p w14:paraId="1EA36329" w14:textId="77777777" w:rsidR="003171E0" w:rsidRPr="003171E0" w:rsidRDefault="003171E0" w:rsidP="003171E0">
      <w:pPr>
        <w:numPr>
          <w:ilvl w:val="2"/>
          <w:numId w:val="15"/>
        </w:numPr>
        <w:spacing w:after="120" w:line="240" w:lineRule="auto"/>
        <w:ind w:left="1800"/>
        <w:contextualSpacing/>
        <w:jc w:val="both"/>
        <w:rPr>
          <w:rFonts w:ascii="Cambria" w:eastAsia="Times New Roman" w:hAnsi="Cambria" w:cs="Arial"/>
          <w:b/>
          <w:bCs/>
          <w:lang w:eastAsia="en-GB"/>
        </w:rPr>
      </w:pPr>
      <w:r w:rsidRPr="003171E0">
        <w:rPr>
          <w:rFonts w:ascii="Cambria" w:eastAsia="Times New Roman" w:hAnsi="Cambria" w:cs="Arial"/>
          <w:b/>
          <w:bCs/>
          <w:lang w:eastAsia="en-GB"/>
        </w:rPr>
        <w:t>Sexually transmitted infections</w:t>
      </w:r>
    </w:p>
    <w:p w14:paraId="7D1FD7D5" w14:textId="53819AF9" w:rsidR="003171E0" w:rsidRPr="003171E0" w:rsidRDefault="003171E0" w:rsidP="003171E0">
      <w:pPr>
        <w:tabs>
          <w:tab w:val="num" w:pos="720"/>
        </w:tabs>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The decision of the Court of Appeal in </w:t>
      </w:r>
      <w:r w:rsidRPr="003171E0">
        <w:rPr>
          <w:rFonts w:ascii="Cambria" w:eastAsia="Times New Roman" w:hAnsi="Cambria" w:cs="Arial"/>
          <w:i/>
          <w:iCs/>
          <w:lang w:eastAsia="en-GB"/>
        </w:rPr>
        <w:t xml:space="preserve">R v Dica </w:t>
      </w:r>
      <w:r w:rsidRPr="003171E0">
        <w:rPr>
          <w:rFonts w:ascii="Cambria" w:eastAsia="Times New Roman" w:hAnsi="Cambria" w:cs="Arial"/>
          <w:lang w:eastAsia="en-GB"/>
        </w:rPr>
        <w:t xml:space="preserve">[2004] QB 1257 (CA) is that an adult is entitled to give valid consent to the risk of being infected with a potentially lethal sexually transmitted disease, such as HIV, so long as the consent is effective, that is, that it is given freely and informed. In </w:t>
      </w:r>
      <w:r w:rsidRPr="003171E0">
        <w:rPr>
          <w:rFonts w:ascii="Cambria" w:eastAsia="Times New Roman" w:hAnsi="Cambria" w:cs="Arial"/>
          <w:i/>
          <w:iCs/>
          <w:lang w:eastAsia="en-GB"/>
        </w:rPr>
        <w:t>Dica</w:t>
      </w:r>
      <w:r w:rsidRPr="003171E0">
        <w:rPr>
          <w:rFonts w:ascii="Cambria" w:eastAsia="Times New Roman" w:hAnsi="Cambria" w:cs="Arial"/>
          <w:lang w:eastAsia="en-GB"/>
        </w:rPr>
        <w:t xml:space="preserve">, the defendant was HIV positive and concealed this from the two victims, each of whom contracted HIV. The defendant’s appeal against conviction was unsuccessful, as the victims were found not </w:t>
      </w:r>
      <w:r w:rsidR="00AC3C72">
        <w:rPr>
          <w:rFonts w:ascii="Cambria" w:eastAsia="Times New Roman" w:hAnsi="Cambria" w:cs="Arial"/>
          <w:lang w:eastAsia="en-GB"/>
        </w:rPr>
        <w:t xml:space="preserve">to </w:t>
      </w:r>
      <w:r w:rsidRPr="003171E0">
        <w:rPr>
          <w:rFonts w:ascii="Cambria" w:eastAsia="Times New Roman" w:hAnsi="Cambria" w:cs="Arial"/>
          <w:lang w:eastAsia="en-GB"/>
        </w:rPr>
        <w:t xml:space="preserve">have given informed consent – they did not know that they were running the risk of infection. However, the judgment is authority for the proposition that where the victim agreed to have sexual intercourse with the defendant, aware that he was infectious and that therefore there was a risk that the infection would be passed on, this consent may provide a defence to a charge under the Offences Against the Person Act 1861. This was because the criminalisation of consensual taking of risks would be impractical to enforce and undermines the general public understanding that sexual relationships constitute ‘pre-eminently private’ activity. This somewhat contradicts the judgment in </w:t>
      </w:r>
      <w:r w:rsidRPr="003171E0">
        <w:rPr>
          <w:rFonts w:ascii="Cambria" w:eastAsia="Times New Roman" w:hAnsi="Cambria" w:cs="Arial"/>
          <w:i/>
          <w:iCs/>
          <w:lang w:eastAsia="en-GB"/>
        </w:rPr>
        <w:t>Brown</w:t>
      </w:r>
      <w:r w:rsidRPr="003171E0">
        <w:rPr>
          <w:rFonts w:ascii="Cambria" w:eastAsia="Times New Roman" w:hAnsi="Cambria" w:cs="Arial"/>
          <w:lang w:eastAsia="en-GB"/>
        </w:rPr>
        <w:t xml:space="preserve">. The decision also goes against the underpinning idea of the list of recognised exceptions that they constitute activities that are considered to have some social utility or benefit, such as sports, piercing, and surgery. </w:t>
      </w:r>
    </w:p>
    <w:p w14:paraId="49A81292" w14:textId="32E4B4CE" w:rsidR="003171E0" w:rsidRDefault="003171E0" w:rsidP="003171E0">
      <w:pPr>
        <w:spacing w:after="120" w:line="240" w:lineRule="auto"/>
        <w:jc w:val="both"/>
        <w:rPr>
          <w:rFonts w:ascii="Cambria" w:eastAsia="Times New Roman" w:hAnsi="Cambria" w:cs="Arial"/>
          <w:lang w:eastAsia="en-GB"/>
        </w:rPr>
      </w:pPr>
      <w:r w:rsidRPr="003171E0">
        <w:rPr>
          <w:rFonts w:ascii="Cambria" w:eastAsia="Times New Roman" w:hAnsi="Cambria" w:cs="Arial"/>
          <w:lang w:eastAsia="en-GB"/>
        </w:rPr>
        <w:t xml:space="preserve">In </w:t>
      </w:r>
      <w:r w:rsidRPr="003171E0">
        <w:rPr>
          <w:rFonts w:ascii="Cambria" w:eastAsia="Times New Roman" w:hAnsi="Cambria" w:cs="Arial"/>
          <w:i/>
          <w:iCs/>
          <w:lang w:eastAsia="en-GB"/>
        </w:rPr>
        <w:t xml:space="preserve">Konzani </w:t>
      </w:r>
      <w:r w:rsidRPr="003171E0">
        <w:rPr>
          <w:rFonts w:ascii="Cambria" w:eastAsia="Times New Roman" w:hAnsi="Cambria" w:cs="Arial"/>
          <w:lang w:eastAsia="en-GB"/>
        </w:rPr>
        <w:t xml:space="preserve">[2005] EWCA Crim 706, the Court of Appeal revisited this question. Konzani had unprotected sexual intercourse with three women without informing them that he was HIV positive. The three women subsequently contracted HIV. Each of them consented to unprotected sexual intercourse. The Court held that the victims had consented to the general risks associated with unprotected sexual intercourse but not to the specific risk of HIV transmission, and so their consent to the former was invalid as a defence to the latter. The key again was as to what constituted ‘informed consent’, this is the subject of CPS guidance. </w:t>
      </w:r>
    </w:p>
    <w:p w14:paraId="0AF908BF" w14:textId="77777777" w:rsidR="003171E0" w:rsidRPr="003171E0" w:rsidRDefault="003171E0" w:rsidP="003171E0">
      <w:pPr>
        <w:spacing w:after="120" w:line="240" w:lineRule="auto"/>
        <w:jc w:val="both"/>
        <w:rPr>
          <w:rFonts w:ascii="Cambria" w:eastAsia="Times New Roman" w:hAnsi="Cambria" w:cs="Arial"/>
          <w:lang w:eastAsia="en-GB"/>
        </w:rPr>
      </w:pPr>
    </w:p>
    <w:p w14:paraId="4FDD3F2F" w14:textId="20FA06D4" w:rsidR="003171E0" w:rsidRPr="003171E0" w:rsidRDefault="003171E0" w:rsidP="003171E0">
      <w:pPr>
        <w:spacing w:after="120" w:line="240" w:lineRule="auto"/>
        <w:rPr>
          <w:rFonts w:ascii="Cambria" w:eastAsia="Times New Roman" w:hAnsi="Cambria" w:cs="Arial"/>
          <w:bCs/>
          <w:iCs/>
          <w:lang w:eastAsia="en-GB"/>
        </w:rPr>
      </w:pPr>
      <w:r w:rsidRPr="003171E0">
        <w:rPr>
          <w:rFonts w:ascii="Cambria" w:eastAsia="Times New Roman" w:hAnsi="Cambria" w:cs="Arial"/>
          <w:bCs/>
          <w:iCs/>
          <w:lang w:eastAsia="en-GB"/>
        </w:rPr>
        <w:t xml:space="preserve">CPS, </w:t>
      </w:r>
      <w:hyperlink r:id="rId9" w:history="1">
        <w:r w:rsidRPr="003171E0">
          <w:rPr>
            <w:rStyle w:val="Hyperlink"/>
            <w:rFonts w:ascii="Cambria" w:eastAsia="Times New Roman" w:hAnsi="Cambria" w:cs="Arial"/>
            <w:bCs/>
            <w:i/>
            <w:lang w:eastAsia="en-GB"/>
          </w:rPr>
          <w:t>Legal Guidance on Intentional/ Reckless Sexual Transmission of Infection</w:t>
        </w:r>
      </w:hyperlink>
      <w:r w:rsidRPr="003171E0">
        <w:rPr>
          <w:rFonts w:ascii="Cambria" w:eastAsia="Times New Roman" w:hAnsi="Cambria" w:cs="Arial"/>
          <w:bCs/>
          <w:iCs/>
          <w:lang w:eastAsia="en-GB"/>
        </w:rPr>
        <w:t>:</w:t>
      </w:r>
    </w:p>
    <w:p w14:paraId="755EC71E" w14:textId="77777777" w:rsidR="003171E0" w:rsidRPr="003171E0" w:rsidRDefault="003171E0" w:rsidP="003171E0">
      <w:pPr>
        <w:spacing w:line="240" w:lineRule="auto"/>
        <w:ind w:left="720"/>
        <w:rPr>
          <w:rFonts w:ascii="Cambria" w:hAnsi="Cambria"/>
        </w:rPr>
      </w:pPr>
      <w:r w:rsidRPr="003171E0">
        <w:rPr>
          <w:rFonts w:ascii="Cambria" w:hAnsi="Cambria"/>
        </w:rPr>
        <w:t>With regard to consent, there is no legal requirement that a person must inform their partner that they have an STI. However, if they do so, the consent of B to the specific risk of transmission is a defence to reckless transmission (section 20 OAPA) which, once raised with evidence, must be disproved to the criminal standard by the prosecution: see Dica. It is not, however, a defence to intentional transmission (section18 OAPA) of an STI: R v Donovan [1934] 2 KB 498; Attorney General's Reference (No. 6 of 1980) [1981] QB 715.</w:t>
      </w:r>
    </w:p>
    <w:p w14:paraId="5009B5A5" w14:textId="77777777" w:rsidR="003171E0" w:rsidRPr="003171E0" w:rsidRDefault="003171E0" w:rsidP="003171E0">
      <w:pPr>
        <w:spacing w:line="240" w:lineRule="auto"/>
        <w:rPr>
          <w:rFonts w:ascii="Cambria" w:hAnsi="Cambria"/>
        </w:rPr>
      </w:pPr>
    </w:p>
    <w:p w14:paraId="1F8A5C93" w14:textId="77777777" w:rsidR="003171E0" w:rsidRPr="003171E0" w:rsidRDefault="003171E0" w:rsidP="003171E0">
      <w:pPr>
        <w:spacing w:line="240" w:lineRule="auto"/>
        <w:ind w:left="720"/>
        <w:rPr>
          <w:rFonts w:ascii="Cambria" w:hAnsi="Cambria"/>
        </w:rPr>
      </w:pPr>
      <w:r w:rsidRPr="003171E0">
        <w:rPr>
          <w:rFonts w:ascii="Cambria" w:hAnsi="Cambria"/>
        </w:rPr>
        <w:t>This defence is raised where (a) in fact, B consented to the risk of contracting the STI (which means, having been informed about the risk, consciously thinking about the risk and deciding to take it) or (b) where A honestly believed that B was in fact consenting. For the defence of honest belief in consent to be left to the jury, there must be some evidence that it was consent which would amount to a defence: simply advancing a claim of honest belief will not suffice. There must be some evidence on which A could honestly believe that B had been informed of the risk of transmission, had thought about it and had taken that risk: R v Konzani [2005] EWCA Crim 706.</w:t>
      </w:r>
    </w:p>
    <w:p w14:paraId="1A0E40E1" w14:textId="77777777" w:rsidR="003171E0" w:rsidRPr="003171E0" w:rsidRDefault="003171E0" w:rsidP="003171E0">
      <w:pPr>
        <w:spacing w:line="240" w:lineRule="auto"/>
        <w:rPr>
          <w:rFonts w:ascii="Cambria" w:hAnsi="Cambria"/>
        </w:rPr>
      </w:pPr>
    </w:p>
    <w:p w14:paraId="5FA52E3D" w14:textId="344A2A4C" w:rsidR="001F7B71" w:rsidRDefault="003171E0" w:rsidP="003171E0">
      <w:pPr>
        <w:spacing w:line="240" w:lineRule="auto"/>
        <w:ind w:left="720"/>
      </w:pPr>
      <w:r w:rsidRPr="003171E0">
        <w:rPr>
          <w:rFonts w:ascii="Cambria" w:hAnsi="Cambria"/>
        </w:rPr>
        <w:t>Informed consent does not necessarily mean that A must disclose their condition to B. B may be regarded as being informed for the purposes of giving consent where a third party informs them of A's condition, and B then engages in unprotected sexual activity with A. Similarly, B may be regarded as being informed if they become aware of certain circumstances that indicate that A is suffering from a STI, such as visiting A while they are undergoing treatment for the infection in hospital, or the appearance of sores on A's genitalia (see Konzani, paragraph 44</w:t>
      </w:r>
      <w:r>
        <w:t>.)</w:t>
      </w:r>
    </w:p>
    <w:p w14:paraId="1C457EDA" w14:textId="04810F3A" w:rsidR="001509E6" w:rsidRDefault="001509E6" w:rsidP="003171E0">
      <w:pPr>
        <w:spacing w:line="240" w:lineRule="auto"/>
        <w:ind w:left="720"/>
      </w:pPr>
    </w:p>
    <w:p w14:paraId="20518628" w14:textId="77777777" w:rsidR="001509E6" w:rsidRPr="00477469" w:rsidRDefault="001509E6" w:rsidP="001509E6">
      <w:pPr>
        <w:rPr>
          <w:rFonts w:eastAsiaTheme="majorEastAsia" w:cs="Arial"/>
          <w:caps/>
          <w:color w:val="FFFFFF" w:themeColor="background1"/>
        </w:rPr>
      </w:pPr>
      <w:bookmarkStart w:id="5" w:name="_Hlk148374660"/>
    </w:p>
    <w:p w14:paraId="7294828C" w14:textId="262325FC" w:rsidR="001509E6" w:rsidRPr="00477469" w:rsidRDefault="001509E6" w:rsidP="001509E6">
      <w:pPr>
        <w:pStyle w:val="Heading2"/>
        <w:rPr>
          <w:rFonts w:cs="Arial"/>
          <w:sz w:val="36"/>
          <w:szCs w:val="36"/>
        </w:rPr>
      </w:pPr>
      <w:r>
        <w:rPr>
          <w:rFonts w:cs="Arial"/>
          <w:sz w:val="36"/>
          <w:szCs w:val="36"/>
        </w:rPr>
        <w:t>D. LAWFUL CHASTISEMENT of a child</w:t>
      </w:r>
    </w:p>
    <w:p w14:paraId="46612E48" w14:textId="77777777" w:rsidR="001509E6" w:rsidRPr="00477469" w:rsidRDefault="001509E6" w:rsidP="001509E6">
      <w:pPr>
        <w:rPr>
          <w:rFonts w:eastAsiaTheme="majorEastAsia" w:cs="Arial"/>
          <w:caps/>
          <w:color w:val="FFFFFF" w:themeColor="background1"/>
        </w:rPr>
      </w:pPr>
    </w:p>
    <w:p w14:paraId="6631E5A1" w14:textId="344D2AC5" w:rsidR="001509E6" w:rsidRDefault="001509E6" w:rsidP="001509E6">
      <w:pPr>
        <w:spacing w:line="240" w:lineRule="auto"/>
        <w:rPr>
          <w:rFonts w:ascii="Cambria" w:eastAsia="Times New Roman" w:hAnsi="Cambria" w:cs="Arial"/>
          <w:lang w:eastAsia="en-GB"/>
        </w:rPr>
      </w:pPr>
      <w:r>
        <w:rPr>
          <w:rFonts w:ascii="Cambria" w:eastAsia="Times New Roman" w:hAnsi="Cambria" w:cs="Arial"/>
          <w:lang w:eastAsia="en-GB"/>
        </w:rPr>
        <w:t>A lawful chastisement defence arose at common law to allow parents and teachers to use physical force to discipline children. The defence is no</w:t>
      </w:r>
      <w:r w:rsidR="00BA4D5E">
        <w:rPr>
          <w:rFonts w:ascii="Cambria" w:eastAsia="Times New Roman" w:hAnsi="Cambria" w:cs="Arial"/>
          <w:lang w:eastAsia="en-GB"/>
        </w:rPr>
        <w:t>w</w:t>
      </w:r>
      <w:r>
        <w:rPr>
          <w:rFonts w:ascii="Cambria" w:eastAsia="Times New Roman" w:hAnsi="Cambria" w:cs="Arial"/>
          <w:lang w:eastAsia="en-GB"/>
        </w:rPr>
        <w:t xml:space="preserve"> codified:</w:t>
      </w:r>
    </w:p>
    <w:p w14:paraId="0F6E8922" w14:textId="1E8F8E5B" w:rsidR="001131F7" w:rsidRDefault="001131F7" w:rsidP="001509E6">
      <w:pPr>
        <w:spacing w:line="240" w:lineRule="auto"/>
        <w:rPr>
          <w:rFonts w:ascii="Cambria" w:eastAsia="Times New Roman" w:hAnsi="Cambria" w:cs="Arial"/>
          <w:lang w:eastAsia="en-GB"/>
        </w:rPr>
      </w:pPr>
    </w:p>
    <w:p w14:paraId="04550AF6" w14:textId="523E3F3D" w:rsidR="001131F7" w:rsidRDefault="001131F7" w:rsidP="001509E6">
      <w:pPr>
        <w:spacing w:line="240" w:lineRule="auto"/>
        <w:rPr>
          <w:rFonts w:ascii="Cambria" w:eastAsia="Times New Roman" w:hAnsi="Cambria" w:cs="Arial"/>
          <w:lang w:eastAsia="en-GB"/>
        </w:rPr>
      </w:pPr>
      <w:r w:rsidRPr="001131F7">
        <w:rPr>
          <w:rFonts w:ascii="Cambria" w:eastAsia="Times New Roman" w:hAnsi="Cambria" w:cs="Arial"/>
          <w:lang w:eastAsia="en-GB"/>
        </w:rPr>
        <w:t>Section 58, Children Act 2004</w:t>
      </w:r>
    </w:p>
    <w:p w14:paraId="1DEB499F" w14:textId="66741800" w:rsidR="00BA4D5E" w:rsidRDefault="00BA4D5E" w:rsidP="001509E6">
      <w:pPr>
        <w:spacing w:line="240" w:lineRule="auto"/>
        <w:rPr>
          <w:rFonts w:ascii="Cambria" w:eastAsia="Times New Roman" w:hAnsi="Cambria" w:cs="Arial"/>
          <w:lang w:eastAsia="en-GB"/>
        </w:rPr>
      </w:pPr>
    </w:p>
    <w:p w14:paraId="16A1496B" w14:textId="6A66158F" w:rsidR="00BA4D5E" w:rsidRPr="00BA4D5E" w:rsidRDefault="00BA4D5E" w:rsidP="00BA4D5E">
      <w:pPr>
        <w:spacing w:line="240" w:lineRule="auto"/>
        <w:ind w:left="1440"/>
        <w:rPr>
          <w:rFonts w:ascii="Cambria" w:eastAsia="Times New Roman" w:hAnsi="Cambria" w:cs="Arial"/>
          <w:lang w:eastAsia="en-GB"/>
        </w:rPr>
      </w:pPr>
      <w:r w:rsidRPr="00BA4D5E">
        <w:rPr>
          <w:rFonts w:ascii="Cambria" w:eastAsia="Times New Roman" w:hAnsi="Cambria" w:cs="Arial"/>
          <w:lang w:eastAsia="en-GB"/>
        </w:rPr>
        <w:t>In relation to any offence specified in subsection (2), battery of a child cannot be justified on the ground that it constituted reasonable punishment.</w:t>
      </w:r>
    </w:p>
    <w:bookmarkEnd w:id="5"/>
    <w:p w14:paraId="448A458B" w14:textId="77777777" w:rsidR="00BA4D5E" w:rsidRPr="00BA4D5E" w:rsidRDefault="00BA4D5E" w:rsidP="00BA4D5E">
      <w:pPr>
        <w:spacing w:line="240" w:lineRule="auto"/>
        <w:rPr>
          <w:rFonts w:ascii="Cambria" w:eastAsia="Times New Roman" w:hAnsi="Cambria" w:cs="Arial"/>
          <w:lang w:eastAsia="en-GB"/>
        </w:rPr>
      </w:pPr>
    </w:p>
    <w:p w14:paraId="079ABDC4" w14:textId="77777777" w:rsidR="00BA4D5E" w:rsidRPr="00BA4D5E" w:rsidRDefault="00BA4D5E" w:rsidP="00BA4D5E">
      <w:pPr>
        <w:spacing w:line="240" w:lineRule="auto"/>
        <w:ind w:left="720" w:firstLine="720"/>
        <w:rPr>
          <w:rFonts w:ascii="Cambria" w:eastAsia="Times New Roman" w:hAnsi="Cambria" w:cs="Arial"/>
          <w:lang w:eastAsia="en-GB"/>
        </w:rPr>
      </w:pPr>
      <w:r w:rsidRPr="00BA4D5E">
        <w:rPr>
          <w:rFonts w:ascii="Cambria" w:eastAsia="Times New Roman" w:hAnsi="Cambria" w:cs="Arial"/>
          <w:lang w:eastAsia="en-GB"/>
        </w:rPr>
        <w:t>(2)</w:t>
      </w:r>
    </w:p>
    <w:p w14:paraId="566EBAA1" w14:textId="77777777" w:rsidR="00BA4D5E" w:rsidRPr="00BA4D5E" w:rsidRDefault="00BA4D5E" w:rsidP="00BA4D5E">
      <w:pPr>
        <w:spacing w:line="240" w:lineRule="auto"/>
        <w:ind w:left="720" w:firstLine="720"/>
        <w:rPr>
          <w:rFonts w:ascii="Cambria" w:eastAsia="Times New Roman" w:hAnsi="Cambria" w:cs="Arial"/>
          <w:lang w:eastAsia="en-GB"/>
        </w:rPr>
      </w:pPr>
      <w:r w:rsidRPr="00BA4D5E">
        <w:rPr>
          <w:rFonts w:ascii="Cambria" w:eastAsia="Times New Roman" w:hAnsi="Cambria" w:cs="Arial"/>
          <w:lang w:eastAsia="en-GB"/>
        </w:rPr>
        <w:t>The offences referred to in subsection (1) are—</w:t>
      </w:r>
    </w:p>
    <w:p w14:paraId="70FA95B1" w14:textId="77777777" w:rsidR="00BA4D5E" w:rsidRPr="00BA4D5E" w:rsidRDefault="00BA4D5E" w:rsidP="00BA4D5E">
      <w:pPr>
        <w:spacing w:line="240" w:lineRule="auto"/>
        <w:rPr>
          <w:rFonts w:ascii="Cambria" w:eastAsia="Times New Roman" w:hAnsi="Cambria" w:cs="Arial"/>
          <w:lang w:eastAsia="en-GB"/>
        </w:rPr>
      </w:pPr>
    </w:p>
    <w:p w14:paraId="3334733C" w14:textId="31309BD7" w:rsidR="00BA4D5E" w:rsidRPr="00BA4D5E" w:rsidRDefault="00BA4D5E" w:rsidP="00BA4D5E">
      <w:pPr>
        <w:pStyle w:val="ListParagraph"/>
        <w:numPr>
          <w:ilvl w:val="0"/>
          <w:numId w:val="18"/>
        </w:numPr>
        <w:spacing w:line="240" w:lineRule="auto"/>
        <w:rPr>
          <w:rFonts w:ascii="Cambria" w:eastAsia="Times New Roman" w:hAnsi="Cambria" w:cs="Arial"/>
          <w:lang w:eastAsia="en-GB"/>
        </w:rPr>
      </w:pPr>
      <w:r w:rsidRPr="00BA4D5E">
        <w:rPr>
          <w:rFonts w:ascii="Cambria" w:eastAsia="Times New Roman" w:hAnsi="Cambria" w:cs="Arial"/>
          <w:lang w:eastAsia="en-GB"/>
        </w:rPr>
        <w:t>an offence under section 18 or 20 of the Offences Against the Person Act 1861 (wounding and causing grievous bodily harm);</w:t>
      </w:r>
    </w:p>
    <w:p w14:paraId="7E35A274" w14:textId="77777777" w:rsidR="00BA4D5E" w:rsidRPr="00BA4D5E" w:rsidRDefault="00BA4D5E" w:rsidP="00BA4D5E">
      <w:pPr>
        <w:spacing w:line="240" w:lineRule="auto"/>
        <w:rPr>
          <w:rFonts w:ascii="Cambria" w:eastAsia="Times New Roman" w:hAnsi="Cambria" w:cs="Arial"/>
          <w:lang w:eastAsia="en-GB"/>
        </w:rPr>
      </w:pPr>
    </w:p>
    <w:p w14:paraId="06B08A5B" w14:textId="425E2ED0" w:rsidR="00BA4D5E" w:rsidRPr="00BA4D5E" w:rsidRDefault="00BA4D5E" w:rsidP="00BA4D5E">
      <w:pPr>
        <w:pStyle w:val="ListParagraph"/>
        <w:numPr>
          <w:ilvl w:val="0"/>
          <w:numId w:val="18"/>
        </w:numPr>
        <w:spacing w:line="240" w:lineRule="auto"/>
        <w:rPr>
          <w:rFonts w:ascii="Cambria" w:eastAsia="Times New Roman" w:hAnsi="Cambria" w:cs="Arial"/>
          <w:lang w:eastAsia="en-GB"/>
        </w:rPr>
      </w:pPr>
      <w:r w:rsidRPr="00BA4D5E">
        <w:rPr>
          <w:rFonts w:ascii="Cambria" w:eastAsia="Times New Roman" w:hAnsi="Cambria" w:cs="Arial"/>
          <w:lang w:eastAsia="en-GB"/>
        </w:rPr>
        <w:t>an offence under section 47 of that Act (assault occasioning actual bodily harm);</w:t>
      </w:r>
    </w:p>
    <w:p w14:paraId="3DB886FF" w14:textId="77777777" w:rsidR="00BA4D5E" w:rsidRPr="00BA4D5E" w:rsidRDefault="00BA4D5E" w:rsidP="00BA4D5E">
      <w:pPr>
        <w:spacing w:line="240" w:lineRule="auto"/>
        <w:rPr>
          <w:rFonts w:ascii="Cambria" w:eastAsia="Times New Roman" w:hAnsi="Cambria" w:cs="Arial"/>
          <w:lang w:eastAsia="en-GB"/>
        </w:rPr>
      </w:pPr>
    </w:p>
    <w:p w14:paraId="0EC99D88" w14:textId="43B2A8EF" w:rsidR="00BA4D5E" w:rsidRPr="00BA4D5E" w:rsidRDefault="00BA4D5E" w:rsidP="00BA4D5E">
      <w:pPr>
        <w:pStyle w:val="ListParagraph"/>
        <w:numPr>
          <w:ilvl w:val="0"/>
          <w:numId w:val="18"/>
        </w:numPr>
        <w:spacing w:line="240" w:lineRule="auto"/>
        <w:rPr>
          <w:rFonts w:ascii="Cambria" w:eastAsia="Times New Roman" w:hAnsi="Cambria" w:cs="Arial"/>
          <w:lang w:eastAsia="en-GB"/>
        </w:rPr>
      </w:pPr>
      <w:r w:rsidRPr="00BA4D5E">
        <w:rPr>
          <w:rFonts w:ascii="Cambria" w:eastAsia="Times New Roman" w:hAnsi="Cambria" w:cs="Arial"/>
          <w:lang w:eastAsia="en-GB"/>
        </w:rPr>
        <w:t>an offence under section 1 of the Children and Young Persons Act 1933 (cruelty to persons under 16).</w:t>
      </w:r>
    </w:p>
    <w:p w14:paraId="4D2105B3" w14:textId="06E48AE8" w:rsidR="001509E6" w:rsidRDefault="001509E6" w:rsidP="001509E6">
      <w:pPr>
        <w:spacing w:line="240" w:lineRule="auto"/>
        <w:rPr>
          <w:rFonts w:ascii="Cambria" w:eastAsia="Times New Roman" w:hAnsi="Cambria" w:cs="Arial"/>
          <w:lang w:eastAsia="en-GB"/>
        </w:rPr>
      </w:pPr>
    </w:p>
    <w:p w14:paraId="08B1A8D2" w14:textId="735F9111" w:rsidR="001509E6" w:rsidRDefault="001131F7" w:rsidP="001509E6">
      <w:pPr>
        <w:spacing w:line="240" w:lineRule="auto"/>
        <w:rPr>
          <w:rFonts w:ascii="Cambria" w:eastAsia="Times New Roman" w:hAnsi="Cambria" w:cs="Arial"/>
          <w:lang w:eastAsia="en-GB"/>
        </w:rPr>
      </w:pPr>
      <w:r>
        <w:rPr>
          <w:rFonts w:ascii="Cambria" w:eastAsia="Times New Roman" w:hAnsi="Cambria" w:cs="Arial"/>
          <w:lang w:eastAsia="en-GB"/>
        </w:rPr>
        <w:t xml:space="preserve">The Act </w:t>
      </w:r>
      <w:r w:rsidR="001509E6">
        <w:rPr>
          <w:rFonts w:ascii="Cambria" w:eastAsia="Times New Roman" w:hAnsi="Cambria" w:cs="Arial"/>
          <w:lang w:eastAsia="en-GB"/>
        </w:rPr>
        <w:t xml:space="preserve">applies in England and significantly restricted the scope of the defence. </w:t>
      </w:r>
    </w:p>
    <w:p w14:paraId="380C760F" w14:textId="5119E322" w:rsidR="001509E6" w:rsidRDefault="001509E6" w:rsidP="001509E6">
      <w:pPr>
        <w:spacing w:line="240" w:lineRule="auto"/>
        <w:rPr>
          <w:rFonts w:ascii="Cambria" w:eastAsia="Times New Roman" w:hAnsi="Cambria" w:cs="Arial"/>
          <w:lang w:eastAsia="en-GB"/>
        </w:rPr>
      </w:pPr>
    </w:p>
    <w:p w14:paraId="692B6657" w14:textId="13F8AAE7" w:rsidR="001509E6" w:rsidRDefault="001509E6" w:rsidP="001509E6">
      <w:pPr>
        <w:spacing w:line="240" w:lineRule="auto"/>
        <w:rPr>
          <w:rFonts w:ascii="Cambria" w:eastAsia="Times New Roman" w:hAnsi="Cambria" w:cs="Arial"/>
          <w:lang w:eastAsia="en-GB"/>
        </w:rPr>
      </w:pPr>
      <w:r w:rsidRPr="001509E6">
        <w:rPr>
          <w:rFonts w:ascii="Cambria" w:eastAsia="Times New Roman" w:hAnsi="Cambria" w:cs="Arial"/>
          <w:lang w:eastAsia="en-GB"/>
        </w:rPr>
        <w:t>The defence will: (i) only apply for parents; (ii) only apply to assault and battery (ie none of the more serious offences against the person); and (iii) only apply where the force used was reasonable and proportionate in the circumstances, involving no cruelty</w:t>
      </w:r>
      <w:r>
        <w:rPr>
          <w:rFonts w:ascii="Cambria" w:eastAsia="Times New Roman" w:hAnsi="Cambria" w:cs="Arial"/>
          <w:lang w:eastAsia="en-GB"/>
        </w:rPr>
        <w:t>.</w:t>
      </w:r>
    </w:p>
    <w:p w14:paraId="2C5F58C9" w14:textId="60DDEA43" w:rsidR="001509E6" w:rsidRDefault="001509E6" w:rsidP="001509E6">
      <w:pPr>
        <w:spacing w:line="240" w:lineRule="auto"/>
        <w:rPr>
          <w:rFonts w:ascii="Cambria" w:eastAsia="Times New Roman" w:hAnsi="Cambria" w:cs="Arial"/>
          <w:lang w:eastAsia="en-GB"/>
        </w:rPr>
      </w:pPr>
    </w:p>
    <w:p w14:paraId="3C7104FA" w14:textId="6C902DD3" w:rsidR="001509E6" w:rsidRDefault="001509E6" w:rsidP="001509E6">
      <w:pPr>
        <w:spacing w:line="240" w:lineRule="auto"/>
        <w:rPr>
          <w:rFonts w:ascii="Merriweather" w:hAnsi="Merriweather"/>
          <w:color w:val="2A2A2A"/>
          <w:shd w:val="clear" w:color="auto" w:fill="FFFFFF"/>
        </w:rPr>
      </w:pPr>
      <w:r w:rsidRPr="00BA4D5E">
        <w:rPr>
          <w:rFonts w:ascii="Cambria" w:hAnsi="Cambria"/>
          <w:color w:val="2A2A2A"/>
          <w:shd w:val="clear" w:color="auto" w:fill="FFFFFF"/>
        </w:rPr>
        <w:t>In Wales, there is no such defence (for parents, teachers, or anyone in Wales), as all forms of physical punishment of children (including, but not limited to, smacking) are now illegal under the Children (Abolition of Defence of Reasonable Punishment) (Wales) Act 2020</w:t>
      </w:r>
      <w:r>
        <w:rPr>
          <w:rFonts w:ascii="Merriweather" w:hAnsi="Merriweather"/>
          <w:color w:val="2A2A2A"/>
          <w:shd w:val="clear" w:color="auto" w:fill="FFFFFF"/>
        </w:rPr>
        <w:t>.</w:t>
      </w:r>
    </w:p>
    <w:p w14:paraId="723AE605" w14:textId="58975403" w:rsidR="00BA4D5E" w:rsidRDefault="00BA4D5E" w:rsidP="001509E6">
      <w:pPr>
        <w:spacing w:line="240" w:lineRule="auto"/>
        <w:rPr>
          <w:rFonts w:ascii="Merriweather" w:hAnsi="Merriweather"/>
          <w:color w:val="2A2A2A"/>
          <w:shd w:val="clear" w:color="auto" w:fill="FFFFFF"/>
        </w:rPr>
      </w:pPr>
    </w:p>
    <w:p w14:paraId="407EDD38" w14:textId="5DF976EC" w:rsidR="00BA4D5E" w:rsidRDefault="00BA4D5E" w:rsidP="001509E6">
      <w:pPr>
        <w:spacing w:line="240" w:lineRule="auto"/>
        <w:rPr>
          <w:rFonts w:ascii="Merriweather" w:hAnsi="Merriweather"/>
          <w:color w:val="2A2A2A"/>
          <w:shd w:val="clear" w:color="auto" w:fill="FFFFFF"/>
        </w:rPr>
      </w:pPr>
    </w:p>
    <w:p w14:paraId="1196461F" w14:textId="77777777" w:rsidR="00BA4D5E" w:rsidRPr="00477469" w:rsidRDefault="00BA4D5E" w:rsidP="00BA4D5E">
      <w:pPr>
        <w:rPr>
          <w:rFonts w:eastAsiaTheme="majorEastAsia" w:cs="Arial"/>
          <w:caps/>
          <w:color w:val="FFFFFF" w:themeColor="background1"/>
        </w:rPr>
      </w:pPr>
    </w:p>
    <w:p w14:paraId="4D0CD9C5" w14:textId="5304133B" w:rsidR="00BA4D5E" w:rsidRPr="00477469" w:rsidRDefault="00BA4D5E" w:rsidP="00BA4D5E">
      <w:pPr>
        <w:pStyle w:val="Heading2"/>
        <w:rPr>
          <w:rFonts w:cs="Arial"/>
          <w:sz w:val="36"/>
          <w:szCs w:val="36"/>
        </w:rPr>
      </w:pPr>
      <w:r>
        <w:rPr>
          <w:rFonts w:cs="Arial"/>
          <w:sz w:val="36"/>
          <w:szCs w:val="36"/>
        </w:rPr>
        <w:t>E. Necessity</w:t>
      </w:r>
    </w:p>
    <w:p w14:paraId="010B317D" w14:textId="77777777" w:rsidR="00BA4D5E" w:rsidRPr="00477469" w:rsidRDefault="00BA4D5E" w:rsidP="00BA4D5E">
      <w:pPr>
        <w:rPr>
          <w:rFonts w:eastAsiaTheme="majorEastAsia" w:cs="Arial"/>
          <w:caps/>
          <w:color w:val="FFFFFF" w:themeColor="background1"/>
        </w:rPr>
      </w:pPr>
    </w:p>
    <w:p w14:paraId="465423CF" w14:textId="54BFEA3C" w:rsidR="00BA4D5E" w:rsidRPr="00BA4D5E" w:rsidRDefault="00BA4D5E" w:rsidP="001509E6">
      <w:pPr>
        <w:spacing w:line="240" w:lineRule="auto"/>
        <w:rPr>
          <w:rFonts w:ascii="Cambria" w:hAnsi="Cambria"/>
        </w:rPr>
      </w:pPr>
      <w:r w:rsidRPr="00BA4D5E">
        <w:rPr>
          <w:rFonts w:ascii="Cambria" w:hAnsi="Cambria"/>
          <w:color w:val="2A2A2A"/>
          <w:shd w:val="clear" w:color="auto" w:fill="FFFFFF"/>
        </w:rPr>
        <w:t>In </w:t>
      </w:r>
      <w:r w:rsidRPr="00BA4D5E">
        <w:rPr>
          <w:rStyle w:val="Emphasis"/>
          <w:rFonts w:ascii="Cambria" w:hAnsi="Cambria"/>
          <w:color w:val="2A2A2A"/>
          <w:bdr w:val="none" w:sz="0" w:space="0" w:color="auto" w:frame="1"/>
          <w:shd w:val="clear" w:color="auto" w:fill="FFFFFF"/>
        </w:rPr>
        <w:t>Re F (Mental Patient: Sterilisation)</w:t>
      </w:r>
      <w:r w:rsidRPr="00BA4D5E">
        <w:rPr>
          <w:rFonts w:ascii="Cambria" w:hAnsi="Cambria"/>
          <w:color w:val="2A2A2A"/>
          <w:shd w:val="clear" w:color="auto" w:fill="FFFFFF"/>
        </w:rPr>
        <w:t> [1990] 2 AC 1, Lord Goff of Chieveley stated that the common law principle of necessity could justify action which would otherwise be unlawful where, inter alia, the ‘action [was] taken as a matter of necessity to assist another person without his consent’. Thus, there would be no assault where D seizes V and forcibly drags him from the path of an oncoming vehicle, thereby saving him from injury or death. </w:t>
      </w:r>
    </w:p>
    <w:sectPr w:rsidR="00BA4D5E" w:rsidRPr="00BA4D5E">
      <w:headerReference w:type="default" r:id="rId10"/>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0793D" w14:textId="77777777" w:rsidR="00053647" w:rsidRDefault="00053647" w:rsidP="00A97B0C">
      <w:pPr>
        <w:spacing w:line="240" w:lineRule="auto"/>
      </w:pPr>
      <w:r>
        <w:separator/>
      </w:r>
    </w:p>
  </w:endnote>
  <w:endnote w:type="continuationSeparator" w:id="0">
    <w:p w14:paraId="793CC4C1" w14:textId="77777777" w:rsidR="00053647" w:rsidRDefault="00053647" w:rsidP="00A97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erriweather">
    <w:panose1 w:val="00000500000000000000"/>
    <w:charset w:val="4D"/>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18097857"/>
      <w:docPartObj>
        <w:docPartGallery w:val="Page Numbers (Bottom of Page)"/>
        <w:docPartUnique/>
      </w:docPartObj>
    </w:sdtPr>
    <w:sdtContent>
      <w:p w14:paraId="2BC4AA5D" w14:textId="4E545C54"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05E76" w14:textId="77777777" w:rsidR="00A97B0C" w:rsidRDefault="00A97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13550787"/>
      <w:docPartObj>
        <w:docPartGallery w:val="Page Numbers (Bottom of Page)"/>
        <w:docPartUnique/>
      </w:docPartObj>
    </w:sdtPr>
    <w:sdtContent>
      <w:p w14:paraId="78EF2FB6" w14:textId="73172FF0"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509EF6" w14:textId="77777777" w:rsidR="00A97B0C" w:rsidRDefault="00A97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380AD" w14:textId="77777777" w:rsidR="00053647" w:rsidRDefault="00053647" w:rsidP="00A97B0C">
      <w:pPr>
        <w:spacing w:line="240" w:lineRule="auto"/>
      </w:pPr>
      <w:r>
        <w:separator/>
      </w:r>
    </w:p>
  </w:footnote>
  <w:footnote w:type="continuationSeparator" w:id="0">
    <w:p w14:paraId="0D5433AD" w14:textId="77777777" w:rsidR="00053647" w:rsidRDefault="00053647" w:rsidP="00A97B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7A818" w14:textId="6FAB8B5F" w:rsidR="00477469" w:rsidRDefault="00477469">
    <w:pPr>
      <w:pStyle w:val="Header"/>
    </w:pPr>
    <w:r>
      <w:t>LAW 2221 - Criminal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2CA1"/>
    <w:multiLevelType w:val="hybridMultilevel"/>
    <w:tmpl w:val="5D586CDC"/>
    <w:lvl w:ilvl="0" w:tplc="B4D044D6">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9B7A3F"/>
    <w:multiLevelType w:val="hybridMultilevel"/>
    <w:tmpl w:val="434C1A30"/>
    <w:lvl w:ilvl="0" w:tplc="B4D044D6">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6A23FA"/>
    <w:multiLevelType w:val="hybridMultilevel"/>
    <w:tmpl w:val="23C81780"/>
    <w:lvl w:ilvl="0" w:tplc="F5460828">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2AF544E2"/>
    <w:multiLevelType w:val="hybridMultilevel"/>
    <w:tmpl w:val="8C4A9FA8"/>
    <w:lvl w:ilvl="0" w:tplc="B4D044D6">
      <w:start w:val="1"/>
      <w:numFmt w:val="bullet"/>
      <w:lvlText w:val="•"/>
      <w:lvlJc w:val="left"/>
      <w:pPr>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0407B9"/>
    <w:multiLevelType w:val="hybridMultilevel"/>
    <w:tmpl w:val="FD762F8E"/>
    <w:lvl w:ilvl="0" w:tplc="B4D044D6">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390E06"/>
    <w:multiLevelType w:val="hybridMultilevel"/>
    <w:tmpl w:val="450A0B32"/>
    <w:lvl w:ilvl="0" w:tplc="B4D044D6">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B97B3D"/>
    <w:multiLevelType w:val="hybridMultilevel"/>
    <w:tmpl w:val="51BC14AC"/>
    <w:lvl w:ilvl="0" w:tplc="B2DE980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C944CD"/>
    <w:multiLevelType w:val="hybridMultilevel"/>
    <w:tmpl w:val="46882514"/>
    <w:lvl w:ilvl="0" w:tplc="FFFFFFFF">
      <w:start w:val="1"/>
      <w:numFmt w:val="lowerLetter"/>
      <w:lvlText w:val="%1."/>
      <w:lvlJc w:val="left"/>
      <w:pPr>
        <w:ind w:left="144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4102C7"/>
    <w:multiLevelType w:val="hybridMultilevel"/>
    <w:tmpl w:val="5C9E7E52"/>
    <w:lvl w:ilvl="0" w:tplc="B4D044D6">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EF0FDD"/>
    <w:multiLevelType w:val="hybridMultilevel"/>
    <w:tmpl w:val="66483D46"/>
    <w:lvl w:ilvl="0" w:tplc="7C16C01E">
      <w:start w:val="1"/>
      <w:numFmt w:val="bullet"/>
      <w:lvlText w:val="–"/>
      <w:lvlJc w:val="left"/>
      <w:pPr>
        <w:tabs>
          <w:tab w:val="num" w:pos="720"/>
        </w:tabs>
        <w:ind w:left="720" w:hanging="360"/>
      </w:pPr>
      <w:rPr>
        <w:rFonts w:ascii="Times New Roman" w:hAnsi="Times New Roman" w:hint="default"/>
      </w:rPr>
    </w:lvl>
    <w:lvl w:ilvl="1" w:tplc="04090001">
      <w:start w:val="1"/>
      <w:numFmt w:val="bullet"/>
      <w:lvlText w:val=""/>
      <w:lvlJc w:val="left"/>
      <w:pPr>
        <w:ind w:left="720" w:hanging="360"/>
      </w:pPr>
      <w:rPr>
        <w:rFonts w:ascii="Symbol" w:hAnsi="Symbol" w:hint="default"/>
      </w:rPr>
    </w:lvl>
    <w:lvl w:ilvl="2" w:tplc="7BD88A5A" w:tentative="1">
      <w:start w:val="1"/>
      <w:numFmt w:val="bullet"/>
      <w:lvlText w:val="–"/>
      <w:lvlJc w:val="left"/>
      <w:pPr>
        <w:tabs>
          <w:tab w:val="num" w:pos="2160"/>
        </w:tabs>
        <w:ind w:left="2160" w:hanging="360"/>
      </w:pPr>
      <w:rPr>
        <w:rFonts w:ascii="Times New Roman" w:hAnsi="Times New Roman" w:hint="default"/>
      </w:rPr>
    </w:lvl>
    <w:lvl w:ilvl="3" w:tplc="2864D47E" w:tentative="1">
      <w:start w:val="1"/>
      <w:numFmt w:val="bullet"/>
      <w:lvlText w:val="–"/>
      <w:lvlJc w:val="left"/>
      <w:pPr>
        <w:tabs>
          <w:tab w:val="num" w:pos="2880"/>
        </w:tabs>
        <w:ind w:left="2880" w:hanging="360"/>
      </w:pPr>
      <w:rPr>
        <w:rFonts w:ascii="Times New Roman" w:hAnsi="Times New Roman" w:hint="default"/>
      </w:rPr>
    </w:lvl>
    <w:lvl w:ilvl="4" w:tplc="724E803E" w:tentative="1">
      <w:start w:val="1"/>
      <w:numFmt w:val="bullet"/>
      <w:lvlText w:val="–"/>
      <w:lvlJc w:val="left"/>
      <w:pPr>
        <w:tabs>
          <w:tab w:val="num" w:pos="3600"/>
        </w:tabs>
        <w:ind w:left="3600" w:hanging="360"/>
      </w:pPr>
      <w:rPr>
        <w:rFonts w:ascii="Times New Roman" w:hAnsi="Times New Roman" w:hint="default"/>
      </w:rPr>
    </w:lvl>
    <w:lvl w:ilvl="5" w:tplc="41EE9C82" w:tentative="1">
      <w:start w:val="1"/>
      <w:numFmt w:val="bullet"/>
      <w:lvlText w:val="–"/>
      <w:lvlJc w:val="left"/>
      <w:pPr>
        <w:tabs>
          <w:tab w:val="num" w:pos="4320"/>
        </w:tabs>
        <w:ind w:left="4320" w:hanging="360"/>
      </w:pPr>
      <w:rPr>
        <w:rFonts w:ascii="Times New Roman" w:hAnsi="Times New Roman" w:hint="default"/>
      </w:rPr>
    </w:lvl>
    <w:lvl w:ilvl="6" w:tplc="AF8C34CA" w:tentative="1">
      <w:start w:val="1"/>
      <w:numFmt w:val="bullet"/>
      <w:lvlText w:val="–"/>
      <w:lvlJc w:val="left"/>
      <w:pPr>
        <w:tabs>
          <w:tab w:val="num" w:pos="5040"/>
        </w:tabs>
        <w:ind w:left="5040" w:hanging="360"/>
      </w:pPr>
      <w:rPr>
        <w:rFonts w:ascii="Times New Roman" w:hAnsi="Times New Roman" w:hint="default"/>
      </w:rPr>
    </w:lvl>
    <w:lvl w:ilvl="7" w:tplc="BB8A13E0" w:tentative="1">
      <w:start w:val="1"/>
      <w:numFmt w:val="bullet"/>
      <w:lvlText w:val="–"/>
      <w:lvlJc w:val="left"/>
      <w:pPr>
        <w:tabs>
          <w:tab w:val="num" w:pos="5760"/>
        </w:tabs>
        <w:ind w:left="5760" w:hanging="360"/>
      </w:pPr>
      <w:rPr>
        <w:rFonts w:ascii="Times New Roman" w:hAnsi="Times New Roman" w:hint="default"/>
      </w:rPr>
    </w:lvl>
    <w:lvl w:ilvl="8" w:tplc="FBA23B2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3E71EFF"/>
    <w:multiLevelType w:val="hybridMultilevel"/>
    <w:tmpl w:val="848687DC"/>
    <w:lvl w:ilvl="0" w:tplc="B4D044D6">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EA3529"/>
    <w:multiLevelType w:val="hybridMultilevel"/>
    <w:tmpl w:val="25D243AA"/>
    <w:lvl w:ilvl="0" w:tplc="36A83A68">
      <w:start w:val="8"/>
      <w:numFmt w:val="bullet"/>
      <w:lvlText w:val="-"/>
      <w:lvlJc w:val="left"/>
      <w:pPr>
        <w:ind w:left="1080" w:hanging="360"/>
      </w:pPr>
      <w:rPr>
        <w:rFonts w:ascii="Arial" w:eastAsiaTheme="minorHAnsi" w:hAnsi="Arial" w:cs="Arial"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0A2607C"/>
    <w:multiLevelType w:val="hybridMultilevel"/>
    <w:tmpl w:val="6DE6B1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5C20AF"/>
    <w:multiLevelType w:val="hybridMultilevel"/>
    <w:tmpl w:val="22FA4414"/>
    <w:lvl w:ilvl="0" w:tplc="FFFFFFFF">
      <w:start w:val="1"/>
      <w:numFmt w:val="lowerLetter"/>
      <w:lvlText w:val="%1."/>
      <w:lvlJc w:val="left"/>
      <w:pPr>
        <w:ind w:left="144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44D23FC"/>
    <w:multiLevelType w:val="hybridMultilevel"/>
    <w:tmpl w:val="FE5E01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4E6B0D"/>
    <w:multiLevelType w:val="hybridMultilevel"/>
    <w:tmpl w:val="19E60F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C12BC3"/>
    <w:multiLevelType w:val="hybridMultilevel"/>
    <w:tmpl w:val="27F428E2"/>
    <w:lvl w:ilvl="0" w:tplc="B4D044D6">
      <w:start w:val="1"/>
      <w:numFmt w:val="bullet"/>
      <w:lvlText w:val="•"/>
      <w:lvlJc w:val="left"/>
      <w:pPr>
        <w:ind w:left="108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CFE6EFD"/>
    <w:multiLevelType w:val="hybridMultilevel"/>
    <w:tmpl w:val="8290486E"/>
    <w:lvl w:ilvl="0" w:tplc="87BA738E">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932816903">
    <w:abstractNumId w:val="0"/>
  </w:num>
  <w:num w:numId="2" w16cid:durableId="143088509">
    <w:abstractNumId w:val="14"/>
  </w:num>
  <w:num w:numId="3" w16cid:durableId="665549503">
    <w:abstractNumId w:val="1"/>
  </w:num>
  <w:num w:numId="4" w16cid:durableId="310789758">
    <w:abstractNumId w:val="16"/>
  </w:num>
  <w:num w:numId="5" w16cid:durableId="475756008">
    <w:abstractNumId w:val="8"/>
  </w:num>
  <w:num w:numId="6" w16cid:durableId="2978895">
    <w:abstractNumId w:val="12"/>
  </w:num>
  <w:num w:numId="7" w16cid:durableId="468397622">
    <w:abstractNumId w:val="9"/>
  </w:num>
  <w:num w:numId="8" w16cid:durableId="210777380">
    <w:abstractNumId w:val="6"/>
  </w:num>
  <w:num w:numId="9" w16cid:durableId="1271863862">
    <w:abstractNumId w:val="4"/>
  </w:num>
  <w:num w:numId="10" w16cid:durableId="1130586673">
    <w:abstractNumId w:val="3"/>
  </w:num>
  <w:num w:numId="11" w16cid:durableId="832136834">
    <w:abstractNumId w:val="5"/>
  </w:num>
  <w:num w:numId="12" w16cid:durableId="181549251">
    <w:abstractNumId w:val="10"/>
  </w:num>
  <w:num w:numId="13" w16cid:durableId="716975184">
    <w:abstractNumId w:val="17"/>
  </w:num>
  <w:num w:numId="14" w16cid:durableId="401291097">
    <w:abstractNumId w:val="11"/>
  </w:num>
  <w:num w:numId="15" w16cid:durableId="2056926269">
    <w:abstractNumId w:val="15"/>
  </w:num>
  <w:num w:numId="16" w16cid:durableId="1528132401">
    <w:abstractNumId w:val="13"/>
  </w:num>
  <w:num w:numId="17" w16cid:durableId="224680173">
    <w:abstractNumId w:val="7"/>
  </w:num>
  <w:num w:numId="18" w16cid:durableId="255869655">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E8"/>
    <w:rsid w:val="00002786"/>
    <w:rsid w:val="00007F9F"/>
    <w:rsid w:val="00013039"/>
    <w:rsid w:val="00013994"/>
    <w:rsid w:val="0001496F"/>
    <w:rsid w:val="00014D86"/>
    <w:rsid w:val="0001696E"/>
    <w:rsid w:val="0002540A"/>
    <w:rsid w:val="000267BD"/>
    <w:rsid w:val="000304D3"/>
    <w:rsid w:val="00032375"/>
    <w:rsid w:val="00032A57"/>
    <w:rsid w:val="00034B6C"/>
    <w:rsid w:val="00042617"/>
    <w:rsid w:val="00042C75"/>
    <w:rsid w:val="000438B6"/>
    <w:rsid w:val="00053647"/>
    <w:rsid w:val="00053BCE"/>
    <w:rsid w:val="00054EC0"/>
    <w:rsid w:val="000675CD"/>
    <w:rsid w:val="000701E6"/>
    <w:rsid w:val="00071A7C"/>
    <w:rsid w:val="00082FB9"/>
    <w:rsid w:val="00085DFD"/>
    <w:rsid w:val="00087D69"/>
    <w:rsid w:val="00092A5C"/>
    <w:rsid w:val="00093281"/>
    <w:rsid w:val="00096248"/>
    <w:rsid w:val="00097E2E"/>
    <w:rsid w:val="000A15E1"/>
    <w:rsid w:val="000A3E73"/>
    <w:rsid w:val="000A4D0E"/>
    <w:rsid w:val="000A5DB2"/>
    <w:rsid w:val="000B147D"/>
    <w:rsid w:val="000B6A76"/>
    <w:rsid w:val="000D1895"/>
    <w:rsid w:val="000D5C25"/>
    <w:rsid w:val="000D6231"/>
    <w:rsid w:val="000E1734"/>
    <w:rsid w:val="000E2529"/>
    <w:rsid w:val="00100198"/>
    <w:rsid w:val="0010761B"/>
    <w:rsid w:val="00107A54"/>
    <w:rsid w:val="00107B43"/>
    <w:rsid w:val="0011116B"/>
    <w:rsid w:val="001131F7"/>
    <w:rsid w:val="001215F9"/>
    <w:rsid w:val="001254F6"/>
    <w:rsid w:val="00127C9F"/>
    <w:rsid w:val="00130746"/>
    <w:rsid w:val="00132478"/>
    <w:rsid w:val="0013372C"/>
    <w:rsid w:val="00136E72"/>
    <w:rsid w:val="001435F2"/>
    <w:rsid w:val="00143893"/>
    <w:rsid w:val="00145893"/>
    <w:rsid w:val="001509E6"/>
    <w:rsid w:val="00157F8E"/>
    <w:rsid w:val="00196EA3"/>
    <w:rsid w:val="001A2419"/>
    <w:rsid w:val="001A7BF2"/>
    <w:rsid w:val="001A7E70"/>
    <w:rsid w:val="001B51A6"/>
    <w:rsid w:val="001B62EC"/>
    <w:rsid w:val="001C3197"/>
    <w:rsid w:val="001D0127"/>
    <w:rsid w:val="001D17AA"/>
    <w:rsid w:val="001D297A"/>
    <w:rsid w:val="001D34EB"/>
    <w:rsid w:val="001D3509"/>
    <w:rsid w:val="001D411B"/>
    <w:rsid w:val="001E19DA"/>
    <w:rsid w:val="001E2783"/>
    <w:rsid w:val="001E74C0"/>
    <w:rsid w:val="001F1E06"/>
    <w:rsid w:val="001F240A"/>
    <w:rsid w:val="001F2C8A"/>
    <w:rsid w:val="001F7B71"/>
    <w:rsid w:val="00202BFA"/>
    <w:rsid w:val="00203FC0"/>
    <w:rsid w:val="002075CA"/>
    <w:rsid w:val="00211405"/>
    <w:rsid w:val="00211585"/>
    <w:rsid w:val="0021483B"/>
    <w:rsid w:val="0021548B"/>
    <w:rsid w:val="00217C22"/>
    <w:rsid w:val="00222EC0"/>
    <w:rsid w:val="0022510E"/>
    <w:rsid w:val="002265EE"/>
    <w:rsid w:val="002452DD"/>
    <w:rsid w:val="002457A8"/>
    <w:rsid w:val="00251D2C"/>
    <w:rsid w:val="00252B8E"/>
    <w:rsid w:val="00265BFE"/>
    <w:rsid w:val="0027142B"/>
    <w:rsid w:val="00276871"/>
    <w:rsid w:val="00276CAB"/>
    <w:rsid w:val="00276FB3"/>
    <w:rsid w:val="002776A9"/>
    <w:rsid w:val="00280078"/>
    <w:rsid w:val="0028396D"/>
    <w:rsid w:val="00297DEB"/>
    <w:rsid w:val="002A03F7"/>
    <w:rsid w:val="002A7269"/>
    <w:rsid w:val="002B0DE6"/>
    <w:rsid w:val="002B3DA5"/>
    <w:rsid w:val="002B68E1"/>
    <w:rsid w:val="002C04FC"/>
    <w:rsid w:val="002C5E0B"/>
    <w:rsid w:val="002D3AC9"/>
    <w:rsid w:val="002D532D"/>
    <w:rsid w:val="002D5F48"/>
    <w:rsid w:val="002D6E18"/>
    <w:rsid w:val="002D7D70"/>
    <w:rsid w:val="002E4D03"/>
    <w:rsid w:val="002F0010"/>
    <w:rsid w:val="002F070B"/>
    <w:rsid w:val="002F1012"/>
    <w:rsid w:val="002F3276"/>
    <w:rsid w:val="002F52F1"/>
    <w:rsid w:val="002F5AF7"/>
    <w:rsid w:val="00301E5A"/>
    <w:rsid w:val="0030305C"/>
    <w:rsid w:val="00304666"/>
    <w:rsid w:val="00305ACE"/>
    <w:rsid w:val="003108DF"/>
    <w:rsid w:val="003171E0"/>
    <w:rsid w:val="00323F72"/>
    <w:rsid w:val="0032636D"/>
    <w:rsid w:val="00326D53"/>
    <w:rsid w:val="0033033D"/>
    <w:rsid w:val="0033182D"/>
    <w:rsid w:val="00332403"/>
    <w:rsid w:val="00332B74"/>
    <w:rsid w:val="00334B24"/>
    <w:rsid w:val="003446E5"/>
    <w:rsid w:val="0035198D"/>
    <w:rsid w:val="003578C5"/>
    <w:rsid w:val="0036377B"/>
    <w:rsid w:val="00365EFA"/>
    <w:rsid w:val="00373987"/>
    <w:rsid w:val="00382829"/>
    <w:rsid w:val="003855FC"/>
    <w:rsid w:val="00390A36"/>
    <w:rsid w:val="00391249"/>
    <w:rsid w:val="00391C6C"/>
    <w:rsid w:val="0039518D"/>
    <w:rsid w:val="00396F41"/>
    <w:rsid w:val="00397657"/>
    <w:rsid w:val="00397D01"/>
    <w:rsid w:val="003A0AE2"/>
    <w:rsid w:val="003B02EF"/>
    <w:rsid w:val="003B158D"/>
    <w:rsid w:val="003B6DFE"/>
    <w:rsid w:val="003C476F"/>
    <w:rsid w:val="003D1C58"/>
    <w:rsid w:val="003D2156"/>
    <w:rsid w:val="003D753D"/>
    <w:rsid w:val="003E5353"/>
    <w:rsid w:val="003E6730"/>
    <w:rsid w:val="003F1496"/>
    <w:rsid w:val="003F1EF1"/>
    <w:rsid w:val="003F3E62"/>
    <w:rsid w:val="00400067"/>
    <w:rsid w:val="00401E2F"/>
    <w:rsid w:val="00402DFF"/>
    <w:rsid w:val="0040383C"/>
    <w:rsid w:val="00411168"/>
    <w:rsid w:val="00414C71"/>
    <w:rsid w:val="00417861"/>
    <w:rsid w:val="00417864"/>
    <w:rsid w:val="00423A7B"/>
    <w:rsid w:val="00427958"/>
    <w:rsid w:val="00434B38"/>
    <w:rsid w:val="00441449"/>
    <w:rsid w:val="004435E7"/>
    <w:rsid w:val="0044397D"/>
    <w:rsid w:val="00444C77"/>
    <w:rsid w:val="0044582E"/>
    <w:rsid w:val="00470D76"/>
    <w:rsid w:val="00477469"/>
    <w:rsid w:val="00480EF7"/>
    <w:rsid w:val="004825C2"/>
    <w:rsid w:val="004845E6"/>
    <w:rsid w:val="004919EE"/>
    <w:rsid w:val="00496803"/>
    <w:rsid w:val="004A1EE5"/>
    <w:rsid w:val="004A4546"/>
    <w:rsid w:val="004A4ED6"/>
    <w:rsid w:val="004A697B"/>
    <w:rsid w:val="004B2874"/>
    <w:rsid w:val="004B41B6"/>
    <w:rsid w:val="004C14AC"/>
    <w:rsid w:val="004C335A"/>
    <w:rsid w:val="004C7D44"/>
    <w:rsid w:val="004D085E"/>
    <w:rsid w:val="004D0954"/>
    <w:rsid w:val="004D14D1"/>
    <w:rsid w:val="004D3B28"/>
    <w:rsid w:val="004E312D"/>
    <w:rsid w:val="004E3C4F"/>
    <w:rsid w:val="004F0A5D"/>
    <w:rsid w:val="004F0E92"/>
    <w:rsid w:val="004F71C2"/>
    <w:rsid w:val="005020A3"/>
    <w:rsid w:val="00502B6F"/>
    <w:rsid w:val="00502D21"/>
    <w:rsid w:val="00514971"/>
    <w:rsid w:val="00516CE1"/>
    <w:rsid w:val="0053158E"/>
    <w:rsid w:val="00532FF3"/>
    <w:rsid w:val="005333AF"/>
    <w:rsid w:val="005363A3"/>
    <w:rsid w:val="005433CD"/>
    <w:rsid w:val="00545436"/>
    <w:rsid w:val="00560778"/>
    <w:rsid w:val="00563AB4"/>
    <w:rsid w:val="005670E2"/>
    <w:rsid w:val="00567FBA"/>
    <w:rsid w:val="00570467"/>
    <w:rsid w:val="0057094B"/>
    <w:rsid w:val="005758B7"/>
    <w:rsid w:val="005804CA"/>
    <w:rsid w:val="00580773"/>
    <w:rsid w:val="00585983"/>
    <w:rsid w:val="00590B07"/>
    <w:rsid w:val="00592B24"/>
    <w:rsid w:val="00592EB8"/>
    <w:rsid w:val="0059429E"/>
    <w:rsid w:val="00597250"/>
    <w:rsid w:val="005A076E"/>
    <w:rsid w:val="005A2072"/>
    <w:rsid w:val="005A5A60"/>
    <w:rsid w:val="005B04A3"/>
    <w:rsid w:val="005B168C"/>
    <w:rsid w:val="005B2B83"/>
    <w:rsid w:val="005B7C51"/>
    <w:rsid w:val="005C182E"/>
    <w:rsid w:val="005C3CFD"/>
    <w:rsid w:val="005C737C"/>
    <w:rsid w:val="005D2358"/>
    <w:rsid w:val="005D42D1"/>
    <w:rsid w:val="005E3FA2"/>
    <w:rsid w:val="005E5216"/>
    <w:rsid w:val="005E705A"/>
    <w:rsid w:val="005F19BE"/>
    <w:rsid w:val="005F345B"/>
    <w:rsid w:val="005F4D5F"/>
    <w:rsid w:val="005F4FD3"/>
    <w:rsid w:val="005F6A2D"/>
    <w:rsid w:val="006063D5"/>
    <w:rsid w:val="00615F0F"/>
    <w:rsid w:val="0062057D"/>
    <w:rsid w:val="00621E9D"/>
    <w:rsid w:val="00622BEC"/>
    <w:rsid w:val="00624314"/>
    <w:rsid w:val="00635E56"/>
    <w:rsid w:val="00636384"/>
    <w:rsid w:val="0063652E"/>
    <w:rsid w:val="006403F6"/>
    <w:rsid w:val="00642286"/>
    <w:rsid w:val="00642370"/>
    <w:rsid w:val="00653584"/>
    <w:rsid w:val="00657FBF"/>
    <w:rsid w:val="006679DA"/>
    <w:rsid w:val="00671AE6"/>
    <w:rsid w:val="00673764"/>
    <w:rsid w:val="00675E88"/>
    <w:rsid w:val="00676F3D"/>
    <w:rsid w:val="00677B09"/>
    <w:rsid w:val="006855AD"/>
    <w:rsid w:val="00685A50"/>
    <w:rsid w:val="006917D2"/>
    <w:rsid w:val="00693FAD"/>
    <w:rsid w:val="00696A88"/>
    <w:rsid w:val="006A14DA"/>
    <w:rsid w:val="006A3B63"/>
    <w:rsid w:val="006A4779"/>
    <w:rsid w:val="006B0C90"/>
    <w:rsid w:val="006B0D6C"/>
    <w:rsid w:val="006C2866"/>
    <w:rsid w:val="006D2DBD"/>
    <w:rsid w:val="006D53D6"/>
    <w:rsid w:val="006F4FA1"/>
    <w:rsid w:val="006F5A5E"/>
    <w:rsid w:val="006F66F1"/>
    <w:rsid w:val="00703B3F"/>
    <w:rsid w:val="00706FB8"/>
    <w:rsid w:val="007116C9"/>
    <w:rsid w:val="00712EBB"/>
    <w:rsid w:val="007162D0"/>
    <w:rsid w:val="00720612"/>
    <w:rsid w:val="007225B0"/>
    <w:rsid w:val="00724B9F"/>
    <w:rsid w:val="00724FD6"/>
    <w:rsid w:val="0073302A"/>
    <w:rsid w:val="00733DE2"/>
    <w:rsid w:val="00736E97"/>
    <w:rsid w:val="0074005C"/>
    <w:rsid w:val="00741AE7"/>
    <w:rsid w:val="00742232"/>
    <w:rsid w:val="00746744"/>
    <w:rsid w:val="007503D4"/>
    <w:rsid w:val="00752DE5"/>
    <w:rsid w:val="00753CB9"/>
    <w:rsid w:val="00754067"/>
    <w:rsid w:val="00754C14"/>
    <w:rsid w:val="00762EF2"/>
    <w:rsid w:val="00763436"/>
    <w:rsid w:val="00765B71"/>
    <w:rsid w:val="0077199E"/>
    <w:rsid w:val="00772A78"/>
    <w:rsid w:val="00775203"/>
    <w:rsid w:val="00775C9A"/>
    <w:rsid w:val="00777194"/>
    <w:rsid w:val="00791BDA"/>
    <w:rsid w:val="007A5B81"/>
    <w:rsid w:val="007B038D"/>
    <w:rsid w:val="007B31BE"/>
    <w:rsid w:val="007D7E3C"/>
    <w:rsid w:val="007E5602"/>
    <w:rsid w:val="007F243B"/>
    <w:rsid w:val="007F450A"/>
    <w:rsid w:val="007F4731"/>
    <w:rsid w:val="007F6533"/>
    <w:rsid w:val="007F6D28"/>
    <w:rsid w:val="00800647"/>
    <w:rsid w:val="00801AA1"/>
    <w:rsid w:val="008040A2"/>
    <w:rsid w:val="00804A57"/>
    <w:rsid w:val="0080589E"/>
    <w:rsid w:val="00806808"/>
    <w:rsid w:val="008108A0"/>
    <w:rsid w:val="008119BE"/>
    <w:rsid w:val="008324E8"/>
    <w:rsid w:val="00833575"/>
    <w:rsid w:val="00842229"/>
    <w:rsid w:val="00842612"/>
    <w:rsid w:val="0084366B"/>
    <w:rsid w:val="00843BF1"/>
    <w:rsid w:val="0085178B"/>
    <w:rsid w:val="008601AB"/>
    <w:rsid w:val="008606F9"/>
    <w:rsid w:val="008611DB"/>
    <w:rsid w:val="00861A53"/>
    <w:rsid w:val="0087763F"/>
    <w:rsid w:val="00881924"/>
    <w:rsid w:val="00882EF9"/>
    <w:rsid w:val="008902D6"/>
    <w:rsid w:val="00892D59"/>
    <w:rsid w:val="00895364"/>
    <w:rsid w:val="008A1C41"/>
    <w:rsid w:val="008B279C"/>
    <w:rsid w:val="008B4A91"/>
    <w:rsid w:val="008B759A"/>
    <w:rsid w:val="008C0C4A"/>
    <w:rsid w:val="008C37B6"/>
    <w:rsid w:val="008C769B"/>
    <w:rsid w:val="008C7A2A"/>
    <w:rsid w:val="008D414A"/>
    <w:rsid w:val="008D63D2"/>
    <w:rsid w:val="008D7EAE"/>
    <w:rsid w:val="008E052C"/>
    <w:rsid w:val="008E1D95"/>
    <w:rsid w:val="008E6BD9"/>
    <w:rsid w:val="008E7DFE"/>
    <w:rsid w:val="008F0740"/>
    <w:rsid w:val="008F192E"/>
    <w:rsid w:val="008F2E8D"/>
    <w:rsid w:val="00900438"/>
    <w:rsid w:val="00900741"/>
    <w:rsid w:val="009023CB"/>
    <w:rsid w:val="009116BC"/>
    <w:rsid w:val="009156DC"/>
    <w:rsid w:val="00922DD2"/>
    <w:rsid w:val="009302F9"/>
    <w:rsid w:val="00932F39"/>
    <w:rsid w:val="00933801"/>
    <w:rsid w:val="0093528C"/>
    <w:rsid w:val="009352EC"/>
    <w:rsid w:val="00936936"/>
    <w:rsid w:val="009379D4"/>
    <w:rsid w:val="00937FD4"/>
    <w:rsid w:val="0094099B"/>
    <w:rsid w:val="00941EF5"/>
    <w:rsid w:val="009461C0"/>
    <w:rsid w:val="00947CA4"/>
    <w:rsid w:val="00950771"/>
    <w:rsid w:val="009526DE"/>
    <w:rsid w:val="00953C3D"/>
    <w:rsid w:val="00954E7D"/>
    <w:rsid w:val="00961E1D"/>
    <w:rsid w:val="00971340"/>
    <w:rsid w:val="00975197"/>
    <w:rsid w:val="00975215"/>
    <w:rsid w:val="009755BC"/>
    <w:rsid w:val="00983FA0"/>
    <w:rsid w:val="009A4ED2"/>
    <w:rsid w:val="009A6F3D"/>
    <w:rsid w:val="009B49ED"/>
    <w:rsid w:val="009B6639"/>
    <w:rsid w:val="009B7192"/>
    <w:rsid w:val="009C2F60"/>
    <w:rsid w:val="009C3048"/>
    <w:rsid w:val="009C4F10"/>
    <w:rsid w:val="009C55FE"/>
    <w:rsid w:val="009C7CB4"/>
    <w:rsid w:val="009D051C"/>
    <w:rsid w:val="009D17AA"/>
    <w:rsid w:val="009E0184"/>
    <w:rsid w:val="009F0AFC"/>
    <w:rsid w:val="009F140D"/>
    <w:rsid w:val="00A034B0"/>
    <w:rsid w:val="00A0480E"/>
    <w:rsid w:val="00A12395"/>
    <w:rsid w:val="00A13F3E"/>
    <w:rsid w:val="00A14E43"/>
    <w:rsid w:val="00A15722"/>
    <w:rsid w:val="00A15F8A"/>
    <w:rsid w:val="00A1616E"/>
    <w:rsid w:val="00A21A3F"/>
    <w:rsid w:val="00A240CE"/>
    <w:rsid w:val="00A2513D"/>
    <w:rsid w:val="00A338ED"/>
    <w:rsid w:val="00A3666C"/>
    <w:rsid w:val="00A37859"/>
    <w:rsid w:val="00A40982"/>
    <w:rsid w:val="00A44AAE"/>
    <w:rsid w:val="00A454F7"/>
    <w:rsid w:val="00A51398"/>
    <w:rsid w:val="00A52AAD"/>
    <w:rsid w:val="00A56C28"/>
    <w:rsid w:val="00A710D6"/>
    <w:rsid w:val="00A85441"/>
    <w:rsid w:val="00A952DA"/>
    <w:rsid w:val="00A97B0C"/>
    <w:rsid w:val="00AA2782"/>
    <w:rsid w:val="00AA77E4"/>
    <w:rsid w:val="00AB32FA"/>
    <w:rsid w:val="00AC3C72"/>
    <w:rsid w:val="00AC3EEB"/>
    <w:rsid w:val="00AC65AF"/>
    <w:rsid w:val="00AD734F"/>
    <w:rsid w:val="00AD7854"/>
    <w:rsid w:val="00AE6016"/>
    <w:rsid w:val="00AE73A4"/>
    <w:rsid w:val="00AF2C19"/>
    <w:rsid w:val="00AF403E"/>
    <w:rsid w:val="00AF5141"/>
    <w:rsid w:val="00B026A0"/>
    <w:rsid w:val="00B03E00"/>
    <w:rsid w:val="00B1062F"/>
    <w:rsid w:val="00B109F4"/>
    <w:rsid w:val="00B10CB6"/>
    <w:rsid w:val="00B13F2B"/>
    <w:rsid w:val="00B31E57"/>
    <w:rsid w:val="00B424D8"/>
    <w:rsid w:val="00B4294A"/>
    <w:rsid w:val="00B432DA"/>
    <w:rsid w:val="00B4746B"/>
    <w:rsid w:val="00B47FD8"/>
    <w:rsid w:val="00B53B4C"/>
    <w:rsid w:val="00B544C7"/>
    <w:rsid w:val="00B61283"/>
    <w:rsid w:val="00B70C4C"/>
    <w:rsid w:val="00B71C1B"/>
    <w:rsid w:val="00B72688"/>
    <w:rsid w:val="00B7412A"/>
    <w:rsid w:val="00B74550"/>
    <w:rsid w:val="00B83376"/>
    <w:rsid w:val="00BA191C"/>
    <w:rsid w:val="00BA379A"/>
    <w:rsid w:val="00BA4D5E"/>
    <w:rsid w:val="00BA53CF"/>
    <w:rsid w:val="00BA67BD"/>
    <w:rsid w:val="00BB07E3"/>
    <w:rsid w:val="00BB0B16"/>
    <w:rsid w:val="00BB1127"/>
    <w:rsid w:val="00BB295D"/>
    <w:rsid w:val="00BC3482"/>
    <w:rsid w:val="00BC6E4B"/>
    <w:rsid w:val="00BC7D46"/>
    <w:rsid w:val="00BD13AD"/>
    <w:rsid w:val="00BD2667"/>
    <w:rsid w:val="00BD3DCA"/>
    <w:rsid w:val="00BD5ADE"/>
    <w:rsid w:val="00BD713D"/>
    <w:rsid w:val="00BE08E3"/>
    <w:rsid w:val="00BE6F58"/>
    <w:rsid w:val="00BF02B0"/>
    <w:rsid w:val="00BF0724"/>
    <w:rsid w:val="00BF24B6"/>
    <w:rsid w:val="00BF58D2"/>
    <w:rsid w:val="00C01B0C"/>
    <w:rsid w:val="00C02B38"/>
    <w:rsid w:val="00C04E92"/>
    <w:rsid w:val="00C05C01"/>
    <w:rsid w:val="00C13C19"/>
    <w:rsid w:val="00C163D7"/>
    <w:rsid w:val="00C169A2"/>
    <w:rsid w:val="00C1703B"/>
    <w:rsid w:val="00C23D6C"/>
    <w:rsid w:val="00C32E2B"/>
    <w:rsid w:val="00C32FA5"/>
    <w:rsid w:val="00C34BB3"/>
    <w:rsid w:val="00C37C44"/>
    <w:rsid w:val="00C435B6"/>
    <w:rsid w:val="00C44EFE"/>
    <w:rsid w:val="00C456E3"/>
    <w:rsid w:val="00C45CBC"/>
    <w:rsid w:val="00C561B9"/>
    <w:rsid w:val="00C631FD"/>
    <w:rsid w:val="00C6366B"/>
    <w:rsid w:val="00C65795"/>
    <w:rsid w:val="00C674A6"/>
    <w:rsid w:val="00C74122"/>
    <w:rsid w:val="00C85A8B"/>
    <w:rsid w:val="00C86F04"/>
    <w:rsid w:val="00C90975"/>
    <w:rsid w:val="00C91924"/>
    <w:rsid w:val="00C9204A"/>
    <w:rsid w:val="00C9209A"/>
    <w:rsid w:val="00C923C6"/>
    <w:rsid w:val="00C949EB"/>
    <w:rsid w:val="00C97DF5"/>
    <w:rsid w:val="00CA6CF6"/>
    <w:rsid w:val="00CA7503"/>
    <w:rsid w:val="00CB1C32"/>
    <w:rsid w:val="00CB232C"/>
    <w:rsid w:val="00CB2D0E"/>
    <w:rsid w:val="00CB3446"/>
    <w:rsid w:val="00CC0491"/>
    <w:rsid w:val="00CC60E0"/>
    <w:rsid w:val="00CC6AEA"/>
    <w:rsid w:val="00CC6CC8"/>
    <w:rsid w:val="00CD015C"/>
    <w:rsid w:val="00CD0253"/>
    <w:rsid w:val="00CD7E38"/>
    <w:rsid w:val="00CE1F54"/>
    <w:rsid w:val="00CE2C1A"/>
    <w:rsid w:val="00CF1B82"/>
    <w:rsid w:val="00D00102"/>
    <w:rsid w:val="00D057D9"/>
    <w:rsid w:val="00D07874"/>
    <w:rsid w:val="00D07B98"/>
    <w:rsid w:val="00D1674B"/>
    <w:rsid w:val="00D16B9C"/>
    <w:rsid w:val="00D201C2"/>
    <w:rsid w:val="00D3681F"/>
    <w:rsid w:val="00D40B30"/>
    <w:rsid w:val="00D42B2B"/>
    <w:rsid w:val="00D477FD"/>
    <w:rsid w:val="00D612BC"/>
    <w:rsid w:val="00D62FA9"/>
    <w:rsid w:val="00D63D97"/>
    <w:rsid w:val="00D743CE"/>
    <w:rsid w:val="00D7440B"/>
    <w:rsid w:val="00D76CB2"/>
    <w:rsid w:val="00D90D6E"/>
    <w:rsid w:val="00D9196D"/>
    <w:rsid w:val="00D92E15"/>
    <w:rsid w:val="00D933DF"/>
    <w:rsid w:val="00D9585E"/>
    <w:rsid w:val="00D96AAF"/>
    <w:rsid w:val="00DA1F68"/>
    <w:rsid w:val="00DB7D69"/>
    <w:rsid w:val="00DC16FB"/>
    <w:rsid w:val="00DC52FA"/>
    <w:rsid w:val="00DC5AE3"/>
    <w:rsid w:val="00DD036E"/>
    <w:rsid w:val="00DD2335"/>
    <w:rsid w:val="00DD4E95"/>
    <w:rsid w:val="00DE1F62"/>
    <w:rsid w:val="00DF2F30"/>
    <w:rsid w:val="00DF3B77"/>
    <w:rsid w:val="00DF6DBA"/>
    <w:rsid w:val="00E02551"/>
    <w:rsid w:val="00E14777"/>
    <w:rsid w:val="00E17602"/>
    <w:rsid w:val="00E21959"/>
    <w:rsid w:val="00E21BAA"/>
    <w:rsid w:val="00E22796"/>
    <w:rsid w:val="00E246EC"/>
    <w:rsid w:val="00E310D8"/>
    <w:rsid w:val="00E31713"/>
    <w:rsid w:val="00E35C5C"/>
    <w:rsid w:val="00E36334"/>
    <w:rsid w:val="00E376F8"/>
    <w:rsid w:val="00E412F5"/>
    <w:rsid w:val="00E41E96"/>
    <w:rsid w:val="00E47C87"/>
    <w:rsid w:val="00E52256"/>
    <w:rsid w:val="00E54A50"/>
    <w:rsid w:val="00E54B40"/>
    <w:rsid w:val="00E82D46"/>
    <w:rsid w:val="00E971E7"/>
    <w:rsid w:val="00EA0A2D"/>
    <w:rsid w:val="00EA3916"/>
    <w:rsid w:val="00EA59D3"/>
    <w:rsid w:val="00EA792F"/>
    <w:rsid w:val="00EC102A"/>
    <w:rsid w:val="00EC2784"/>
    <w:rsid w:val="00EC362F"/>
    <w:rsid w:val="00EC47E1"/>
    <w:rsid w:val="00ED1BF8"/>
    <w:rsid w:val="00ED375F"/>
    <w:rsid w:val="00ED44D2"/>
    <w:rsid w:val="00ED5DCD"/>
    <w:rsid w:val="00EE2366"/>
    <w:rsid w:val="00EE363F"/>
    <w:rsid w:val="00EE48E2"/>
    <w:rsid w:val="00EE4E91"/>
    <w:rsid w:val="00EE4EEC"/>
    <w:rsid w:val="00EE55E1"/>
    <w:rsid w:val="00EF1EDE"/>
    <w:rsid w:val="00EF4365"/>
    <w:rsid w:val="00EF4536"/>
    <w:rsid w:val="00F05854"/>
    <w:rsid w:val="00F11E59"/>
    <w:rsid w:val="00F124E6"/>
    <w:rsid w:val="00F146F0"/>
    <w:rsid w:val="00F17B55"/>
    <w:rsid w:val="00F216A5"/>
    <w:rsid w:val="00F21732"/>
    <w:rsid w:val="00F342CD"/>
    <w:rsid w:val="00F43AFB"/>
    <w:rsid w:val="00F43CB2"/>
    <w:rsid w:val="00F44164"/>
    <w:rsid w:val="00F46861"/>
    <w:rsid w:val="00F54B82"/>
    <w:rsid w:val="00F558F3"/>
    <w:rsid w:val="00F6084B"/>
    <w:rsid w:val="00F62C04"/>
    <w:rsid w:val="00F679F9"/>
    <w:rsid w:val="00F70674"/>
    <w:rsid w:val="00F7149B"/>
    <w:rsid w:val="00F71FD4"/>
    <w:rsid w:val="00F721AD"/>
    <w:rsid w:val="00F8278E"/>
    <w:rsid w:val="00F82B7E"/>
    <w:rsid w:val="00F85D22"/>
    <w:rsid w:val="00F875BA"/>
    <w:rsid w:val="00F90E13"/>
    <w:rsid w:val="00F931A6"/>
    <w:rsid w:val="00F9504A"/>
    <w:rsid w:val="00F95A5A"/>
    <w:rsid w:val="00FA28A5"/>
    <w:rsid w:val="00FA4538"/>
    <w:rsid w:val="00FB7F03"/>
    <w:rsid w:val="00FC0DD1"/>
    <w:rsid w:val="00FC496B"/>
    <w:rsid w:val="00FC68F5"/>
    <w:rsid w:val="00FD038F"/>
    <w:rsid w:val="00FD0BE0"/>
    <w:rsid w:val="00FD193B"/>
    <w:rsid w:val="00FD409D"/>
    <w:rsid w:val="00FE0DE4"/>
    <w:rsid w:val="00FE2C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5068"/>
  <w15:chartTrackingRefBased/>
  <w15:docId w15:val="{A3BAD61A-41AD-1144-A3F4-89FBF4DC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016"/>
    <w:pPr>
      <w:spacing w:line="360" w:lineRule="auto"/>
    </w:pPr>
    <w:rPr>
      <w:rFonts w:ascii="Arial" w:hAnsi="Arial"/>
    </w:rPr>
  </w:style>
  <w:style w:type="paragraph" w:styleId="Heading1">
    <w:name w:val="heading 1"/>
    <w:basedOn w:val="Normal"/>
    <w:next w:val="Normal"/>
    <w:link w:val="Heading1Char"/>
    <w:uiPriority w:val="9"/>
    <w:qFormat/>
    <w:rsid w:val="000267BD"/>
    <w:pPr>
      <w:keepNext/>
      <w:keepLines/>
      <w:shd w:val="clear" w:color="auto" w:fill="404040" w:themeFill="text1" w:themeFillTint="BF"/>
      <w:spacing w:line="240" w:lineRule="auto"/>
      <w:jc w:val="center"/>
      <w:outlineLvl w:val="0"/>
    </w:pPr>
    <w:rPr>
      <w:rFonts w:eastAsiaTheme="majorEastAsia" w:cs="Times New Roman (Headings CS)"/>
      <w:caps/>
      <w:color w:val="FFFFFF" w:themeColor="background1"/>
      <w:sz w:val="36"/>
      <w:szCs w:val="32"/>
    </w:rPr>
  </w:style>
  <w:style w:type="paragraph" w:styleId="Heading2">
    <w:name w:val="heading 2"/>
    <w:basedOn w:val="Normal"/>
    <w:next w:val="Normal"/>
    <w:link w:val="Heading2Char"/>
    <w:uiPriority w:val="9"/>
    <w:unhideWhenUsed/>
    <w:qFormat/>
    <w:rsid w:val="000267BD"/>
    <w:pPr>
      <w:keepNext/>
      <w:keepLines/>
      <w:shd w:val="clear" w:color="auto" w:fill="595959" w:themeFill="text1" w:themeFillTint="A6"/>
      <w:spacing w:line="240" w:lineRule="auto"/>
      <w:jc w:val="center"/>
      <w:outlineLvl w:val="1"/>
    </w:pPr>
    <w:rPr>
      <w:rFonts w:eastAsiaTheme="majorEastAsia" w:cs="Times New Roman (Headings CS)"/>
      <w:caps/>
      <w:color w:val="FFFFFF" w:themeColor="background1"/>
      <w:sz w:val="28"/>
      <w:szCs w:val="26"/>
    </w:rPr>
  </w:style>
  <w:style w:type="paragraph" w:styleId="Heading3">
    <w:name w:val="heading 3"/>
    <w:basedOn w:val="Normal"/>
    <w:next w:val="Normal"/>
    <w:link w:val="Heading3Char"/>
    <w:uiPriority w:val="9"/>
    <w:unhideWhenUsed/>
    <w:qFormat/>
    <w:rsid w:val="00CB232C"/>
    <w:pPr>
      <w:keepNext/>
      <w:keepLines/>
      <w:jc w:val="center"/>
      <w:outlineLvl w:val="2"/>
    </w:pPr>
    <w:rPr>
      <w:rFonts w:eastAsiaTheme="majorEastAsia" w:cstheme="majorBidi"/>
      <w:b/>
    </w:rPr>
  </w:style>
  <w:style w:type="paragraph" w:styleId="Heading4">
    <w:name w:val="heading 4"/>
    <w:basedOn w:val="Normal"/>
    <w:next w:val="Normal"/>
    <w:link w:val="Heading4Char"/>
    <w:uiPriority w:val="9"/>
    <w:unhideWhenUsed/>
    <w:qFormat/>
    <w:rsid w:val="00CB232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qFormat/>
    <w:rsid w:val="00CC6CC8"/>
    <w:pPr>
      <w:keepNext/>
      <w:keepLines/>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7BD"/>
    <w:rPr>
      <w:rFonts w:ascii="Arial" w:eastAsiaTheme="majorEastAsia" w:hAnsi="Arial" w:cs="Times New Roman (Headings CS)"/>
      <w:caps/>
      <w:color w:val="FFFFFF" w:themeColor="background1"/>
      <w:sz w:val="36"/>
      <w:szCs w:val="32"/>
      <w:shd w:val="clear" w:color="auto" w:fill="404040" w:themeFill="text1" w:themeFillTint="BF"/>
    </w:rPr>
  </w:style>
  <w:style w:type="paragraph" w:styleId="Title">
    <w:name w:val="Title"/>
    <w:basedOn w:val="Normal"/>
    <w:next w:val="Normal"/>
    <w:link w:val="TitleChar"/>
    <w:uiPriority w:val="10"/>
    <w:rsid w:val="000267BD"/>
    <w:pPr>
      <w:shd w:val="clear" w:color="auto" w:fill="262626" w:themeFill="text1" w:themeFillTint="D9"/>
      <w:spacing w:line="240" w:lineRule="auto"/>
      <w:contextualSpacing/>
      <w:jc w:val="center"/>
    </w:pPr>
    <w:rPr>
      <w:rFonts w:eastAsiaTheme="majorEastAsia" w:cs="Times New Roman (Headings CS)"/>
      <w:caps/>
      <w:color w:val="FFFFFF" w:themeColor="background1"/>
      <w:spacing w:val="-10"/>
      <w:kern w:val="28"/>
      <w:sz w:val="40"/>
      <w:szCs w:val="56"/>
    </w:rPr>
  </w:style>
  <w:style w:type="character" w:customStyle="1" w:styleId="TitleChar">
    <w:name w:val="Title Char"/>
    <w:basedOn w:val="DefaultParagraphFont"/>
    <w:link w:val="Title"/>
    <w:uiPriority w:val="10"/>
    <w:rsid w:val="000267BD"/>
    <w:rPr>
      <w:rFonts w:ascii="Arial" w:eastAsiaTheme="majorEastAsia" w:hAnsi="Arial" w:cs="Times New Roman (Headings CS)"/>
      <w:caps/>
      <w:color w:val="FFFFFF" w:themeColor="background1"/>
      <w:spacing w:val="-10"/>
      <w:kern w:val="28"/>
      <w:sz w:val="40"/>
      <w:szCs w:val="56"/>
      <w:shd w:val="clear" w:color="auto" w:fill="262626" w:themeFill="text1" w:themeFillTint="D9"/>
    </w:rPr>
  </w:style>
  <w:style w:type="character" w:customStyle="1" w:styleId="Heading2Char">
    <w:name w:val="Heading 2 Char"/>
    <w:basedOn w:val="DefaultParagraphFont"/>
    <w:link w:val="Heading2"/>
    <w:uiPriority w:val="9"/>
    <w:rsid w:val="000267BD"/>
    <w:rPr>
      <w:rFonts w:ascii="Arial" w:eastAsiaTheme="majorEastAsia" w:hAnsi="Arial" w:cs="Times New Roman (Headings CS)"/>
      <w:caps/>
      <w:color w:val="FFFFFF" w:themeColor="background1"/>
      <w:sz w:val="28"/>
      <w:szCs w:val="26"/>
      <w:shd w:val="clear" w:color="auto" w:fill="595959" w:themeFill="text1" w:themeFillTint="A6"/>
    </w:rPr>
  </w:style>
  <w:style w:type="table" w:styleId="TableGrid">
    <w:name w:val="Table Grid"/>
    <w:basedOn w:val="TableNormal"/>
    <w:uiPriority w:val="39"/>
    <w:rsid w:val="002F5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5C9A"/>
    <w:rPr>
      <w:color w:val="0563C1" w:themeColor="hyperlink"/>
      <w:u w:val="single"/>
    </w:rPr>
  </w:style>
  <w:style w:type="character" w:styleId="UnresolvedMention">
    <w:name w:val="Unresolved Mention"/>
    <w:basedOn w:val="DefaultParagraphFont"/>
    <w:uiPriority w:val="99"/>
    <w:semiHidden/>
    <w:unhideWhenUsed/>
    <w:rsid w:val="00775C9A"/>
    <w:rPr>
      <w:color w:val="605E5C"/>
      <w:shd w:val="clear" w:color="auto" w:fill="E1DFDD"/>
    </w:rPr>
  </w:style>
  <w:style w:type="character" w:styleId="FollowedHyperlink">
    <w:name w:val="FollowedHyperlink"/>
    <w:basedOn w:val="DefaultParagraphFont"/>
    <w:uiPriority w:val="99"/>
    <w:semiHidden/>
    <w:unhideWhenUsed/>
    <w:rsid w:val="00775C9A"/>
    <w:rPr>
      <w:color w:val="954F72" w:themeColor="followedHyperlink"/>
      <w:u w:val="single"/>
    </w:rPr>
  </w:style>
  <w:style w:type="paragraph" w:styleId="Footer">
    <w:name w:val="footer"/>
    <w:basedOn w:val="Normal"/>
    <w:link w:val="FooterChar"/>
    <w:uiPriority w:val="99"/>
    <w:unhideWhenUsed/>
    <w:rsid w:val="00A97B0C"/>
    <w:pPr>
      <w:tabs>
        <w:tab w:val="center" w:pos="4513"/>
        <w:tab w:val="right" w:pos="9026"/>
      </w:tabs>
      <w:spacing w:line="240" w:lineRule="auto"/>
    </w:pPr>
  </w:style>
  <w:style w:type="character" w:customStyle="1" w:styleId="FooterChar">
    <w:name w:val="Footer Char"/>
    <w:basedOn w:val="DefaultParagraphFont"/>
    <w:link w:val="Footer"/>
    <w:uiPriority w:val="99"/>
    <w:rsid w:val="00A97B0C"/>
    <w:rPr>
      <w:rFonts w:ascii="Arial" w:hAnsi="Arial"/>
    </w:rPr>
  </w:style>
  <w:style w:type="character" w:styleId="PageNumber">
    <w:name w:val="page number"/>
    <w:basedOn w:val="DefaultParagraphFont"/>
    <w:uiPriority w:val="99"/>
    <w:semiHidden/>
    <w:unhideWhenUsed/>
    <w:rsid w:val="00A97B0C"/>
  </w:style>
  <w:style w:type="character" w:customStyle="1" w:styleId="Heading3Char">
    <w:name w:val="Heading 3 Char"/>
    <w:basedOn w:val="DefaultParagraphFont"/>
    <w:link w:val="Heading3"/>
    <w:uiPriority w:val="9"/>
    <w:rsid w:val="00CB232C"/>
    <w:rPr>
      <w:rFonts w:ascii="Arial" w:eastAsiaTheme="majorEastAsia" w:hAnsi="Arial" w:cstheme="majorBidi"/>
      <w:b/>
    </w:rPr>
  </w:style>
  <w:style w:type="character" w:customStyle="1" w:styleId="Heading4Char">
    <w:name w:val="Heading 4 Char"/>
    <w:basedOn w:val="DefaultParagraphFont"/>
    <w:link w:val="Heading4"/>
    <w:uiPriority w:val="9"/>
    <w:rsid w:val="00CB232C"/>
    <w:rPr>
      <w:rFonts w:ascii="Arial" w:eastAsiaTheme="majorEastAsia" w:hAnsi="Arial" w:cstheme="majorBidi"/>
      <w:iCs/>
      <w:u w:val="single"/>
    </w:rPr>
  </w:style>
  <w:style w:type="paragraph" w:styleId="Quote">
    <w:name w:val="Quote"/>
    <w:basedOn w:val="Normal"/>
    <w:next w:val="Normal"/>
    <w:link w:val="QuoteChar"/>
    <w:uiPriority w:val="29"/>
    <w:qFormat/>
    <w:rsid w:val="009755BC"/>
    <w:pPr>
      <w:spacing w:line="240" w:lineRule="auto"/>
      <w:ind w:left="862"/>
    </w:pPr>
    <w:rPr>
      <w:iCs/>
    </w:rPr>
  </w:style>
  <w:style w:type="character" w:customStyle="1" w:styleId="QuoteChar">
    <w:name w:val="Quote Char"/>
    <w:basedOn w:val="DefaultParagraphFont"/>
    <w:link w:val="Quote"/>
    <w:uiPriority w:val="29"/>
    <w:rsid w:val="009755BC"/>
    <w:rPr>
      <w:rFonts w:ascii="Arial" w:hAnsi="Arial"/>
      <w:iCs/>
    </w:rPr>
  </w:style>
  <w:style w:type="paragraph" w:styleId="ListParagraph">
    <w:name w:val="List Paragraph"/>
    <w:basedOn w:val="Normal"/>
    <w:uiPriority w:val="34"/>
    <w:qFormat/>
    <w:rsid w:val="00861A53"/>
    <w:pPr>
      <w:ind w:left="720"/>
      <w:contextualSpacing/>
    </w:pPr>
  </w:style>
  <w:style w:type="character" w:customStyle="1" w:styleId="Heading5Char">
    <w:name w:val="Heading 5 Char"/>
    <w:basedOn w:val="DefaultParagraphFont"/>
    <w:link w:val="Heading5"/>
    <w:uiPriority w:val="9"/>
    <w:rsid w:val="00CC6CC8"/>
    <w:rPr>
      <w:rFonts w:ascii="Arial" w:eastAsiaTheme="majorEastAsia" w:hAnsi="Arial" w:cstheme="majorBidi"/>
      <w:i/>
    </w:rPr>
  </w:style>
  <w:style w:type="character" w:styleId="CommentReference">
    <w:name w:val="annotation reference"/>
    <w:basedOn w:val="DefaultParagraphFont"/>
    <w:uiPriority w:val="99"/>
    <w:semiHidden/>
    <w:unhideWhenUsed/>
    <w:rsid w:val="00EE48E2"/>
    <w:rPr>
      <w:sz w:val="16"/>
      <w:szCs w:val="16"/>
    </w:rPr>
  </w:style>
  <w:style w:type="paragraph" w:styleId="CommentText">
    <w:name w:val="annotation text"/>
    <w:basedOn w:val="Normal"/>
    <w:link w:val="CommentTextChar"/>
    <w:uiPriority w:val="99"/>
    <w:semiHidden/>
    <w:unhideWhenUsed/>
    <w:rsid w:val="00EE48E2"/>
    <w:pPr>
      <w:spacing w:line="240" w:lineRule="auto"/>
    </w:pPr>
    <w:rPr>
      <w:sz w:val="20"/>
      <w:szCs w:val="20"/>
    </w:rPr>
  </w:style>
  <w:style w:type="character" w:customStyle="1" w:styleId="CommentTextChar">
    <w:name w:val="Comment Text Char"/>
    <w:basedOn w:val="DefaultParagraphFont"/>
    <w:link w:val="CommentText"/>
    <w:uiPriority w:val="99"/>
    <w:semiHidden/>
    <w:rsid w:val="00EE48E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E48E2"/>
    <w:rPr>
      <w:b/>
      <w:bCs/>
    </w:rPr>
  </w:style>
  <w:style w:type="character" w:customStyle="1" w:styleId="CommentSubjectChar">
    <w:name w:val="Comment Subject Char"/>
    <w:basedOn w:val="CommentTextChar"/>
    <w:link w:val="CommentSubject"/>
    <w:uiPriority w:val="99"/>
    <w:semiHidden/>
    <w:rsid w:val="00EE48E2"/>
    <w:rPr>
      <w:rFonts w:ascii="Arial" w:hAnsi="Arial"/>
      <w:b/>
      <w:bCs/>
      <w:sz w:val="20"/>
      <w:szCs w:val="20"/>
    </w:rPr>
  </w:style>
  <w:style w:type="paragraph" w:styleId="Caption">
    <w:name w:val="caption"/>
    <w:basedOn w:val="Normal"/>
    <w:next w:val="Normal"/>
    <w:uiPriority w:val="35"/>
    <w:unhideWhenUsed/>
    <w:qFormat/>
    <w:rsid w:val="00AA2782"/>
    <w:pPr>
      <w:spacing w:after="200" w:line="240" w:lineRule="auto"/>
    </w:pPr>
    <w:rPr>
      <w:i/>
      <w:iCs/>
      <w:color w:val="44546A" w:themeColor="text2"/>
      <w:sz w:val="18"/>
      <w:szCs w:val="18"/>
    </w:rPr>
  </w:style>
  <w:style w:type="character" w:styleId="Emphasis">
    <w:name w:val="Emphasis"/>
    <w:basedOn w:val="DefaultParagraphFont"/>
    <w:uiPriority w:val="20"/>
    <w:qFormat/>
    <w:rsid w:val="00087D69"/>
    <w:rPr>
      <w:i/>
      <w:iCs/>
    </w:rPr>
  </w:style>
  <w:style w:type="character" w:customStyle="1" w:styleId="printpage">
    <w:name w:val="printpage"/>
    <w:basedOn w:val="DefaultParagraphFont"/>
    <w:rsid w:val="00087D69"/>
  </w:style>
  <w:style w:type="character" w:customStyle="1" w:styleId="printpagemark">
    <w:name w:val="printpagemark"/>
    <w:basedOn w:val="DefaultParagraphFont"/>
    <w:rsid w:val="00087D69"/>
  </w:style>
  <w:style w:type="paragraph" w:styleId="Header">
    <w:name w:val="header"/>
    <w:basedOn w:val="Normal"/>
    <w:link w:val="HeaderChar"/>
    <w:uiPriority w:val="99"/>
    <w:unhideWhenUsed/>
    <w:rsid w:val="00477469"/>
    <w:pPr>
      <w:tabs>
        <w:tab w:val="center" w:pos="4513"/>
        <w:tab w:val="right" w:pos="9026"/>
      </w:tabs>
      <w:spacing w:line="240" w:lineRule="auto"/>
    </w:pPr>
  </w:style>
  <w:style w:type="character" w:customStyle="1" w:styleId="HeaderChar">
    <w:name w:val="Header Char"/>
    <w:basedOn w:val="DefaultParagraphFont"/>
    <w:link w:val="Header"/>
    <w:uiPriority w:val="99"/>
    <w:rsid w:val="0047746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868652">
      <w:bodyDiv w:val="1"/>
      <w:marLeft w:val="0"/>
      <w:marRight w:val="0"/>
      <w:marTop w:val="0"/>
      <w:marBottom w:val="0"/>
      <w:divBdr>
        <w:top w:val="none" w:sz="0" w:space="0" w:color="auto"/>
        <w:left w:val="none" w:sz="0" w:space="0" w:color="auto"/>
        <w:bottom w:val="none" w:sz="0" w:space="0" w:color="auto"/>
        <w:right w:val="none" w:sz="0" w:space="0" w:color="auto"/>
      </w:divBdr>
    </w:div>
    <w:div w:id="245116222">
      <w:bodyDiv w:val="1"/>
      <w:marLeft w:val="0"/>
      <w:marRight w:val="0"/>
      <w:marTop w:val="0"/>
      <w:marBottom w:val="0"/>
      <w:divBdr>
        <w:top w:val="none" w:sz="0" w:space="0" w:color="auto"/>
        <w:left w:val="none" w:sz="0" w:space="0" w:color="auto"/>
        <w:bottom w:val="none" w:sz="0" w:space="0" w:color="auto"/>
        <w:right w:val="none" w:sz="0" w:space="0" w:color="auto"/>
      </w:divBdr>
    </w:div>
    <w:div w:id="428500891">
      <w:bodyDiv w:val="1"/>
      <w:marLeft w:val="0"/>
      <w:marRight w:val="0"/>
      <w:marTop w:val="0"/>
      <w:marBottom w:val="0"/>
      <w:divBdr>
        <w:top w:val="none" w:sz="0" w:space="0" w:color="auto"/>
        <w:left w:val="none" w:sz="0" w:space="0" w:color="auto"/>
        <w:bottom w:val="none" w:sz="0" w:space="0" w:color="auto"/>
        <w:right w:val="none" w:sz="0" w:space="0" w:color="auto"/>
      </w:divBdr>
    </w:div>
    <w:div w:id="597567613">
      <w:bodyDiv w:val="1"/>
      <w:marLeft w:val="0"/>
      <w:marRight w:val="0"/>
      <w:marTop w:val="0"/>
      <w:marBottom w:val="0"/>
      <w:divBdr>
        <w:top w:val="none" w:sz="0" w:space="0" w:color="auto"/>
        <w:left w:val="none" w:sz="0" w:space="0" w:color="auto"/>
        <w:bottom w:val="none" w:sz="0" w:space="0" w:color="auto"/>
        <w:right w:val="none" w:sz="0" w:space="0" w:color="auto"/>
      </w:divBdr>
    </w:div>
    <w:div w:id="904991321">
      <w:bodyDiv w:val="1"/>
      <w:marLeft w:val="0"/>
      <w:marRight w:val="0"/>
      <w:marTop w:val="0"/>
      <w:marBottom w:val="0"/>
      <w:divBdr>
        <w:top w:val="none" w:sz="0" w:space="0" w:color="auto"/>
        <w:left w:val="none" w:sz="0" w:space="0" w:color="auto"/>
        <w:bottom w:val="none" w:sz="0" w:space="0" w:color="auto"/>
        <w:right w:val="none" w:sz="0" w:space="0" w:color="auto"/>
      </w:divBdr>
    </w:div>
    <w:div w:id="920481069">
      <w:bodyDiv w:val="1"/>
      <w:marLeft w:val="0"/>
      <w:marRight w:val="0"/>
      <w:marTop w:val="0"/>
      <w:marBottom w:val="0"/>
      <w:divBdr>
        <w:top w:val="none" w:sz="0" w:space="0" w:color="auto"/>
        <w:left w:val="none" w:sz="0" w:space="0" w:color="auto"/>
        <w:bottom w:val="none" w:sz="0" w:space="0" w:color="auto"/>
        <w:right w:val="none" w:sz="0" w:space="0" w:color="auto"/>
      </w:divBdr>
    </w:div>
    <w:div w:id="1059790811">
      <w:bodyDiv w:val="1"/>
      <w:marLeft w:val="0"/>
      <w:marRight w:val="0"/>
      <w:marTop w:val="0"/>
      <w:marBottom w:val="0"/>
      <w:divBdr>
        <w:top w:val="none" w:sz="0" w:space="0" w:color="auto"/>
        <w:left w:val="none" w:sz="0" w:space="0" w:color="auto"/>
        <w:bottom w:val="none" w:sz="0" w:space="0" w:color="auto"/>
        <w:right w:val="none" w:sz="0" w:space="0" w:color="auto"/>
      </w:divBdr>
    </w:div>
    <w:div w:id="1090541285">
      <w:bodyDiv w:val="1"/>
      <w:marLeft w:val="0"/>
      <w:marRight w:val="0"/>
      <w:marTop w:val="0"/>
      <w:marBottom w:val="0"/>
      <w:divBdr>
        <w:top w:val="none" w:sz="0" w:space="0" w:color="auto"/>
        <w:left w:val="none" w:sz="0" w:space="0" w:color="auto"/>
        <w:bottom w:val="none" w:sz="0" w:space="0" w:color="auto"/>
        <w:right w:val="none" w:sz="0" w:space="0" w:color="auto"/>
      </w:divBdr>
    </w:div>
    <w:div w:id="1236746290">
      <w:bodyDiv w:val="1"/>
      <w:marLeft w:val="0"/>
      <w:marRight w:val="0"/>
      <w:marTop w:val="0"/>
      <w:marBottom w:val="0"/>
      <w:divBdr>
        <w:top w:val="none" w:sz="0" w:space="0" w:color="auto"/>
        <w:left w:val="none" w:sz="0" w:space="0" w:color="auto"/>
        <w:bottom w:val="none" w:sz="0" w:space="0" w:color="auto"/>
        <w:right w:val="none" w:sz="0" w:space="0" w:color="auto"/>
      </w:divBdr>
    </w:div>
    <w:div w:id="1736313419">
      <w:bodyDiv w:val="1"/>
      <w:marLeft w:val="0"/>
      <w:marRight w:val="0"/>
      <w:marTop w:val="0"/>
      <w:marBottom w:val="0"/>
      <w:divBdr>
        <w:top w:val="none" w:sz="0" w:space="0" w:color="auto"/>
        <w:left w:val="none" w:sz="0" w:space="0" w:color="auto"/>
        <w:bottom w:val="none" w:sz="0" w:space="0" w:color="auto"/>
        <w:right w:val="none" w:sz="0" w:space="0" w:color="auto"/>
      </w:divBdr>
    </w:div>
    <w:div w:id="200601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l.talis.com/3/durham/lists/4D39CDC2-929F-F359-79E5-2864DFF13FE8.html?lang=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ps.gov.uk/legal-guidance/intentional-or-reckless-sexual-transmission-infec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E4999-7265-0440-9B82-AA6F2CC7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3725</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MILNE, EMMA</dc:creator>
  <cp:keywords/>
  <dc:description/>
  <cp:lastModifiedBy>TSANG, AGNES H.L. (Student)</cp:lastModifiedBy>
  <cp:revision>4</cp:revision>
  <dcterms:created xsi:type="dcterms:W3CDTF">2024-10-29T21:56:00Z</dcterms:created>
  <dcterms:modified xsi:type="dcterms:W3CDTF">2024-12-10T16:42:00Z</dcterms:modified>
</cp:coreProperties>
</file>