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D3955" w14:textId="6E8F0DC3" w:rsidR="00203F0A" w:rsidRPr="00203F0A" w:rsidRDefault="003A0D76" w:rsidP="003A0D76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A0D76">
        <w:rPr>
          <w:rFonts w:ascii="Times New Roman" w:hAnsi="Times New Roman"/>
          <w:b/>
          <w:bCs/>
          <w:lang w:val="en-HK"/>
        </w:rPr>
        <w:t xml:space="preserve">1. </w:t>
      </w:r>
      <w:r w:rsidR="00203F0A" w:rsidRPr="00203F0A">
        <w:rPr>
          <w:rFonts w:ascii="Times New Roman" w:hAnsi="Times New Roman"/>
          <w:b/>
          <w:bCs/>
          <w:lang w:val="en-HK"/>
        </w:rPr>
        <w:t>Key Changes Introduced by the Reform</w:t>
      </w:r>
    </w:p>
    <w:p w14:paraId="195D5131" w14:textId="77777777" w:rsidR="00203F0A" w:rsidRPr="00203F0A" w:rsidRDefault="00203F0A" w:rsidP="003A0D76">
      <w:pPr>
        <w:numPr>
          <w:ilvl w:val="0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b/>
          <w:bCs/>
          <w:lang w:val="en-HK"/>
        </w:rPr>
        <w:t>Revised Structure of Diminished Responsibility</w:t>
      </w:r>
      <w:r w:rsidRPr="00203F0A">
        <w:rPr>
          <w:rFonts w:ascii="Times New Roman" w:hAnsi="Times New Roman"/>
          <w:lang w:val="en-HK"/>
        </w:rPr>
        <w:t>:</w:t>
      </w:r>
    </w:p>
    <w:p w14:paraId="2C007A14" w14:textId="77777777" w:rsidR="00203F0A" w:rsidRPr="00203F0A" w:rsidRDefault="00203F0A" w:rsidP="003A0D76">
      <w:pPr>
        <w:numPr>
          <w:ilvl w:val="1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>The reform aimed to align the plea with advancements in psychiatric understanding and legal clarity.</w:t>
      </w:r>
    </w:p>
    <w:p w14:paraId="29580A5D" w14:textId="77777777" w:rsidR="00203F0A" w:rsidRPr="00203F0A" w:rsidRDefault="00203F0A" w:rsidP="003A0D76">
      <w:pPr>
        <w:numPr>
          <w:ilvl w:val="1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 xml:space="preserve">It specified that diminished responsibility could only be claimed if the defendant had a </w:t>
      </w:r>
      <w:r w:rsidRPr="00203F0A">
        <w:rPr>
          <w:rFonts w:ascii="Times New Roman" w:hAnsi="Times New Roman"/>
          <w:b/>
          <w:bCs/>
          <w:lang w:val="en-HK"/>
        </w:rPr>
        <w:t>recognized medical condition</w:t>
      </w:r>
      <w:r w:rsidRPr="00203F0A">
        <w:rPr>
          <w:rFonts w:ascii="Times New Roman" w:hAnsi="Times New Roman"/>
          <w:lang w:val="en-HK"/>
        </w:rPr>
        <w:t xml:space="preserve"> causing a substantial impairment of mental functioning that significantly contributed to the killing.</w:t>
      </w:r>
    </w:p>
    <w:p w14:paraId="319254FF" w14:textId="77777777" w:rsidR="00203F0A" w:rsidRPr="00203F0A" w:rsidRDefault="00203F0A" w:rsidP="003A0D76">
      <w:pPr>
        <w:numPr>
          <w:ilvl w:val="0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b/>
          <w:bCs/>
          <w:lang w:val="en-HK"/>
        </w:rPr>
        <w:t>Requirements Under the New Law</w:t>
      </w:r>
      <w:r w:rsidRPr="00203F0A">
        <w:rPr>
          <w:rFonts w:ascii="Times New Roman" w:hAnsi="Times New Roman"/>
          <w:lang w:val="en-HK"/>
        </w:rPr>
        <w:t>:</w:t>
      </w:r>
    </w:p>
    <w:p w14:paraId="55D391DA" w14:textId="77777777" w:rsidR="00203F0A" w:rsidRPr="00203F0A" w:rsidRDefault="00203F0A" w:rsidP="003A0D76">
      <w:pPr>
        <w:numPr>
          <w:ilvl w:val="1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b/>
          <w:bCs/>
          <w:color w:val="FF0000"/>
          <w:lang w:val="en-HK"/>
        </w:rPr>
        <w:t>Section 2(1) of the Homicide Act 1957</w:t>
      </w:r>
      <w:r w:rsidRPr="00203F0A">
        <w:rPr>
          <w:rFonts w:ascii="Times New Roman" w:hAnsi="Times New Roman"/>
          <w:color w:val="FF0000"/>
          <w:lang w:val="en-HK"/>
        </w:rPr>
        <w:t xml:space="preserve"> </w:t>
      </w:r>
      <w:r w:rsidRPr="00203F0A">
        <w:rPr>
          <w:rFonts w:ascii="Times New Roman" w:hAnsi="Times New Roman"/>
          <w:lang w:val="en-HK"/>
        </w:rPr>
        <w:t>(as amended) defines diminished responsibility as applicable where the defendant:</w:t>
      </w:r>
    </w:p>
    <w:p w14:paraId="308F4285" w14:textId="77777777" w:rsidR="00203F0A" w:rsidRPr="00203F0A" w:rsidRDefault="00203F0A" w:rsidP="003A0D76">
      <w:pPr>
        <w:numPr>
          <w:ilvl w:val="2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 xml:space="preserve">Suffers from a </w:t>
      </w:r>
      <w:r w:rsidRPr="00203F0A">
        <w:rPr>
          <w:rFonts w:ascii="Times New Roman" w:hAnsi="Times New Roman"/>
          <w:b/>
          <w:bCs/>
          <w:lang w:val="en-HK"/>
        </w:rPr>
        <w:t>recognized medical condition</w:t>
      </w:r>
      <w:r w:rsidRPr="00203F0A">
        <w:rPr>
          <w:rFonts w:ascii="Times New Roman" w:hAnsi="Times New Roman"/>
          <w:lang w:val="en-HK"/>
        </w:rPr>
        <w:t>.</w:t>
      </w:r>
    </w:p>
    <w:p w14:paraId="02F7B87E" w14:textId="77777777" w:rsidR="00203F0A" w:rsidRPr="00203F0A" w:rsidRDefault="00203F0A" w:rsidP="003A0D76">
      <w:pPr>
        <w:numPr>
          <w:ilvl w:val="2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 xml:space="preserve">Experiences a </w:t>
      </w:r>
      <w:r w:rsidRPr="00203F0A">
        <w:rPr>
          <w:rFonts w:ascii="Times New Roman" w:hAnsi="Times New Roman"/>
          <w:b/>
          <w:bCs/>
          <w:lang w:val="en-HK"/>
        </w:rPr>
        <w:t>substantial impairment</w:t>
      </w:r>
      <w:r w:rsidRPr="00203F0A">
        <w:rPr>
          <w:rFonts w:ascii="Times New Roman" w:hAnsi="Times New Roman"/>
          <w:lang w:val="en-HK"/>
        </w:rPr>
        <w:t xml:space="preserve"> of one or more abilities to:</w:t>
      </w:r>
    </w:p>
    <w:p w14:paraId="746D7AE2" w14:textId="77777777" w:rsidR="00203F0A" w:rsidRPr="00203F0A" w:rsidRDefault="00203F0A" w:rsidP="003A0D76">
      <w:pPr>
        <w:numPr>
          <w:ilvl w:val="3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>Understand the nature of their conduct.</w:t>
      </w:r>
    </w:p>
    <w:p w14:paraId="27102A64" w14:textId="77777777" w:rsidR="00203F0A" w:rsidRPr="00203F0A" w:rsidRDefault="00203F0A" w:rsidP="003A0D76">
      <w:pPr>
        <w:numPr>
          <w:ilvl w:val="3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>Form a rational judgment.</w:t>
      </w:r>
    </w:p>
    <w:p w14:paraId="3236F327" w14:textId="77777777" w:rsidR="00203F0A" w:rsidRPr="00203F0A" w:rsidRDefault="00203F0A" w:rsidP="003A0D76">
      <w:pPr>
        <w:numPr>
          <w:ilvl w:val="3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>Exercise self-control.</w:t>
      </w:r>
    </w:p>
    <w:p w14:paraId="011AFB2F" w14:textId="77777777" w:rsidR="00203F0A" w:rsidRPr="00203F0A" w:rsidRDefault="00203F0A" w:rsidP="003A0D76">
      <w:pPr>
        <w:numPr>
          <w:ilvl w:val="2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 xml:space="preserve">The substantial impairment must </w:t>
      </w:r>
      <w:r w:rsidRPr="00203F0A">
        <w:rPr>
          <w:rFonts w:ascii="Times New Roman" w:hAnsi="Times New Roman"/>
          <w:b/>
          <w:bCs/>
          <w:lang w:val="en-HK"/>
        </w:rPr>
        <w:t>cause or significantly contribute</w:t>
      </w:r>
      <w:r w:rsidRPr="00203F0A">
        <w:rPr>
          <w:rFonts w:ascii="Times New Roman" w:hAnsi="Times New Roman"/>
          <w:lang w:val="en-HK"/>
        </w:rPr>
        <w:t xml:space="preserve"> to the killing.</w:t>
      </w:r>
    </w:p>
    <w:p w14:paraId="0322EFA7" w14:textId="77777777" w:rsidR="00203F0A" w:rsidRPr="00203F0A" w:rsidRDefault="00203F0A" w:rsidP="003A0D76">
      <w:pPr>
        <w:numPr>
          <w:ilvl w:val="1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>This contrasts with the old law, which required proving an "abnormality of mind" without clearly defining it.</w:t>
      </w:r>
    </w:p>
    <w:p w14:paraId="6E508846" w14:textId="77777777" w:rsidR="00203F0A" w:rsidRPr="00203F0A" w:rsidRDefault="00203F0A" w:rsidP="003A0D76">
      <w:pPr>
        <w:numPr>
          <w:ilvl w:val="0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b/>
          <w:bCs/>
          <w:lang w:val="en-HK"/>
        </w:rPr>
        <w:t>Clarifying "Recognized Medical Condition"</w:t>
      </w:r>
      <w:r w:rsidRPr="00203F0A">
        <w:rPr>
          <w:rFonts w:ascii="Times New Roman" w:hAnsi="Times New Roman"/>
          <w:lang w:val="en-HK"/>
        </w:rPr>
        <w:t>:</w:t>
      </w:r>
    </w:p>
    <w:p w14:paraId="2288CA05" w14:textId="77777777" w:rsidR="00203F0A" w:rsidRPr="00203F0A" w:rsidRDefault="00203F0A" w:rsidP="003A0D76">
      <w:pPr>
        <w:numPr>
          <w:ilvl w:val="1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>The term replaced the vague "abnormality of mind" used in the old law.</w:t>
      </w:r>
    </w:p>
    <w:p w14:paraId="74BAF236" w14:textId="77777777" w:rsidR="00203F0A" w:rsidRPr="00203F0A" w:rsidRDefault="00203F0A" w:rsidP="003A0D76">
      <w:pPr>
        <w:numPr>
          <w:ilvl w:val="1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>It aligns with the classifications in diagnostic manuals like the DSM (Diagnostic and Statistical Manual of Mental Disorders) and ICD (International Classification of Diseases).</w:t>
      </w:r>
    </w:p>
    <w:p w14:paraId="42EAFE00" w14:textId="77777777" w:rsidR="00203F0A" w:rsidRPr="00203F0A" w:rsidRDefault="00203F0A" w:rsidP="003A0D76">
      <w:pPr>
        <w:numPr>
          <w:ilvl w:val="0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b/>
          <w:bCs/>
          <w:lang w:val="en-HK"/>
        </w:rPr>
        <w:lastRenderedPageBreak/>
        <w:t>Substantial Impairment</w:t>
      </w:r>
      <w:r w:rsidRPr="00203F0A">
        <w:rPr>
          <w:rFonts w:ascii="Times New Roman" w:hAnsi="Times New Roman"/>
          <w:lang w:val="en-HK"/>
        </w:rPr>
        <w:t>:</w:t>
      </w:r>
    </w:p>
    <w:p w14:paraId="4C1F0D8E" w14:textId="77777777" w:rsidR="00203F0A" w:rsidRPr="00203F0A" w:rsidRDefault="00203F0A" w:rsidP="003A0D76">
      <w:pPr>
        <w:numPr>
          <w:ilvl w:val="1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>The new law provides guidance on what constitutes a "substantial" impairment, addressing ambiguities in the old framework.</w:t>
      </w:r>
    </w:p>
    <w:p w14:paraId="5E57EC55" w14:textId="77777777" w:rsidR="00203F0A" w:rsidRPr="00203F0A" w:rsidRDefault="00203F0A" w:rsidP="003A0D76">
      <w:pPr>
        <w:numPr>
          <w:ilvl w:val="1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>Judicial interpretations (</w:t>
      </w:r>
      <w:r w:rsidRPr="00203F0A">
        <w:rPr>
          <w:rFonts w:ascii="Times New Roman" w:hAnsi="Times New Roman"/>
          <w:i/>
          <w:iCs/>
          <w:lang w:val="en-HK"/>
        </w:rPr>
        <w:t>e.g., R v Golds (2014)</w:t>
      </w:r>
      <w:r w:rsidRPr="00203F0A">
        <w:rPr>
          <w:rFonts w:ascii="Times New Roman" w:hAnsi="Times New Roman"/>
          <w:lang w:val="en-HK"/>
        </w:rPr>
        <w:t>) further emphasized that the impairment must exceed trivial or minimal levels.</w:t>
      </w:r>
    </w:p>
    <w:p w14:paraId="6E125A5C" w14:textId="77777777" w:rsidR="00203F0A" w:rsidRPr="00203F0A" w:rsidRDefault="00203F0A" w:rsidP="003A0D76">
      <w:pPr>
        <w:numPr>
          <w:ilvl w:val="0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b/>
          <w:bCs/>
          <w:lang w:val="en-HK"/>
        </w:rPr>
        <w:t>Causation Requirement</w:t>
      </w:r>
      <w:r w:rsidRPr="00203F0A">
        <w:rPr>
          <w:rFonts w:ascii="Times New Roman" w:hAnsi="Times New Roman"/>
          <w:lang w:val="en-HK"/>
        </w:rPr>
        <w:t>:</w:t>
      </w:r>
    </w:p>
    <w:p w14:paraId="51216153" w14:textId="77777777" w:rsidR="00203F0A" w:rsidRPr="00203F0A" w:rsidRDefault="00203F0A" w:rsidP="003A0D76">
      <w:pPr>
        <w:numPr>
          <w:ilvl w:val="1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 xml:space="preserve">The reform explicitly states that the medical condition must </w:t>
      </w:r>
      <w:r w:rsidRPr="00203F0A">
        <w:rPr>
          <w:rFonts w:ascii="Times New Roman" w:hAnsi="Times New Roman"/>
          <w:b/>
          <w:bCs/>
          <w:lang w:val="en-HK"/>
        </w:rPr>
        <w:t>cause</w:t>
      </w:r>
      <w:r w:rsidRPr="00203F0A">
        <w:rPr>
          <w:rFonts w:ascii="Times New Roman" w:hAnsi="Times New Roman"/>
          <w:lang w:val="en-HK"/>
        </w:rPr>
        <w:t xml:space="preserve"> or </w:t>
      </w:r>
      <w:r w:rsidRPr="00203F0A">
        <w:rPr>
          <w:rFonts w:ascii="Times New Roman" w:hAnsi="Times New Roman"/>
          <w:b/>
          <w:bCs/>
          <w:lang w:val="en-HK"/>
        </w:rPr>
        <w:t>significantly contribute</w:t>
      </w:r>
      <w:r w:rsidRPr="00203F0A">
        <w:rPr>
          <w:rFonts w:ascii="Times New Roman" w:hAnsi="Times New Roman"/>
          <w:lang w:val="en-HK"/>
        </w:rPr>
        <w:t xml:space="preserve"> to the killing.</w:t>
      </w:r>
    </w:p>
    <w:p w14:paraId="089F8832" w14:textId="77777777" w:rsidR="00203F0A" w:rsidRPr="00203F0A" w:rsidRDefault="00203F0A" w:rsidP="003A0D76">
      <w:pPr>
        <w:numPr>
          <w:ilvl w:val="1"/>
          <w:numId w:val="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03F0A">
        <w:rPr>
          <w:rFonts w:ascii="Times New Roman" w:hAnsi="Times New Roman"/>
          <w:lang w:val="en-HK"/>
        </w:rPr>
        <w:t>Under the old law, there was no formal requirement to establish a causal link between the abnormality of mind and the act of killing.</w:t>
      </w:r>
    </w:p>
    <w:p w14:paraId="5F80F3E4" w14:textId="77777777" w:rsidR="003A0D76" w:rsidRPr="003A0D76" w:rsidRDefault="00130BAE" w:rsidP="003A0D76">
      <w:pPr>
        <w:spacing w:after="240" w:line="360" w:lineRule="auto"/>
        <w:rPr>
          <w:rFonts w:ascii="Times New Roman" w:hAnsi="Times New Roman"/>
          <w:lang w:val="en-HK"/>
        </w:rPr>
      </w:pPr>
      <w:r w:rsidRPr="00130BAE">
        <w:rPr>
          <w:rFonts w:ascii="Times New Roman" w:hAnsi="Times New Roman"/>
          <w:noProof/>
          <w:lang w:val="en-HK"/>
          <w14:ligatures w14:val="standardContextual"/>
        </w:rPr>
        <w:pict w14:anchorId="1A26E93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11961D8" w14:textId="77777777" w:rsidR="003A0D76" w:rsidRPr="003A0D76" w:rsidRDefault="003A0D76" w:rsidP="003A0D76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A0D76">
        <w:rPr>
          <w:rFonts w:ascii="Times New Roman" w:hAnsi="Times New Roman"/>
          <w:b/>
          <w:bCs/>
          <w:lang w:val="en-HK"/>
        </w:rPr>
        <w:t>2. Recent Court of Appeal Decisions on Diminished Responsibility</w:t>
      </w:r>
    </w:p>
    <w:p w14:paraId="75CB8A82" w14:textId="77777777" w:rsidR="003A0D76" w:rsidRPr="003A0D76" w:rsidRDefault="003A0D76" w:rsidP="003A0D76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The document reviews key decisions post-reform to illustrate judicial interpretations:</w:t>
      </w:r>
    </w:p>
    <w:p w14:paraId="1C8DA4C6" w14:textId="77777777" w:rsidR="003A0D76" w:rsidRPr="003A0D76" w:rsidRDefault="003A0D76" w:rsidP="003A0D76">
      <w:pPr>
        <w:numPr>
          <w:ilvl w:val="1"/>
          <w:numId w:val="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b/>
          <w:bCs/>
          <w:lang w:val="en-HK"/>
        </w:rPr>
        <w:t>R v Dowds (2012)</w:t>
      </w:r>
      <w:r w:rsidRPr="003A0D76">
        <w:rPr>
          <w:rFonts w:ascii="Times New Roman" w:hAnsi="Times New Roman"/>
          <w:lang w:val="en-HK"/>
        </w:rPr>
        <w:t>:</w:t>
      </w:r>
    </w:p>
    <w:p w14:paraId="00F70A0A" w14:textId="3FB5E7DA" w:rsidR="003A0D76" w:rsidRPr="003A0D76" w:rsidRDefault="003A0D76" w:rsidP="003A0D76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Addressed whether acute voluntary intoxication qualifies as a "recogni</w:t>
      </w:r>
      <w:r w:rsidR="00884C32">
        <w:rPr>
          <w:rFonts w:ascii="Times New Roman" w:hAnsi="Times New Roman"/>
          <w:lang w:val="en-HK"/>
        </w:rPr>
        <w:t>s</w:t>
      </w:r>
      <w:r w:rsidRPr="003A0D76">
        <w:rPr>
          <w:rFonts w:ascii="Times New Roman" w:hAnsi="Times New Roman"/>
          <w:lang w:val="en-HK"/>
        </w:rPr>
        <w:t xml:space="preserve">ed medical condition" under section 2(1)(a). The court held that </w:t>
      </w:r>
      <w:r w:rsidRPr="003A0D76">
        <w:rPr>
          <w:rFonts w:ascii="Times New Roman" w:hAnsi="Times New Roman"/>
          <w:color w:val="FF0000"/>
          <w:lang w:val="en-HK"/>
        </w:rPr>
        <w:t xml:space="preserve">voluntary intoxication </w:t>
      </w:r>
      <w:r w:rsidRPr="003A0D76">
        <w:rPr>
          <w:rFonts w:ascii="Times New Roman" w:hAnsi="Times New Roman"/>
          <w:lang w:val="en-HK"/>
        </w:rPr>
        <w:t>cannot substantiate diminished responsibility.</w:t>
      </w:r>
    </w:p>
    <w:p w14:paraId="2048C766" w14:textId="77777777" w:rsidR="003A0D76" w:rsidRPr="003A0D76" w:rsidRDefault="003A0D76" w:rsidP="003A0D76">
      <w:pPr>
        <w:numPr>
          <w:ilvl w:val="1"/>
          <w:numId w:val="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b/>
          <w:bCs/>
          <w:lang w:val="en-HK"/>
        </w:rPr>
        <w:t>R v Brown (2011)</w:t>
      </w:r>
      <w:r w:rsidRPr="003A0D76">
        <w:rPr>
          <w:rFonts w:ascii="Times New Roman" w:hAnsi="Times New Roman"/>
          <w:lang w:val="en-HK"/>
        </w:rPr>
        <w:t>:</w:t>
      </w:r>
    </w:p>
    <w:p w14:paraId="23165C83" w14:textId="77777777" w:rsidR="003A0D76" w:rsidRPr="003A0D76" w:rsidRDefault="003A0D76" w:rsidP="003A0D76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Examined the meaning of "substantial impairment." The Court reaffirmed that the impairment must exceed triviality but does not need to eliminate responsibility entirely.</w:t>
      </w:r>
    </w:p>
    <w:p w14:paraId="2BE7E55F" w14:textId="77777777" w:rsidR="003A0D76" w:rsidRPr="003A0D76" w:rsidRDefault="003A0D76" w:rsidP="003A0D76">
      <w:pPr>
        <w:numPr>
          <w:ilvl w:val="1"/>
          <w:numId w:val="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b/>
          <w:bCs/>
          <w:lang w:val="en-HK"/>
        </w:rPr>
        <w:t>R v Golds (2014)</w:t>
      </w:r>
      <w:r w:rsidRPr="003A0D76">
        <w:rPr>
          <w:rFonts w:ascii="Times New Roman" w:hAnsi="Times New Roman"/>
          <w:lang w:val="en-HK"/>
        </w:rPr>
        <w:t>:</w:t>
      </w:r>
    </w:p>
    <w:p w14:paraId="7A572C30" w14:textId="77777777" w:rsidR="003A0D76" w:rsidRPr="003A0D76" w:rsidRDefault="003A0D76" w:rsidP="003A0D76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Suggested that the bar for "substantial impairment" might be raised, requiring significant, appreciable impairment beyond minimal levels.</w:t>
      </w:r>
    </w:p>
    <w:p w14:paraId="7D47183F" w14:textId="77777777" w:rsidR="003A0D76" w:rsidRPr="003A0D76" w:rsidRDefault="003A0D76" w:rsidP="003A0D76">
      <w:pPr>
        <w:numPr>
          <w:ilvl w:val="1"/>
          <w:numId w:val="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b/>
          <w:bCs/>
          <w:lang w:val="en-HK"/>
        </w:rPr>
        <w:t>R v Brennan (2014)</w:t>
      </w:r>
      <w:r w:rsidRPr="003A0D76">
        <w:rPr>
          <w:rFonts w:ascii="Times New Roman" w:hAnsi="Times New Roman"/>
          <w:lang w:val="en-HK"/>
        </w:rPr>
        <w:t>:</w:t>
      </w:r>
    </w:p>
    <w:p w14:paraId="2B7A1336" w14:textId="77777777" w:rsidR="003A0D76" w:rsidRPr="003A0D76" w:rsidRDefault="003A0D76" w:rsidP="003A0D76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lastRenderedPageBreak/>
        <w:t>Emphasized that juries should not reject unchallenged expert evidence unless there is substantial contrary evidence.</w:t>
      </w:r>
    </w:p>
    <w:p w14:paraId="053FCEDF" w14:textId="77777777" w:rsidR="003A0D76" w:rsidRPr="003A0D76" w:rsidRDefault="00130BAE" w:rsidP="003A0D76">
      <w:pPr>
        <w:spacing w:after="240" w:line="360" w:lineRule="auto"/>
        <w:rPr>
          <w:rFonts w:ascii="Times New Roman" w:hAnsi="Times New Roman"/>
          <w:lang w:val="en-HK"/>
        </w:rPr>
      </w:pPr>
      <w:r w:rsidRPr="00130BAE">
        <w:rPr>
          <w:rFonts w:ascii="Times New Roman" w:hAnsi="Times New Roman"/>
          <w:noProof/>
          <w:lang w:val="en-HK"/>
          <w14:ligatures w14:val="standardContextual"/>
        </w:rPr>
        <w:pict w14:anchorId="61CD8BE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BEFE2BA" w14:textId="77777777" w:rsidR="003A0D76" w:rsidRPr="003A0D76" w:rsidRDefault="003A0D76" w:rsidP="003A0D76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A0D76">
        <w:rPr>
          <w:rFonts w:ascii="Times New Roman" w:hAnsi="Times New Roman"/>
          <w:b/>
          <w:bCs/>
          <w:lang w:val="en-HK"/>
        </w:rPr>
        <w:t>3. The CPS Research Study</w:t>
      </w:r>
    </w:p>
    <w:p w14:paraId="3CD9EFBC" w14:textId="77777777" w:rsidR="003A0D76" w:rsidRPr="003A0D76" w:rsidRDefault="003A0D76" w:rsidP="003A0D76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 xml:space="preserve">Conducted an empirical analysis of </w:t>
      </w:r>
      <w:r w:rsidRPr="003A0D76">
        <w:rPr>
          <w:rFonts w:ascii="Times New Roman" w:hAnsi="Times New Roman"/>
          <w:b/>
          <w:bCs/>
          <w:lang w:val="en-HK"/>
        </w:rPr>
        <w:t>90 cases</w:t>
      </w:r>
      <w:r w:rsidRPr="003A0D76">
        <w:rPr>
          <w:rFonts w:ascii="Times New Roman" w:hAnsi="Times New Roman"/>
          <w:lang w:val="en-HK"/>
        </w:rPr>
        <w:t xml:space="preserve"> where the new diminished responsibility plea was raised.</w:t>
      </w:r>
    </w:p>
    <w:p w14:paraId="0FCEC402" w14:textId="77777777" w:rsidR="003A0D76" w:rsidRPr="003A0D76" w:rsidRDefault="003A0D76" w:rsidP="003A0D76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Compared findings with a prior Law Commission study of 157 cases under the old plea.</w:t>
      </w:r>
    </w:p>
    <w:p w14:paraId="0A4249DC" w14:textId="77777777" w:rsidR="003A0D76" w:rsidRPr="003A0D76" w:rsidRDefault="003A0D76" w:rsidP="003A0D76">
      <w:pPr>
        <w:numPr>
          <w:ilvl w:val="0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Key demographic findings:</w:t>
      </w:r>
    </w:p>
    <w:p w14:paraId="2C183B30" w14:textId="77777777" w:rsidR="003A0D76" w:rsidRPr="003A0D76" w:rsidRDefault="003A0D76" w:rsidP="003A0D76">
      <w:pPr>
        <w:numPr>
          <w:ilvl w:val="1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Most defendants were male (85%).</w:t>
      </w:r>
    </w:p>
    <w:p w14:paraId="38A3781B" w14:textId="77777777" w:rsidR="003A0D76" w:rsidRPr="003A0D76" w:rsidRDefault="003A0D76" w:rsidP="003A0D76">
      <w:pPr>
        <w:numPr>
          <w:ilvl w:val="1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The majority of victims were known to the accused (89.8%), with parent/step-parent relationships being the most common.</w:t>
      </w:r>
    </w:p>
    <w:p w14:paraId="72436B36" w14:textId="77777777" w:rsidR="003A0D76" w:rsidRPr="003A0D76" w:rsidRDefault="003A0D76" w:rsidP="003A0D76">
      <w:pPr>
        <w:numPr>
          <w:ilvl w:val="1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Female victims were more likely to be killed by partners or ex-partners than male victims.</w:t>
      </w:r>
    </w:p>
    <w:p w14:paraId="1F74FACB" w14:textId="77777777" w:rsidR="003A0D76" w:rsidRPr="003A0D76" w:rsidRDefault="00130BAE" w:rsidP="003A0D76">
      <w:pPr>
        <w:spacing w:after="240" w:line="360" w:lineRule="auto"/>
        <w:rPr>
          <w:rFonts w:ascii="Times New Roman" w:hAnsi="Times New Roman"/>
          <w:lang w:val="en-HK"/>
        </w:rPr>
      </w:pPr>
      <w:r w:rsidRPr="00130BAE">
        <w:rPr>
          <w:rFonts w:ascii="Times New Roman" w:hAnsi="Times New Roman"/>
          <w:noProof/>
          <w:lang w:val="en-HK"/>
          <w14:ligatures w14:val="standardContextual"/>
        </w:rPr>
        <w:pict w14:anchorId="257C8A6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5C6011B" w14:textId="77777777" w:rsidR="003A0D76" w:rsidRPr="003A0D76" w:rsidRDefault="003A0D76" w:rsidP="003A0D76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A0D76">
        <w:rPr>
          <w:rFonts w:ascii="Times New Roman" w:hAnsi="Times New Roman"/>
          <w:b/>
          <w:bCs/>
          <w:lang w:val="en-HK"/>
        </w:rPr>
        <w:t>4. Offense Characteristics</w:t>
      </w:r>
    </w:p>
    <w:p w14:paraId="78254DF5" w14:textId="77777777" w:rsidR="003A0D76" w:rsidRPr="003A0D76" w:rsidRDefault="003A0D76" w:rsidP="003A0D76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Circumstances of killings:</w:t>
      </w:r>
    </w:p>
    <w:p w14:paraId="4A2CB873" w14:textId="71FC2513" w:rsidR="003A0D76" w:rsidRPr="003A0D76" w:rsidRDefault="003A0D76" w:rsidP="003A0D76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 xml:space="preserve">1. </w:t>
      </w:r>
      <w:r w:rsidRPr="003A0D76">
        <w:rPr>
          <w:rFonts w:ascii="Times New Roman" w:hAnsi="Times New Roman"/>
          <w:lang w:val="en-HK"/>
        </w:rPr>
        <w:t>Most were committed in domestic settings (40% in the family home; 25.6% in the victim’s home).</w:t>
      </w:r>
    </w:p>
    <w:p w14:paraId="30ACE4C7" w14:textId="57BE2A0F" w:rsidR="003A0D76" w:rsidRPr="003A0D76" w:rsidRDefault="003A0D76" w:rsidP="003A0D76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 xml:space="preserve">2. </w:t>
      </w:r>
      <w:r w:rsidRPr="003A0D76">
        <w:rPr>
          <w:rFonts w:ascii="Times New Roman" w:hAnsi="Times New Roman"/>
          <w:lang w:val="en-HK"/>
        </w:rPr>
        <w:t>Motiveless killings by mentally disturbed individuals constituted the largest category (55.6% of cases).</w:t>
      </w:r>
    </w:p>
    <w:p w14:paraId="73D16754" w14:textId="77777777" w:rsidR="003A0D76" w:rsidRPr="003A0D76" w:rsidRDefault="00130BAE" w:rsidP="003A0D76">
      <w:pPr>
        <w:spacing w:after="240" w:line="360" w:lineRule="auto"/>
        <w:rPr>
          <w:rFonts w:ascii="Times New Roman" w:hAnsi="Times New Roman"/>
          <w:lang w:val="en-HK"/>
        </w:rPr>
      </w:pPr>
      <w:r w:rsidRPr="00130BAE">
        <w:rPr>
          <w:rFonts w:ascii="Times New Roman" w:hAnsi="Times New Roman"/>
          <w:noProof/>
          <w:lang w:val="en-HK"/>
          <w14:ligatures w14:val="standardContextual"/>
        </w:rPr>
        <w:pict w14:anchorId="35D6BD2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375F4D5" w14:textId="77777777" w:rsidR="003A0D76" w:rsidRPr="003A0D76" w:rsidRDefault="003A0D76" w:rsidP="003A0D76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A0D76">
        <w:rPr>
          <w:rFonts w:ascii="Times New Roman" w:hAnsi="Times New Roman"/>
          <w:b/>
          <w:bCs/>
          <w:lang w:val="en-HK"/>
        </w:rPr>
        <w:t>5. Trial and Verdict Patterns</w:t>
      </w:r>
    </w:p>
    <w:p w14:paraId="1F3E57D6" w14:textId="792B8954" w:rsidR="003A0D76" w:rsidRPr="003A0D76" w:rsidRDefault="003A0D76" w:rsidP="003A0D76">
      <w:pPr>
        <w:pStyle w:val="ListParagraph"/>
        <w:numPr>
          <w:ilvl w:val="0"/>
          <w:numId w:val="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There was a noticeable increase in contested pleas under the new section:</w:t>
      </w:r>
    </w:p>
    <w:p w14:paraId="35BC7905" w14:textId="77777777" w:rsidR="003A0D76" w:rsidRPr="003A0D76" w:rsidRDefault="003A0D76" w:rsidP="003A0D76">
      <w:pPr>
        <w:numPr>
          <w:ilvl w:val="1"/>
          <w:numId w:val="5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b/>
          <w:bCs/>
          <w:lang w:val="en-HK"/>
        </w:rPr>
        <w:t>43.3%</w:t>
      </w:r>
      <w:r w:rsidRPr="003A0D76">
        <w:rPr>
          <w:rFonts w:ascii="Times New Roman" w:hAnsi="Times New Roman"/>
          <w:lang w:val="en-HK"/>
        </w:rPr>
        <w:t xml:space="preserve"> of CPS cases were contested, compared to </w:t>
      </w:r>
      <w:r w:rsidRPr="003A0D76">
        <w:rPr>
          <w:rFonts w:ascii="Times New Roman" w:hAnsi="Times New Roman"/>
          <w:b/>
          <w:bCs/>
          <w:lang w:val="en-HK"/>
        </w:rPr>
        <w:t>22.9%</w:t>
      </w:r>
      <w:r w:rsidRPr="003A0D76">
        <w:rPr>
          <w:rFonts w:ascii="Times New Roman" w:hAnsi="Times New Roman"/>
          <w:lang w:val="en-HK"/>
        </w:rPr>
        <w:t xml:space="preserve"> under the old law.</w:t>
      </w:r>
    </w:p>
    <w:p w14:paraId="1A7B8B36" w14:textId="77777777" w:rsidR="003A0D76" w:rsidRPr="003A0D76" w:rsidRDefault="003A0D76" w:rsidP="003A0D76">
      <w:pPr>
        <w:numPr>
          <w:ilvl w:val="1"/>
          <w:numId w:val="5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lastRenderedPageBreak/>
        <w:t>Higher murder conviction rates (34.4%) were observed under the new plea, contrasting with 14% under the old law.</w:t>
      </w:r>
    </w:p>
    <w:p w14:paraId="10985AA8" w14:textId="297F87AD" w:rsidR="003A0D76" w:rsidRPr="003A0D76" w:rsidRDefault="003A0D76" w:rsidP="003A0D76">
      <w:pPr>
        <w:pStyle w:val="ListParagraph"/>
        <w:numPr>
          <w:ilvl w:val="1"/>
          <w:numId w:val="3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Diminished responsibility findings decreased from 80.3% in the Law Commission study to 65.6% in the CPS study.</w:t>
      </w:r>
    </w:p>
    <w:p w14:paraId="3FDA8FCF" w14:textId="77777777" w:rsidR="003A0D76" w:rsidRPr="003A0D76" w:rsidRDefault="00130BAE" w:rsidP="003A0D76">
      <w:pPr>
        <w:spacing w:after="240" w:line="360" w:lineRule="auto"/>
        <w:rPr>
          <w:rFonts w:ascii="Times New Roman" w:hAnsi="Times New Roman"/>
          <w:lang w:val="en-HK"/>
        </w:rPr>
      </w:pPr>
      <w:r w:rsidRPr="00130BAE">
        <w:rPr>
          <w:rFonts w:ascii="Times New Roman" w:hAnsi="Times New Roman"/>
          <w:noProof/>
          <w:lang w:val="en-HK"/>
          <w14:ligatures w14:val="standardContextual"/>
        </w:rPr>
        <w:pict w14:anchorId="0A23674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ECBDB8E" w14:textId="77777777" w:rsidR="003A0D76" w:rsidRPr="003A0D76" w:rsidRDefault="003A0D76" w:rsidP="003A0D76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A0D76">
        <w:rPr>
          <w:rFonts w:ascii="Times New Roman" w:hAnsi="Times New Roman"/>
          <w:b/>
          <w:bCs/>
          <w:lang w:val="en-HK"/>
        </w:rPr>
        <w:t>6. Sentencing Trends</w:t>
      </w:r>
    </w:p>
    <w:p w14:paraId="2DB2AAE2" w14:textId="77777777" w:rsidR="003A0D76" w:rsidRPr="003A0D76" w:rsidRDefault="003A0D76" w:rsidP="003A0D76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Sentences for diminished responsibility manslaughter:</w:t>
      </w:r>
    </w:p>
    <w:p w14:paraId="3A5260D7" w14:textId="77777777" w:rsidR="003A0D76" w:rsidRPr="003A0D76" w:rsidRDefault="003A0D76" w:rsidP="003A0D76">
      <w:pPr>
        <w:numPr>
          <w:ilvl w:val="1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A higher proportion involved hospital orders or restrictions (e.g., 45.8% of CPS cases).</w:t>
      </w:r>
    </w:p>
    <w:p w14:paraId="0559EF8D" w14:textId="77777777" w:rsidR="003A0D76" w:rsidRPr="003A0D76" w:rsidRDefault="003A0D76" w:rsidP="003A0D76">
      <w:pPr>
        <w:numPr>
          <w:ilvl w:val="1"/>
          <w:numId w:val="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The remaining cases were sentenced to prison terms, with no probation or supervision orders issued under the new plea.</w:t>
      </w:r>
    </w:p>
    <w:p w14:paraId="6647A6B9" w14:textId="77777777" w:rsidR="003A0D76" w:rsidRPr="003A0D76" w:rsidRDefault="00130BAE" w:rsidP="003A0D76">
      <w:pPr>
        <w:spacing w:after="240" w:line="360" w:lineRule="auto"/>
        <w:rPr>
          <w:rFonts w:ascii="Times New Roman" w:hAnsi="Times New Roman"/>
          <w:lang w:val="en-HK"/>
        </w:rPr>
      </w:pPr>
      <w:r w:rsidRPr="00130BAE">
        <w:rPr>
          <w:rFonts w:ascii="Times New Roman" w:hAnsi="Times New Roman"/>
          <w:noProof/>
          <w:lang w:val="en-HK"/>
          <w14:ligatures w14:val="standardContextual"/>
        </w:rPr>
        <w:pict w14:anchorId="0B3E983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5D3F161" w14:textId="77777777" w:rsidR="003A0D76" w:rsidRPr="003A0D76" w:rsidRDefault="003A0D76" w:rsidP="003A0D76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A0D76">
        <w:rPr>
          <w:rFonts w:ascii="Times New Roman" w:hAnsi="Times New Roman"/>
          <w:b/>
          <w:bCs/>
          <w:lang w:val="en-HK"/>
        </w:rPr>
        <w:t>7. Psychiatric Reports</w:t>
      </w:r>
    </w:p>
    <w:p w14:paraId="0EDFFED7" w14:textId="35B65F69" w:rsidR="003A0D76" w:rsidRPr="003A0D76" w:rsidRDefault="003A0D76" w:rsidP="003A0D76">
      <w:pPr>
        <w:numPr>
          <w:ilvl w:val="0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The CPS study analy</w:t>
      </w:r>
      <w:r>
        <w:rPr>
          <w:rFonts w:ascii="Times New Roman" w:hAnsi="Times New Roman"/>
          <w:lang w:val="en-HK"/>
        </w:rPr>
        <w:t>s</w:t>
      </w:r>
      <w:r w:rsidRPr="003A0D76">
        <w:rPr>
          <w:rFonts w:ascii="Times New Roman" w:hAnsi="Times New Roman"/>
          <w:lang w:val="en-HK"/>
        </w:rPr>
        <w:t xml:space="preserve">ed </w:t>
      </w:r>
      <w:r w:rsidRPr="003A0D76">
        <w:rPr>
          <w:rFonts w:ascii="Times New Roman" w:hAnsi="Times New Roman"/>
          <w:b/>
          <w:bCs/>
          <w:lang w:val="en-HK"/>
        </w:rPr>
        <w:t>110 psychiatric reports</w:t>
      </w:r>
      <w:r w:rsidRPr="003A0D76">
        <w:rPr>
          <w:rFonts w:ascii="Times New Roman" w:hAnsi="Times New Roman"/>
          <w:lang w:val="en-HK"/>
        </w:rPr>
        <w:t>:</w:t>
      </w:r>
    </w:p>
    <w:p w14:paraId="42404776" w14:textId="77777777" w:rsidR="003A0D76" w:rsidRPr="003A0D76" w:rsidRDefault="003A0D76" w:rsidP="003A0D76">
      <w:pPr>
        <w:numPr>
          <w:ilvl w:val="1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78.2% supported diminished responsibility.</w:t>
      </w:r>
    </w:p>
    <w:p w14:paraId="37024D0A" w14:textId="77777777" w:rsidR="003A0D76" w:rsidRPr="003A0D76" w:rsidRDefault="003A0D76" w:rsidP="003A0D76">
      <w:pPr>
        <w:numPr>
          <w:ilvl w:val="1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Reports often referred to impairments in forming rational judgment (78.2%) and exercising self-control (70%), with fewer mentioning the inability to understand conduct (41.8%).</w:t>
      </w:r>
    </w:p>
    <w:p w14:paraId="6E5243EF" w14:textId="77777777" w:rsidR="003A0D76" w:rsidRPr="003A0D76" w:rsidRDefault="003A0D76" w:rsidP="003A0D76">
      <w:pPr>
        <w:numPr>
          <w:ilvl w:val="0"/>
          <w:numId w:val="7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Many reports (42.7%) failed to address whether the mental abnormality caused or contributed significantly to the killing.</w:t>
      </w:r>
    </w:p>
    <w:p w14:paraId="650516B7" w14:textId="77777777" w:rsidR="003A0D76" w:rsidRPr="003A0D76" w:rsidRDefault="00130BAE" w:rsidP="003A0D76">
      <w:pPr>
        <w:spacing w:after="240" w:line="360" w:lineRule="auto"/>
        <w:rPr>
          <w:rFonts w:ascii="Times New Roman" w:hAnsi="Times New Roman"/>
          <w:lang w:val="en-HK"/>
        </w:rPr>
      </w:pPr>
      <w:r w:rsidRPr="00130BAE">
        <w:rPr>
          <w:rFonts w:ascii="Times New Roman" w:hAnsi="Times New Roman"/>
          <w:noProof/>
          <w:lang w:val="en-HK"/>
          <w14:ligatures w14:val="standardContextual"/>
        </w:rPr>
        <w:pict w14:anchorId="7B61518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F456418" w14:textId="77777777" w:rsidR="003A0D76" w:rsidRPr="003A0D76" w:rsidRDefault="003A0D76" w:rsidP="003A0D76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3A0D76">
        <w:rPr>
          <w:rFonts w:ascii="Times New Roman" w:hAnsi="Times New Roman"/>
          <w:b/>
          <w:bCs/>
          <w:lang w:val="en-HK"/>
        </w:rPr>
        <w:t>8. Conclusions and Implications</w:t>
      </w:r>
    </w:p>
    <w:p w14:paraId="741D98A0" w14:textId="77777777" w:rsidR="003A0D76" w:rsidRPr="003A0D76" w:rsidRDefault="003A0D76" w:rsidP="003A0D76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The reform has led to a higher proportion of contested pleas and murder convictions.</w:t>
      </w:r>
    </w:p>
    <w:p w14:paraId="2E751CE6" w14:textId="0FB82DCA" w:rsidR="003A0D76" w:rsidRPr="003A0D76" w:rsidRDefault="003A0D76" w:rsidP="003A0D76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t>The official view that the reform only clarified and moderni</w:t>
      </w:r>
      <w:r w:rsidR="00884C32">
        <w:rPr>
          <w:rFonts w:ascii="Times New Roman" w:hAnsi="Times New Roman"/>
          <w:lang w:val="en-HK"/>
        </w:rPr>
        <w:t>s</w:t>
      </w:r>
      <w:r w:rsidRPr="003A0D76">
        <w:rPr>
          <w:rFonts w:ascii="Times New Roman" w:hAnsi="Times New Roman"/>
          <w:lang w:val="en-HK"/>
        </w:rPr>
        <w:t>ed the plea is challenged, as unintended consequences—such as increased murder convictions—have emerged.</w:t>
      </w:r>
    </w:p>
    <w:p w14:paraId="5DE27740" w14:textId="77777777" w:rsidR="003A0D76" w:rsidRPr="003A0D76" w:rsidRDefault="003A0D76" w:rsidP="003A0D76">
      <w:pPr>
        <w:numPr>
          <w:ilvl w:val="0"/>
          <w:numId w:val="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3A0D76">
        <w:rPr>
          <w:rFonts w:ascii="Times New Roman" w:hAnsi="Times New Roman"/>
          <w:lang w:val="en-HK"/>
        </w:rPr>
        <w:lastRenderedPageBreak/>
        <w:t>Further research is needed to evaluate the long-term effects of the new plea on legal practice and sentencing.</w:t>
      </w:r>
    </w:p>
    <w:p w14:paraId="77872075" w14:textId="77777777" w:rsidR="00CD39F1" w:rsidRPr="003A0D76" w:rsidRDefault="00CD39F1" w:rsidP="003A0D76">
      <w:pPr>
        <w:spacing w:after="240" w:line="360" w:lineRule="auto"/>
        <w:rPr>
          <w:rFonts w:ascii="Times New Roman" w:hAnsi="Times New Roman"/>
        </w:rPr>
      </w:pPr>
    </w:p>
    <w:sectPr w:rsidR="00CD39F1" w:rsidRPr="003A0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B1966"/>
    <w:multiLevelType w:val="multilevel"/>
    <w:tmpl w:val="7E1EE14C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75FD1"/>
    <w:multiLevelType w:val="multilevel"/>
    <w:tmpl w:val="9BF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84E4A"/>
    <w:multiLevelType w:val="multilevel"/>
    <w:tmpl w:val="D3F281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D4953"/>
    <w:multiLevelType w:val="multilevel"/>
    <w:tmpl w:val="6A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40D39"/>
    <w:multiLevelType w:val="multilevel"/>
    <w:tmpl w:val="C79E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61EF7"/>
    <w:multiLevelType w:val="multilevel"/>
    <w:tmpl w:val="373445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ABF086F"/>
    <w:multiLevelType w:val="multilevel"/>
    <w:tmpl w:val="98D8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165DD"/>
    <w:multiLevelType w:val="multilevel"/>
    <w:tmpl w:val="7C82E2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A20B1"/>
    <w:multiLevelType w:val="hybridMultilevel"/>
    <w:tmpl w:val="DE6C5312"/>
    <w:lvl w:ilvl="0" w:tplc="344E018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3846240">
    <w:abstractNumId w:val="5"/>
  </w:num>
  <w:num w:numId="2" w16cid:durableId="364332965">
    <w:abstractNumId w:val="3"/>
  </w:num>
  <w:num w:numId="3" w16cid:durableId="26300292">
    <w:abstractNumId w:val="2"/>
  </w:num>
  <w:num w:numId="4" w16cid:durableId="1678461328">
    <w:abstractNumId w:val="4"/>
  </w:num>
  <w:num w:numId="5" w16cid:durableId="1456866828">
    <w:abstractNumId w:val="6"/>
  </w:num>
  <w:num w:numId="6" w16cid:durableId="1008024522">
    <w:abstractNumId w:val="1"/>
  </w:num>
  <w:num w:numId="7" w16cid:durableId="2019497297">
    <w:abstractNumId w:val="7"/>
  </w:num>
  <w:num w:numId="8" w16cid:durableId="709455240">
    <w:abstractNumId w:val="0"/>
  </w:num>
  <w:num w:numId="9" w16cid:durableId="21268458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3A"/>
    <w:rsid w:val="000147A9"/>
    <w:rsid w:val="00042755"/>
    <w:rsid w:val="0006107D"/>
    <w:rsid w:val="000623A3"/>
    <w:rsid w:val="000719DA"/>
    <w:rsid w:val="00094D65"/>
    <w:rsid w:val="000A2074"/>
    <w:rsid w:val="000A3F4D"/>
    <w:rsid w:val="000C4ABC"/>
    <w:rsid w:val="000C58D7"/>
    <w:rsid w:val="000E15ED"/>
    <w:rsid w:val="00101CCF"/>
    <w:rsid w:val="00130BAE"/>
    <w:rsid w:val="001372F7"/>
    <w:rsid w:val="0019260C"/>
    <w:rsid w:val="001B0E31"/>
    <w:rsid w:val="001D360C"/>
    <w:rsid w:val="001E2584"/>
    <w:rsid w:val="00203F0A"/>
    <w:rsid w:val="00223837"/>
    <w:rsid w:val="00243CED"/>
    <w:rsid w:val="00257540"/>
    <w:rsid w:val="0026510F"/>
    <w:rsid w:val="00291F37"/>
    <w:rsid w:val="00297C6E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0D76"/>
    <w:rsid w:val="003A1271"/>
    <w:rsid w:val="003A5DF7"/>
    <w:rsid w:val="003B3510"/>
    <w:rsid w:val="003C116C"/>
    <w:rsid w:val="003E1CAA"/>
    <w:rsid w:val="0040210F"/>
    <w:rsid w:val="004222FD"/>
    <w:rsid w:val="004319FA"/>
    <w:rsid w:val="00474DD1"/>
    <w:rsid w:val="0048097D"/>
    <w:rsid w:val="0048175B"/>
    <w:rsid w:val="004845CE"/>
    <w:rsid w:val="004A553E"/>
    <w:rsid w:val="004B1048"/>
    <w:rsid w:val="004D01FE"/>
    <w:rsid w:val="004D5B1A"/>
    <w:rsid w:val="004E458E"/>
    <w:rsid w:val="004F0E12"/>
    <w:rsid w:val="004F5A36"/>
    <w:rsid w:val="00542B57"/>
    <w:rsid w:val="00557B52"/>
    <w:rsid w:val="005770A9"/>
    <w:rsid w:val="0058416B"/>
    <w:rsid w:val="00595357"/>
    <w:rsid w:val="005B34ED"/>
    <w:rsid w:val="005B61CD"/>
    <w:rsid w:val="005C50B3"/>
    <w:rsid w:val="005D57DA"/>
    <w:rsid w:val="005E7702"/>
    <w:rsid w:val="005F33FC"/>
    <w:rsid w:val="00605F8E"/>
    <w:rsid w:val="00650543"/>
    <w:rsid w:val="00654D8B"/>
    <w:rsid w:val="00661136"/>
    <w:rsid w:val="0068027B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776B"/>
    <w:rsid w:val="00796A93"/>
    <w:rsid w:val="007B48C2"/>
    <w:rsid w:val="007E1559"/>
    <w:rsid w:val="007F776E"/>
    <w:rsid w:val="00816563"/>
    <w:rsid w:val="00830C88"/>
    <w:rsid w:val="00861B11"/>
    <w:rsid w:val="008829C2"/>
    <w:rsid w:val="00884C32"/>
    <w:rsid w:val="008A54BE"/>
    <w:rsid w:val="008C7B0A"/>
    <w:rsid w:val="008D0642"/>
    <w:rsid w:val="008E745B"/>
    <w:rsid w:val="008F4EA7"/>
    <w:rsid w:val="008F5A10"/>
    <w:rsid w:val="00905ED0"/>
    <w:rsid w:val="0093405B"/>
    <w:rsid w:val="0094782D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5203A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7714"/>
    <w:rsid w:val="00BD7C9B"/>
    <w:rsid w:val="00C072F8"/>
    <w:rsid w:val="00C163D7"/>
    <w:rsid w:val="00C17D79"/>
    <w:rsid w:val="00C24A8A"/>
    <w:rsid w:val="00C44474"/>
    <w:rsid w:val="00C54722"/>
    <w:rsid w:val="00C65F70"/>
    <w:rsid w:val="00C96A36"/>
    <w:rsid w:val="00CA350B"/>
    <w:rsid w:val="00CA3F60"/>
    <w:rsid w:val="00CC2EFF"/>
    <w:rsid w:val="00CC4FEF"/>
    <w:rsid w:val="00CD39F1"/>
    <w:rsid w:val="00CE1439"/>
    <w:rsid w:val="00CF74EF"/>
    <w:rsid w:val="00D02AC8"/>
    <w:rsid w:val="00D0623C"/>
    <w:rsid w:val="00D07271"/>
    <w:rsid w:val="00D16917"/>
    <w:rsid w:val="00D65735"/>
    <w:rsid w:val="00DA31CB"/>
    <w:rsid w:val="00DA4488"/>
    <w:rsid w:val="00DC0040"/>
    <w:rsid w:val="00DC0B7B"/>
    <w:rsid w:val="00DC495B"/>
    <w:rsid w:val="00DC7181"/>
    <w:rsid w:val="00DD6F5C"/>
    <w:rsid w:val="00DE6C87"/>
    <w:rsid w:val="00E14A1A"/>
    <w:rsid w:val="00E14E1F"/>
    <w:rsid w:val="00E2730E"/>
    <w:rsid w:val="00E438AC"/>
    <w:rsid w:val="00E5689E"/>
    <w:rsid w:val="00E60DF5"/>
    <w:rsid w:val="00E80D33"/>
    <w:rsid w:val="00E95D8D"/>
    <w:rsid w:val="00EA6ED5"/>
    <w:rsid w:val="00EB7051"/>
    <w:rsid w:val="00EC68EB"/>
    <w:rsid w:val="00EC7C43"/>
    <w:rsid w:val="00EF3EF4"/>
    <w:rsid w:val="00F012E4"/>
    <w:rsid w:val="00F248D2"/>
    <w:rsid w:val="00F27F00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78DB"/>
  <w15:chartTrackingRefBased/>
  <w15:docId w15:val="{973CD74F-69B6-A043-A47B-1D5A9D3B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20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3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3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5203A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3A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3A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3A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3A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3A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3A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520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03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03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520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3A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A52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3A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5203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3F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3F0A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203F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22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2024-12-12T13:49:00Z</dcterms:created>
  <dcterms:modified xsi:type="dcterms:W3CDTF">2024-12-12T14:16:00Z</dcterms:modified>
</cp:coreProperties>
</file>