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05C83" w14:textId="77777777" w:rsidR="005F784D" w:rsidRPr="005F784D" w:rsidRDefault="005F784D" w:rsidP="005F784D">
      <w:pPr>
        <w:spacing w:before="100" w:beforeAutospacing="1" w:after="100" w:afterAutospacing="1" w:line="360" w:lineRule="auto"/>
        <w:outlineLvl w:val="2"/>
        <w:rPr>
          <w:rFonts w:ascii="Times New Roman" w:hAnsi="Times New Roman"/>
          <w:b/>
          <w:bCs/>
          <w:lang w:val="en-HK"/>
        </w:rPr>
      </w:pPr>
      <w:r w:rsidRPr="005F784D">
        <w:rPr>
          <w:rFonts w:ascii="Times New Roman" w:hAnsi="Times New Roman"/>
          <w:b/>
          <w:bCs/>
          <w:lang w:val="en-HK"/>
        </w:rPr>
        <w:t>1. Legislative Intent of the Theft Act 1968</w:t>
      </w:r>
    </w:p>
    <w:p w14:paraId="7EE9F18A"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Statutory Framework</w:t>
      </w:r>
    </w:p>
    <w:p w14:paraId="6FE4472C"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Section 1(1) of the </w:t>
      </w:r>
      <w:r w:rsidRPr="005F784D">
        <w:rPr>
          <w:rFonts w:ascii="Times New Roman" w:hAnsi="Times New Roman"/>
          <w:b/>
          <w:bCs/>
          <w:lang w:val="en-HK"/>
        </w:rPr>
        <w:t>Theft Act 1968</w:t>
      </w:r>
      <w:r w:rsidRPr="005F784D">
        <w:rPr>
          <w:rFonts w:ascii="Times New Roman" w:hAnsi="Times New Roman"/>
          <w:lang w:val="en-HK"/>
        </w:rPr>
        <w:t xml:space="preserve"> defines theft:</w:t>
      </w:r>
    </w:p>
    <w:p w14:paraId="238B4F8F"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 person is guilty of theft if he dishonestly appropriates property belonging to another with the intention of permanently depriving the other of it.”</w:t>
      </w:r>
    </w:p>
    <w:p w14:paraId="3277DC1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Section 3(1) further defines appropriation as:</w:t>
      </w:r>
    </w:p>
    <w:p w14:paraId="3B425E14"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“Any assumption by a person of the rights of an owner… including any later assumption of a right to it by keeping or dealing with it as owner.”</w:t>
      </w:r>
    </w:p>
    <w:p w14:paraId="7C20004D"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Unlike the </w:t>
      </w:r>
      <w:r w:rsidRPr="005F784D">
        <w:rPr>
          <w:rFonts w:ascii="Times New Roman" w:hAnsi="Times New Roman"/>
          <w:b/>
          <w:bCs/>
          <w:lang w:val="en-HK"/>
        </w:rPr>
        <w:t>Larceny Act 1916</w:t>
      </w:r>
      <w:r w:rsidRPr="005F784D">
        <w:rPr>
          <w:rFonts w:ascii="Times New Roman" w:hAnsi="Times New Roman"/>
          <w:lang w:val="en-HK"/>
        </w:rPr>
        <w:t>, which required "taking and carrying away" property without the owner’s consent, the Theft Act intentionally omits explicit reference to consent in the definition of theft. This omission plays a central role in subsequent judicial interpretations, particularly in cases concerning apparent and actual consent.</w:t>
      </w:r>
    </w:p>
    <w:p w14:paraId="72B87E69"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608F8EFC">
          <v:rect id="_x0000_i1040" alt="" style="width:451.3pt;height:.05pt;mso-width-percent:0;mso-height-percent:0;mso-width-percent:0;mso-height-percent:0" o:hralign="center" o:hrstd="t" o:hr="t" fillcolor="#a0a0a0" stroked="f"/>
        </w:pict>
      </w:r>
    </w:p>
    <w:p w14:paraId="2AD66653"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Legislative Intent</w:t>
      </w:r>
    </w:p>
    <w:p w14:paraId="7E205271"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The </w:t>
      </w:r>
      <w:r w:rsidRPr="005F784D">
        <w:rPr>
          <w:rFonts w:ascii="Times New Roman" w:hAnsi="Times New Roman"/>
          <w:b/>
          <w:bCs/>
          <w:lang w:val="en-HK"/>
        </w:rPr>
        <w:t>Criminal Law Revision Committee’s Report</w:t>
      </w:r>
      <w:r w:rsidRPr="005F784D">
        <w:rPr>
          <w:rFonts w:ascii="Times New Roman" w:hAnsi="Times New Roman"/>
          <w:lang w:val="en-HK"/>
        </w:rPr>
        <w:t xml:space="preserve"> on the Theft Bill 1968 aimed to simplify theft law by removing technical distinctions, such as those between larceny and obtaining property by false </w:t>
      </w:r>
      <w:proofErr w:type="spellStart"/>
      <w:r w:rsidRPr="005F784D">
        <w:rPr>
          <w:rFonts w:ascii="Times New Roman" w:hAnsi="Times New Roman"/>
          <w:lang w:val="en-HK"/>
        </w:rPr>
        <w:t>pretenses</w:t>
      </w:r>
      <w:proofErr w:type="spellEnd"/>
      <w:r w:rsidRPr="005F784D">
        <w:rPr>
          <w:rFonts w:ascii="Times New Roman" w:hAnsi="Times New Roman"/>
          <w:lang w:val="en-HK"/>
        </w:rPr>
        <w:t>. The report noted:</w:t>
      </w:r>
    </w:p>
    <w:p w14:paraId="3907C684"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key element of theft should be dishonest appropriation of property belonging to another, regardless of whether the owner consented to the taking.”</w:t>
      </w:r>
    </w:p>
    <w:p w14:paraId="7A578D6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observes that this approach reflects a desire to shift the focus from procedural elements like consent to the defendant’s conduct and mental state:</w:t>
      </w:r>
    </w:p>
    <w:p w14:paraId="0BD8348F"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emphasis on dishonesty and appropriation signals a protective approach to property rights, prioritizing the owner’s ability to control their property over technicalities concerning how interference occurred.”</w:t>
      </w:r>
    </w:p>
    <w:p w14:paraId="006515C3"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7E6D400C">
          <v:rect id="_x0000_i1039" alt="" style="width:451.3pt;height:.05pt;mso-width-percent:0;mso-height-percent:0;mso-width-percent:0;mso-height-percent:0" o:hralign="center" o:hrstd="t" o:hr="t" fillcolor="#a0a0a0" stroked="f"/>
        </w:pict>
      </w:r>
    </w:p>
    <w:p w14:paraId="41009C14"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lastRenderedPageBreak/>
        <w:t>Controversy Over Consent</w:t>
      </w:r>
    </w:p>
    <w:p w14:paraId="4F70749F"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While the Theft Act’s omission of consent simplifies theft law, it creates ambiguity regarding whether consent is irrelevant or simply assumed under certain circumstances. Davies argues:</w:t>
      </w:r>
    </w:p>
    <w:p w14:paraId="2836D952"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omission of consent from Section 1(1) has left the law in a state of flux, with courts struggling to reconcile apparent and actual consent in the context of appropriation.”</w:t>
      </w:r>
    </w:p>
    <w:p w14:paraId="5B3BE54C"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403EF8C8">
          <v:rect id="_x0000_i1038" alt="" style="width:451.3pt;height:.05pt;mso-width-percent:0;mso-height-percent:0;mso-width-percent:0;mso-height-percent:0" o:hralign="center" o:hrstd="t" o:hr="t" fillcolor="#a0a0a0" stroked="f"/>
        </w:pict>
      </w:r>
    </w:p>
    <w:p w14:paraId="23D86B87" w14:textId="77777777" w:rsidR="005F784D" w:rsidRPr="005F784D" w:rsidRDefault="005F784D" w:rsidP="005F784D">
      <w:pPr>
        <w:spacing w:before="100" w:beforeAutospacing="1" w:after="100" w:afterAutospacing="1" w:line="360" w:lineRule="auto"/>
        <w:outlineLvl w:val="2"/>
        <w:rPr>
          <w:rFonts w:ascii="Times New Roman" w:hAnsi="Times New Roman"/>
          <w:b/>
          <w:bCs/>
          <w:lang w:val="en-HK"/>
        </w:rPr>
      </w:pPr>
      <w:r w:rsidRPr="005F784D">
        <w:rPr>
          <w:rFonts w:ascii="Times New Roman" w:hAnsi="Times New Roman"/>
          <w:b/>
          <w:bCs/>
          <w:lang w:val="en-HK"/>
        </w:rPr>
        <w:t>2. Case Law: Apparent Consent and Appropriation</w:t>
      </w:r>
    </w:p>
    <w:p w14:paraId="40A1E87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Judicial interpretations of appropriation have created significant confusion regarding the role of consent in theft law. Davies critiques the inconsistencies in key cases, particularly their treatment of apparent and actual consent.</w:t>
      </w:r>
    </w:p>
    <w:p w14:paraId="1E610A6F"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4ADAE433">
          <v:rect id="_x0000_i1037" alt="" style="width:451.3pt;height:.05pt;mso-width-percent:0;mso-height-percent:0;mso-width-percent:0;mso-height-percent:0" o:hralign="center" o:hrstd="t" o:hr="t" fillcolor="#a0a0a0" stroked="f"/>
        </w:pict>
      </w:r>
    </w:p>
    <w:p w14:paraId="0BDA03F1"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R v Lawrence [1971] 2 All ER 1253</w:t>
      </w:r>
    </w:p>
    <w:p w14:paraId="45D5F03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3B6C781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A taxi driver, Lawrence, charged an Italian student, </w:t>
      </w:r>
      <w:proofErr w:type="spellStart"/>
      <w:r w:rsidRPr="005F784D">
        <w:rPr>
          <w:rFonts w:ascii="Times New Roman" w:hAnsi="Times New Roman"/>
          <w:lang w:val="en-HK"/>
        </w:rPr>
        <w:t>Occhi</w:t>
      </w:r>
      <w:proofErr w:type="spellEnd"/>
      <w:r w:rsidRPr="005F784D">
        <w:rPr>
          <w:rFonts w:ascii="Times New Roman" w:hAnsi="Times New Roman"/>
          <w:lang w:val="en-HK"/>
        </w:rPr>
        <w:t xml:space="preserve">, an excessive fare. </w:t>
      </w:r>
      <w:proofErr w:type="spellStart"/>
      <w:r w:rsidRPr="005F784D">
        <w:rPr>
          <w:rFonts w:ascii="Times New Roman" w:hAnsi="Times New Roman"/>
          <w:lang w:val="en-HK"/>
        </w:rPr>
        <w:t>Occhi</w:t>
      </w:r>
      <w:proofErr w:type="spellEnd"/>
      <w:r w:rsidRPr="005F784D">
        <w:rPr>
          <w:rFonts w:ascii="Times New Roman" w:hAnsi="Times New Roman"/>
          <w:lang w:val="en-HK"/>
        </w:rPr>
        <w:t xml:space="preserve"> allowed Lawrence to take the money from his wallet, unaware of the correct fare.</w:t>
      </w:r>
    </w:p>
    <w:p w14:paraId="4B48FB7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49E361D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The House of Lords held that appropriation is a neutral act, and consent is irrelevant when dishonesty is present. Viscount </w:t>
      </w:r>
      <w:proofErr w:type="spellStart"/>
      <w:r w:rsidRPr="005F784D">
        <w:rPr>
          <w:rFonts w:ascii="Times New Roman" w:hAnsi="Times New Roman"/>
          <w:lang w:val="en-HK"/>
        </w:rPr>
        <w:t>Dilhorne</w:t>
      </w:r>
      <w:proofErr w:type="spellEnd"/>
      <w:r w:rsidRPr="005F784D">
        <w:rPr>
          <w:rFonts w:ascii="Times New Roman" w:hAnsi="Times New Roman"/>
          <w:lang w:val="en-HK"/>
        </w:rPr>
        <w:t xml:space="preserve"> stated:</w:t>
      </w:r>
    </w:p>
    <w:p w14:paraId="332D40A2"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“Parliament by the omission of the words ‘without the consent of the owner’ has relieved the prosecution of the burden of establishing that the taking was without the owner’s consent.”</w:t>
      </w:r>
    </w:p>
    <w:p w14:paraId="6A156449"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Impact</w:t>
      </w:r>
      <w:r w:rsidRPr="005F784D">
        <w:rPr>
          <w:rFonts w:ascii="Times New Roman" w:hAnsi="Times New Roman"/>
          <w:lang w:val="en-HK"/>
        </w:rPr>
        <w:t>:</w:t>
      </w:r>
    </w:p>
    <w:p w14:paraId="51B531C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Lawrence established that appropriation does not require adverse interference with the owner’s rights, effectively making consent irrelevant in theft law.</w:t>
      </w:r>
    </w:p>
    <w:p w14:paraId="2F42FF9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lastRenderedPageBreak/>
        <w:t>Critique</w:t>
      </w:r>
      <w:r w:rsidRPr="005F784D">
        <w:rPr>
          <w:rFonts w:ascii="Times New Roman" w:hAnsi="Times New Roman"/>
          <w:lang w:val="en-HK"/>
        </w:rPr>
        <w:t>:</w:t>
      </w:r>
    </w:p>
    <w:p w14:paraId="385470C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argues that Lawrence’s neutrality principle disregards the moral distinction between consensual and non-consensual transactions:</w:t>
      </w:r>
    </w:p>
    <w:p w14:paraId="1A77D7EB"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 xml:space="preserve">“By treating consent as irrelevant, the court blurs the boundaries between theft and deception, undermining fair </w:t>
      </w:r>
      <w:proofErr w:type="spellStart"/>
      <w:r w:rsidRPr="005F784D">
        <w:rPr>
          <w:rFonts w:ascii="Times New Roman" w:hAnsi="Times New Roman"/>
          <w:lang w:val="en-HK"/>
        </w:rPr>
        <w:t>labeling</w:t>
      </w:r>
      <w:proofErr w:type="spellEnd"/>
      <w:r w:rsidRPr="005F784D">
        <w:rPr>
          <w:rFonts w:ascii="Times New Roman" w:hAnsi="Times New Roman"/>
          <w:lang w:val="en-HK"/>
        </w:rPr>
        <w:t>.”</w:t>
      </w:r>
    </w:p>
    <w:p w14:paraId="02A30062"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4A7166AC">
          <v:rect id="_x0000_i1036" alt="" style="width:451.3pt;height:.05pt;mso-width-percent:0;mso-height-percent:0;mso-width-percent:0;mso-height-percent:0" o:hralign="center" o:hrstd="t" o:hr="t" fillcolor="#a0a0a0" stroked="f"/>
        </w:pict>
      </w:r>
    </w:p>
    <w:p w14:paraId="425250F2"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R v Morris [1984] AC 320</w:t>
      </w:r>
    </w:p>
    <w:p w14:paraId="6AF8273C"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4D06190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Defendants switched price labels in a supermarket to purchase goods at a reduced price. One defendant succeeded; the other was apprehended before completing the transaction.</w:t>
      </w:r>
    </w:p>
    <w:p w14:paraId="7DFB723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3259A32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House of Lords diverged from Lawrence by emphasizing that appropriation involves adverse interference or usurpation of the owner’s rights. Lord Roskill explained:</w:t>
      </w:r>
    </w:p>
    <w:p w14:paraId="33D54D69"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“Appropriation… involves not an act expressly or impliedly authorized by the owner but an act by way of adverse interference with or usurpation of those rights.”</w:t>
      </w:r>
    </w:p>
    <w:p w14:paraId="1907961B"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Impact</w:t>
      </w:r>
      <w:r w:rsidRPr="005F784D">
        <w:rPr>
          <w:rFonts w:ascii="Times New Roman" w:hAnsi="Times New Roman"/>
          <w:lang w:val="en-HK"/>
        </w:rPr>
        <w:t>:</w:t>
      </w:r>
    </w:p>
    <w:p w14:paraId="53163EEF"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Morris introduced a narrower interpretation of appropriation, tying it to acts inconsistent with the owner’s authorization and effectively reinstating consent as a relevant factor.</w:t>
      </w:r>
    </w:p>
    <w:p w14:paraId="17792859"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Critique</w:t>
      </w:r>
      <w:r w:rsidRPr="005F784D">
        <w:rPr>
          <w:rFonts w:ascii="Times New Roman" w:hAnsi="Times New Roman"/>
          <w:lang w:val="en-HK"/>
        </w:rPr>
        <w:t>:</w:t>
      </w:r>
    </w:p>
    <w:p w14:paraId="1E0DA9C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observes that Morris creates a conceptual tension with Lawrence:</w:t>
      </w:r>
    </w:p>
    <w:p w14:paraId="0D375A7D"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reintroduction of consent in Morris conflicts with Lawrence’s neutrality principle, leaving the law of theft in a state of inconsistency.”</w:t>
      </w:r>
    </w:p>
    <w:p w14:paraId="1F97386A"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7B7CAEC5">
          <v:rect id="_x0000_i1035" alt="" style="width:451.3pt;height:.05pt;mso-width-percent:0;mso-height-percent:0;mso-width-percent:0;mso-height-percent:0" o:hralign="center" o:hrstd="t" o:hr="t" fillcolor="#a0a0a0" stroked="f"/>
        </w:pict>
      </w:r>
    </w:p>
    <w:p w14:paraId="075C0D88"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lastRenderedPageBreak/>
        <w:t>Dobson v General Accident Fire and Life Assurance plc [1989] 3 All ER 927</w:t>
      </w:r>
    </w:p>
    <w:p w14:paraId="717FD7C5"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508597B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A rogue purchased goods using a stolen cheque. The plaintiff sought to recover compensation under an insurance policy for theft. The insurer argued that the transaction did not constitute theft because it was consensual.</w:t>
      </w:r>
    </w:p>
    <w:p w14:paraId="3019A6E3"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63242BC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Court of Appeal held that the rogue’s fraud negated the plaintiff’s consent, rendering the transaction theft. Lord Justice Parker stated:</w:t>
      </w:r>
    </w:p>
    <w:p w14:paraId="7DB05EE9"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fraudulent actions amounted to a plain interference with or usurpation of the plaintiff’s rights.”</w:t>
      </w:r>
    </w:p>
    <w:p w14:paraId="723606E1"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Impact</w:t>
      </w:r>
      <w:r w:rsidRPr="005F784D">
        <w:rPr>
          <w:rFonts w:ascii="Times New Roman" w:hAnsi="Times New Roman"/>
          <w:lang w:val="en-HK"/>
        </w:rPr>
        <w:t>:</w:t>
      </w:r>
    </w:p>
    <w:p w14:paraId="1DB2D7B5"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Dobson blurred the lines between theft and deception by treating fraudulently induced consent as a vitiation of ownership.</w:t>
      </w:r>
    </w:p>
    <w:p w14:paraId="7109F8D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Critique</w:t>
      </w:r>
      <w:r w:rsidRPr="005F784D">
        <w:rPr>
          <w:rFonts w:ascii="Times New Roman" w:hAnsi="Times New Roman"/>
          <w:lang w:val="en-HK"/>
        </w:rPr>
        <w:t>:</w:t>
      </w:r>
    </w:p>
    <w:p w14:paraId="269D4CB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highlights the problematic implications of this decision:</w:t>
      </w:r>
    </w:p>
    <w:p w14:paraId="7B95E4AB"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“Dobson’s reliance on fraud as a means of negating consent risks conflating theft with obtaining property by deception, undermining the distinction between these offenses.”</w:t>
      </w:r>
    </w:p>
    <w:p w14:paraId="4072778C"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7949B70C">
          <v:rect id="_x0000_i1034" alt="" style="width:451.3pt;height:.05pt;mso-width-percent:0;mso-height-percent:0;mso-width-percent:0;mso-height-percent:0" o:hralign="center" o:hrstd="t" o:hr="t" fillcolor="#a0a0a0" stroked="f"/>
        </w:pict>
      </w:r>
    </w:p>
    <w:p w14:paraId="02610044"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R v Gomez [1993] 1 All ER 1</w:t>
      </w:r>
    </w:p>
    <w:p w14:paraId="5E53F25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5584D1F1"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A shop assistant, Gomez, persuaded his manager to accept stolen cheques as payment for goods. The goods were later removed from the shop.</w:t>
      </w:r>
    </w:p>
    <w:p w14:paraId="6376EF5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64C84F1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lastRenderedPageBreak/>
        <w:t>The House of Lords reaffirmed Lawrence, holding that consent is irrelevant to appropriation when induced by dishonesty. Lord Keith stated:</w:t>
      </w:r>
    </w:p>
    <w:p w14:paraId="7390176C"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“Appropriation does not invariably connote an act which adversely interferes with the owner’s rights.”</w:t>
      </w:r>
    </w:p>
    <w:p w14:paraId="79DF8F2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Impact</w:t>
      </w:r>
      <w:r w:rsidRPr="005F784D">
        <w:rPr>
          <w:rFonts w:ascii="Times New Roman" w:hAnsi="Times New Roman"/>
          <w:lang w:val="en-HK"/>
        </w:rPr>
        <w:t>:</w:t>
      </w:r>
    </w:p>
    <w:p w14:paraId="1083D43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Gomez expanded the concept of appropriation to include acts performed with apparent consent, effectively merging theft and deception.</w:t>
      </w:r>
    </w:p>
    <w:p w14:paraId="2C70FE00"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Critique</w:t>
      </w:r>
      <w:r w:rsidRPr="005F784D">
        <w:rPr>
          <w:rFonts w:ascii="Times New Roman" w:hAnsi="Times New Roman"/>
          <w:lang w:val="en-HK"/>
        </w:rPr>
        <w:t>:</w:t>
      </w:r>
    </w:p>
    <w:p w14:paraId="05CD0C70"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argues that Gomez creates significant doctrinal confusion by prioritizing dishonesty over adverse interference:</w:t>
      </w:r>
    </w:p>
    <w:p w14:paraId="2662CE46"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“By removing the requirement of adverse interference, Gomez transforms appropriation into a purely mental element, undermining the coherence of theft law.”</w:t>
      </w:r>
    </w:p>
    <w:p w14:paraId="37902600"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1C002E63">
          <v:rect id="_x0000_i1033" alt="" style="width:451.3pt;height:.05pt;mso-width-percent:0;mso-height-percent:0;mso-width-percent:0;mso-height-percent:0" o:hralign="center" o:hrstd="t" o:hr="t" fillcolor="#a0a0a0" stroked="f"/>
        </w:pict>
      </w:r>
    </w:p>
    <w:p w14:paraId="300EAE49"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Critical Themes</w:t>
      </w:r>
    </w:p>
    <w:p w14:paraId="3E40E9A8" w14:textId="77777777" w:rsidR="005F784D" w:rsidRPr="005F784D" w:rsidRDefault="005F784D" w:rsidP="005F784D">
      <w:pPr>
        <w:numPr>
          <w:ilvl w:val="0"/>
          <w:numId w:val="5"/>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Neutrality of Appropriation</w:t>
      </w:r>
      <w:r w:rsidRPr="005F784D">
        <w:rPr>
          <w:rFonts w:ascii="Times New Roman" w:hAnsi="Times New Roman"/>
          <w:lang w:val="en-HK"/>
        </w:rPr>
        <w:t>:</w:t>
      </w:r>
    </w:p>
    <w:p w14:paraId="5B50A24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Lawrence and Gomez treat appropriation as a neutral act, making dishonesty the sole determinant of criminality. Davies critiques this approach:</w:t>
      </w:r>
    </w:p>
    <w:p w14:paraId="3F6E6C3D"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neutrality principle risks criminalizing trivial or consensual acts, as it shifts the focus from the defendant’s actions to their mental state.”</w:t>
      </w:r>
    </w:p>
    <w:p w14:paraId="0A3B2FF6" w14:textId="77777777" w:rsidR="005F784D" w:rsidRPr="005F784D" w:rsidRDefault="005F784D" w:rsidP="005F784D">
      <w:pPr>
        <w:numPr>
          <w:ilvl w:val="0"/>
          <w:numId w:val="5"/>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Role of Consent</w:t>
      </w:r>
      <w:r w:rsidRPr="005F784D">
        <w:rPr>
          <w:rFonts w:ascii="Times New Roman" w:hAnsi="Times New Roman"/>
          <w:lang w:val="en-HK"/>
        </w:rPr>
        <w:t>:</w:t>
      </w:r>
    </w:p>
    <w:p w14:paraId="1BABB501"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Cases like Morris and Dobson reintroduce consent as a factor in appropriation, creating tension with Lawrence and Gomez.</w:t>
      </w:r>
    </w:p>
    <w:p w14:paraId="254BA98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argues:</w:t>
      </w:r>
    </w:p>
    <w:p w14:paraId="62B3626D"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lastRenderedPageBreak/>
        <w:t>“The inconsistent treatment of consent leaves defendants uncertain about the legal boundaries of theft, undermining the principle of fair warning.”</w:t>
      </w:r>
    </w:p>
    <w:p w14:paraId="4D64C21F" w14:textId="77777777" w:rsidR="005F784D" w:rsidRPr="005F784D" w:rsidRDefault="005F784D" w:rsidP="005F784D">
      <w:pPr>
        <w:spacing w:before="100" w:beforeAutospacing="1" w:after="100" w:afterAutospacing="1" w:line="360" w:lineRule="auto"/>
        <w:outlineLvl w:val="2"/>
        <w:rPr>
          <w:rFonts w:ascii="Times New Roman" w:hAnsi="Times New Roman"/>
          <w:b/>
          <w:bCs/>
          <w:lang w:val="en-HK"/>
        </w:rPr>
      </w:pPr>
      <w:r w:rsidRPr="005F784D">
        <w:rPr>
          <w:rFonts w:ascii="Times New Roman" w:hAnsi="Times New Roman"/>
          <w:b/>
          <w:bCs/>
          <w:lang w:val="en-HK"/>
        </w:rPr>
        <w:t>3. Conflation of Theft and Deception</w:t>
      </w:r>
    </w:p>
    <w:p w14:paraId="2D77ECBD"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Statutory Context</w:t>
      </w:r>
    </w:p>
    <w:p w14:paraId="6CC1E17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 xml:space="preserve">Section 1(1) </w:t>
      </w:r>
      <w:r w:rsidRPr="005F784D">
        <w:rPr>
          <w:rFonts w:ascii="Times New Roman" w:hAnsi="Times New Roman"/>
          <w:lang w:val="en-HK"/>
        </w:rPr>
        <w:t xml:space="preserve">of the </w:t>
      </w:r>
      <w:r w:rsidRPr="005F784D">
        <w:rPr>
          <w:rFonts w:ascii="Times New Roman" w:hAnsi="Times New Roman"/>
          <w:b/>
          <w:bCs/>
          <w:lang w:val="en-HK"/>
        </w:rPr>
        <w:t>Theft Act 1968</w:t>
      </w:r>
      <w:r w:rsidRPr="005F784D">
        <w:rPr>
          <w:rFonts w:ascii="Times New Roman" w:hAnsi="Times New Roman"/>
          <w:lang w:val="en-HK"/>
        </w:rPr>
        <w:t xml:space="preserve"> defines theft as:</w:t>
      </w:r>
    </w:p>
    <w:p w14:paraId="64F31454"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 person is guilty of theft if he dishonestly appropriates property belonging to another with the intention of permanently depriving the other of it.”</w:t>
      </w:r>
    </w:p>
    <w:p w14:paraId="5C5FB7A6"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Section 15 of the </w:t>
      </w:r>
      <w:r w:rsidRPr="005F784D">
        <w:rPr>
          <w:rFonts w:ascii="Times New Roman" w:hAnsi="Times New Roman"/>
          <w:b/>
          <w:bCs/>
          <w:lang w:val="en-HK"/>
        </w:rPr>
        <w:t>Theft Act 1968</w:t>
      </w:r>
      <w:r w:rsidRPr="005F784D">
        <w:rPr>
          <w:rFonts w:ascii="Times New Roman" w:hAnsi="Times New Roman"/>
          <w:lang w:val="en-HK"/>
        </w:rPr>
        <w:t xml:space="preserve">, which governs obtaining property by deception, was intended to address cases where property was transferred based on dishonest representations. However, judicial decisions, particularly </w:t>
      </w:r>
      <w:r w:rsidRPr="005F784D">
        <w:rPr>
          <w:rFonts w:ascii="Times New Roman" w:hAnsi="Times New Roman"/>
          <w:b/>
          <w:bCs/>
          <w:lang w:val="en-HK"/>
        </w:rPr>
        <w:t>R v Gomez [1993]</w:t>
      </w:r>
      <w:r w:rsidRPr="005F784D">
        <w:rPr>
          <w:rFonts w:ascii="Times New Roman" w:hAnsi="Times New Roman"/>
          <w:lang w:val="en-HK"/>
        </w:rPr>
        <w:t>, have blurred the distinction between theft and deception by treating deceit-induced transfers as appropriation.</w:t>
      </w:r>
    </w:p>
    <w:p w14:paraId="5F15530A"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4ED89B45">
          <v:rect id="_x0000_i1032" alt="" style="width:451.3pt;height:.05pt;mso-width-percent:0;mso-height-percent:0;mso-width-percent:0;mso-height-percent:0" o:hralign="center" o:hrstd="t" o:hr="t" fillcolor="#a0a0a0" stroked="f"/>
        </w:pict>
      </w:r>
    </w:p>
    <w:p w14:paraId="501F8A83"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Judicial Developments</w:t>
      </w:r>
    </w:p>
    <w:p w14:paraId="6511A24C" w14:textId="77777777" w:rsidR="005F784D" w:rsidRPr="005F784D" w:rsidRDefault="005F784D" w:rsidP="005F784D">
      <w:pPr>
        <w:numPr>
          <w:ilvl w:val="0"/>
          <w:numId w:val="7"/>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R v Gomez [1993] 1 All ER 1</w:t>
      </w:r>
      <w:r w:rsidRPr="005F784D">
        <w:rPr>
          <w:rFonts w:ascii="Times New Roman" w:hAnsi="Times New Roman"/>
          <w:lang w:val="en-HK"/>
        </w:rPr>
        <w:t>:</w:t>
      </w:r>
    </w:p>
    <w:p w14:paraId="708C2E39"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4CD6412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Gomez, a shop assistant, persuaded his manager to accept stolen cheques as payment for goods. The manager consented, unaware the cheques were stolen.</w:t>
      </w:r>
    </w:p>
    <w:p w14:paraId="528D9BED"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1DA3C67D"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House of Lords ruled that appropriation does not require adverse interference or lack of consent. Lord Keith stated:</w:t>
      </w:r>
    </w:p>
    <w:p w14:paraId="2F0278C3"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“Appropriation is a neutral act and is immaterial whether the owner consents or not.”</w:t>
      </w:r>
    </w:p>
    <w:p w14:paraId="0CDF9208"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ruling effectively merged theft and deception, as Gomez’s actions could have been prosecuted under either Section 1 or Section 15.</w:t>
      </w:r>
    </w:p>
    <w:p w14:paraId="77F1F16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lastRenderedPageBreak/>
        <w:t>Critique</w:t>
      </w:r>
      <w:r w:rsidRPr="005F784D">
        <w:rPr>
          <w:rFonts w:ascii="Times New Roman" w:hAnsi="Times New Roman"/>
          <w:lang w:val="en-HK"/>
        </w:rPr>
        <w:t>:</w:t>
      </w:r>
    </w:p>
    <w:p w14:paraId="17C7EF7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criticizes Gomez for disregarding the distinction between theft and deception:</w:t>
      </w:r>
    </w:p>
    <w:p w14:paraId="6C3A6E49"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decision collapses the boundaries between two distinct offenses, creating conceptual and practical confusion in theft law.”</w:t>
      </w:r>
    </w:p>
    <w:p w14:paraId="18A5E05B" w14:textId="77777777" w:rsidR="005F784D" w:rsidRPr="005F784D" w:rsidRDefault="005F784D" w:rsidP="005F784D">
      <w:pPr>
        <w:numPr>
          <w:ilvl w:val="0"/>
          <w:numId w:val="7"/>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Dobson v General Accident Fire and Life Assurance plc [1989] 3 All ER 927</w:t>
      </w:r>
      <w:r w:rsidRPr="005F784D">
        <w:rPr>
          <w:rFonts w:ascii="Times New Roman" w:hAnsi="Times New Roman"/>
          <w:lang w:val="en-HK"/>
        </w:rPr>
        <w:t>:</w:t>
      </w:r>
    </w:p>
    <w:p w14:paraId="2E9CC3DF"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4F13206C"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A rogue purchased goods using a stolen cheque. The seller sought compensation under a theft insurance policy, but the insurer argued the transaction was consensual and did not constitute theft.</w:t>
      </w:r>
    </w:p>
    <w:p w14:paraId="2BCFA3FB"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57D2985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Court of Appeal found that the rogue’s fraud negated consent, making the transaction theft. Lord Justice Parker reasoned:</w:t>
      </w:r>
    </w:p>
    <w:p w14:paraId="452C333A"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“Fraudulent actions amounted to a plain interference with or usurpation of the owner’s rights.”</w:t>
      </w:r>
    </w:p>
    <w:p w14:paraId="4BB6132F"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Critique</w:t>
      </w:r>
      <w:r w:rsidRPr="005F784D">
        <w:rPr>
          <w:rFonts w:ascii="Times New Roman" w:hAnsi="Times New Roman"/>
          <w:lang w:val="en-HK"/>
        </w:rPr>
        <w:t>:</w:t>
      </w:r>
    </w:p>
    <w:p w14:paraId="7D59798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Davies warns that Dobson undermines fair </w:t>
      </w:r>
      <w:proofErr w:type="spellStart"/>
      <w:r w:rsidRPr="005F784D">
        <w:rPr>
          <w:rFonts w:ascii="Times New Roman" w:hAnsi="Times New Roman"/>
          <w:lang w:val="en-HK"/>
        </w:rPr>
        <w:t>labeling</w:t>
      </w:r>
      <w:proofErr w:type="spellEnd"/>
      <w:r w:rsidRPr="005F784D">
        <w:rPr>
          <w:rFonts w:ascii="Times New Roman" w:hAnsi="Times New Roman"/>
          <w:lang w:val="en-HK"/>
        </w:rPr>
        <w:t>:</w:t>
      </w:r>
    </w:p>
    <w:p w14:paraId="6F85A9F4" w14:textId="2FDAF0ED"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“By treating deceit-induced transactions as theft, the law conflates morally distinct offenses, erasing the distinction between dishonest taking and dishonest acquiring.”</w:t>
      </w:r>
    </w:p>
    <w:p w14:paraId="75D5F098" w14:textId="77777777" w:rsidR="005F784D" w:rsidRPr="005F784D" w:rsidRDefault="005F784D" w:rsidP="005F784D">
      <w:pPr>
        <w:numPr>
          <w:ilvl w:val="0"/>
          <w:numId w:val="7"/>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R v Lawrence [1971] 2 All ER 1253</w:t>
      </w:r>
      <w:r w:rsidRPr="005F784D">
        <w:rPr>
          <w:rFonts w:ascii="Times New Roman" w:hAnsi="Times New Roman"/>
          <w:lang w:val="en-HK"/>
        </w:rPr>
        <w:t>:</w:t>
      </w:r>
    </w:p>
    <w:p w14:paraId="2B7BFA45"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Facts</w:t>
      </w:r>
      <w:r w:rsidRPr="005F784D">
        <w:rPr>
          <w:rFonts w:ascii="Times New Roman" w:hAnsi="Times New Roman"/>
          <w:lang w:val="en-HK"/>
        </w:rPr>
        <w:t>:</w:t>
      </w:r>
    </w:p>
    <w:p w14:paraId="4E3CF711"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A taxi driver, Lawrence, took more money than was owed with the victim’s apparent consent.</w:t>
      </w:r>
    </w:p>
    <w:p w14:paraId="13DF2464"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Judgment</w:t>
      </w:r>
      <w:r w:rsidRPr="005F784D">
        <w:rPr>
          <w:rFonts w:ascii="Times New Roman" w:hAnsi="Times New Roman"/>
          <w:lang w:val="en-HK"/>
        </w:rPr>
        <w:t>:</w:t>
      </w:r>
    </w:p>
    <w:p w14:paraId="7283C24D"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lastRenderedPageBreak/>
        <w:t>The House of Lords ruled that appropriation does not require absence of consent, prioritizing dishonesty over interference.</w:t>
      </w:r>
    </w:p>
    <w:p w14:paraId="43C20A18"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Impact</w:t>
      </w:r>
      <w:r w:rsidRPr="005F784D">
        <w:rPr>
          <w:rFonts w:ascii="Times New Roman" w:hAnsi="Times New Roman"/>
          <w:lang w:val="en-HK"/>
        </w:rPr>
        <w:t>:</w:t>
      </w:r>
    </w:p>
    <w:p w14:paraId="060A19C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Lawrence set the stage for Gomez by detaching appropriation from adverse interference or lack of consent.</w:t>
      </w:r>
    </w:p>
    <w:p w14:paraId="4C8CBA91"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66C996D5">
          <v:rect id="_x0000_i1031" alt="" style="width:451.3pt;height:.05pt;mso-width-percent:0;mso-height-percent:0;mso-width-percent:0;mso-height-percent:0" o:hralign="center" o:hrstd="t" o:hr="t" fillcolor="#a0a0a0" stroked="f"/>
        </w:pict>
      </w:r>
    </w:p>
    <w:p w14:paraId="4DDE387F"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Fair Labelling and Proportionality</w:t>
      </w:r>
    </w:p>
    <w:p w14:paraId="612A4896"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Davies argues that the conflation of theft and deception undermines the principle of fair </w:t>
      </w:r>
      <w:proofErr w:type="spellStart"/>
      <w:r w:rsidRPr="005F784D">
        <w:rPr>
          <w:rFonts w:ascii="Times New Roman" w:hAnsi="Times New Roman"/>
          <w:lang w:val="en-HK"/>
        </w:rPr>
        <w:t>labeling</w:t>
      </w:r>
      <w:proofErr w:type="spellEnd"/>
      <w:r w:rsidRPr="005F784D">
        <w:rPr>
          <w:rFonts w:ascii="Times New Roman" w:hAnsi="Times New Roman"/>
          <w:lang w:val="en-HK"/>
        </w:rPr>
        <w:t>, which requires offenses to accurately reflect the moral and legal distinctions between different types of wrongdoing:</w:t>
      </w:r>
    </w:p>
    <w:p w14:paraId="2E2F8446"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“By collapsing theft and deception, the law obscures the unique harms of each offense, leading to disproportionate criminalization.”</w:t>
      </w:r>
    </w:p>
    <w:p w14:paraId="6FF24CD7"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5EAC5161">
          <v:rect id="_x0000_i1030" alt="" style="width:451.3pt;height:.05pt;mso-width-percent:0;mso-height-percent:0;mso-width-percent:0;mso-height-percent:0" o:hralign="center" o:hrstd="t" o:hr="t" fillcolor="#a0a0a0" stroked="f"/>
        </w:pict>
      </w:r>
    </w:p>
    <w:p w14:paraId="3D7AC506" w14:textId="77777777" w:rsidR="005F784D" w:rsidRPr="005F784D" w:rsidRDefault="005F784D" w:rsidP="005F784D">
      <w:pPr>
        <w:spacing w:before="100" w:beforeAutospacing="1" w:after="100" w:afterAutospacing="1" w:line="360" w:lineRule="auto"/>
        <w:outlineLvl w:val="2"/>
        <w:rPr>
          <w:rFonts w:ascii="Times New Roman" w:hAnsi="Times New Roman"/>
          <w:b/>
          <w:bCs/>
          <w:lang w:val="en-HK"/>
        </w:rPr>
      </w:pPr>
      <w:r w:rsidRPr="005F784D">
        <w:rPr>
          <w:rFonts w:ascii="Times New Roman" w:hAnsi="Times New Roman"/>
          <w:b/>
          <w:bCs/>
          <w:lang w:val="en-HK"/>
        </w:rPr>
        <w:t>4. Ethical and Systemic Concerns</w:t>
      </w:r>
    </w:p>
    <w:p w14:paraId="29E546D5"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Criminalization of Trivial Acts</w:t>
      </w:r>
    </w:p>
    <w:p w14:paraId="5BDB1013"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broad interpretation of appropriation in Gomez risks criminalizing benign or trivial actions, particularly those involving apparent consent. Davies highlights:</w:t>
      </w:r>
    </w:p>
    <w:p w14:paraId="7E0499AA"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Example</w:t>
      </w:r>
      <w:r w:rsidRPr="005F784D">
        <w:rPr>
          <w:rFonts w:ascii="Times New Roman" w:hAnsi="Times New Roman"/>
          <w:lang w:val="en-HK"/>
        </w:rPr>
        <w:t>: A shopper who places goods in a trolley with no intent to steal could technically meet the definition of appropriation if dishonesty were alleged.</w:t>
      </w:r>
    </w:p>
    <w:p w14:paraId="11881D20"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Commentary</w:t>
      </w:r>
      <w:r w:rsidRPr="005F784D">
        <w:rPr>
          <w:rFonts w:ascii="Times New Roman" w:hAnsi="Times New Roman"/>
          <w:lang w:val="en-HK"/>
        </w:rPr>
        <w:t>:</w:t>
      </w:r>
    </w:p>
    <w:p w14:paraId="2DD20C99"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expansive scope of appropriation transforms theft into a catch-all offense, undermining proportionality and fairness in criminal law.”</w:t>
      </w:r>
    </w:p>
    <w:p w14:paraId="6E3A175B"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13BAD493">
          <v:rect id="_x0000_i1029" alt="" style="width:451.3pt;height:.05pt;mso-width-percent:0;mso-height-percent:0;mso-width-percent:0;mso-height-percent:0" o:hralign="center" o:hrstd="t" o:hr="t" fillcolor="#a0a0a0" stroked="f"/>
        </w:pict>
      </w:r>
    </w:p>
    <w:p w14:paraId="459EECBA"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lastRenderedPageBreak/>
        <w:t>Uncertainty in the Law</w:t>
      </w:r>
    </w:p>
    <w:p w14:paraId="7CEC8058"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inconsistent treatment of appropriation and consent across cases creates legal uncertainty. Davies critiques:</w:t>
      </w:r>
    </w:p>
    <w:p w14:paraId="1804BBF0"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“The contradictory judgments in Lawrence, Morris, and Gomez leave defendants uncertain about the boundaries of lawful conduct, violating the principle of fair warning.”</w:t>
      </w:r>
    </w:p>
    <w:p w14:paraId="08AAA55B"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0179D92F">
          <v:rect id="_x0000_i1028" alt="" style="width:451.3pt;height:.05pt;mso-width-percent:0;mso-height-percent:0;mso-width-percent:0;mso-height-percent:0" o:hralign="center" o:hrstd="t" o:hr="t" fillcolor="#a0a0a0" stroked="f"/>
        </w:pict>
      </w:r>
    </w:p>
    <w:p w14:paraId="15964C42"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Reliance on Dishonesty</w:t>
      </w:r>
    </w:p>
    <w:p w14:paraId="41F83C4B"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Davies criticizes the judiciary’s overreliance on dishonesty to determine criminal liability, arguing that it blurs the distinction between </w:t>
      </w:r>
      <w:r w:rsidRPr="005F784D">
        <w:rPr>
          <w:rFonts w:ascii="Times New Roman" w:hAnsi="Times New Roman"/>
          <w:b/>
          <w:bCs/>
          <w:lang w:val="en-HK"/>
        </w:rPr>
        <w:t>actus reus</w:t>
      </w:r>
      <w:r w:rsidRPr="005F784D">
        <w:rPr>
          <w:rFonts w:ascii="Times New Roman" w:hAnsi="Times New Roman"/>
          <w:lang w:val="en-HK"/>
        </w:rPr>
        <w:t xml:space="preserve"> and </w:t>
      </w:r>
      <w:proofErr w:type="spellStart"/>
      <w:r w:rsidRPr="005F784D">
        <w:rPr>
          <w:rFonts w:ascii="Times New Roman" w:hAnsi="Times New Roman"/>
          <w:b/>
          <w:bCs/>
          <w:lang w:val="en-HK"/>
        </w:rPr>
        <w:t>mens</w:t>
      </w:r>
      <w:proofErr w:type="spellEnd"/>
      <w:r w:rsidRPr="005F784D">
        <w:rPr>
          <w:rFonts w:ascii="Times New Roman" w:hAnsi="Times New Roman"/>
          <w:b/>
          <w:bCs/>
          <w:lang w:val="en-HK"/>
        </w:rPr>
        <w:t xml:space="preserve"> rea</w:t>
      </w:r>
      <w:r w:rsidRPr="005F784D">
        <w:rPr>
          <w:rFonts w:ascii="Times New Roman" w:hAnsi="Times New Roman"/>
          <w:lang w:val="en-HK"/>
        </w:rPr>
        <w:t>:</w:t>
      </w:r>
    </w:p>
    <w:p w14:paraId="6B2DEB8D"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“By prioritizing dishonesty over interference, the courts reduce theft to a purely mental offense, undermining its coherence and clarity.”</w:t>
      </w:r>
    </w:p>
    <w:p w14:paraId="5BB2660D"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3A8D8204">
          <v:rect id="_x0000_i1027" alt="" style="width:451.3pt;height:.05pt;mso-width-percent:0;mso-height-percent:0;mso-width-percent:0;mso-height-percent:0" o:hralign="center" o:hrstd="t" o:hr="t" fillcolor="#a0a0a0" stroked="f"/>
        </w:pict>
      </w:r>
    </w:p>
    <w:p w14:paraId="6601D4DD"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Impact on Civil Law</w:t>
      </w:r>
    </w:p>
    <w:p w14:paraId="6F5021CF"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also explores the tension between theft law and civil doctrines of ownership and consent:</w:t>
      </w:r>
    </w:p>
    <w:p w14:paraId="702E083E" w14:textId="77777777" w:rsidR="005F784D" w:rsidRPr="005F784D" w:rsidRDefault="005F784D" w:rsidP="005F784D">
      <w:pPr>
        <w:numPr>
          <w:ilvl w:val="0"/>
          <w:numId w:val="9"/>
        </w:num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In </w:t>
      </w:r>
      <w:r w:rsidRPr="005F784D">
        <w:rPr>
          <w:rFonts w:ascii="Times New Roman" w:hAnsi="Times New Roman"/>
          <w:b/>
          <w:bCs/>
          <w:lang w:val="en-HK"/>
        </w:rPr>
        <w:t>Dobson</w:t>
      </w:r>
      <w:r w:rsidRPr="005F784D">
        <w:rPr>
          <w:rFonts w:ascii="Times New Roman" w:hAnsi="Times New Roman"/>
          <w:lang w:val="en-HK"/>
        </w:rPr>
        <w:t>, the reliance on fraud to negate consent conflicts with principles of contractual autonomy, where parties are generally bound by their apparent agreements.</w:t>
      </w:r>
    </w:p>
    <w:p w14:paraId="30FF3114" w14:textId="77777777" w:rsidR="005F784D" w:rsidRPr="005F784D" w:rsidRDefault="005F784D" w:rsidP="005F784D">
      <w:pPr>
        <w:numPr>
          <w:ilvl w:val="0"/>
          <w:numId w:val="9"/>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Commentary</w:t>
      </w:r>
      <w:r w:rsidRPr="005F784D">
        <w:rPr>
          <w:rFonts w:ascii="Times New Roman" w:hAnsi="Times New Roman"/>
          <w:lang w:val="en-HK"/>
        </w:rPr>
        <w:t>:</w:t>
      </w:r>
    </w:p>
    <w:p w14:paraId="490A9E29" w14:textId="77777777" w:rsidR="005F784D" w:rsidRPr="005F784D" w:rsidRDefault="005F784D" w:rsidP="005F784D">
      <w:pPr>
        <w:spacing w:beforeAutospacing="1" w:afterAutospacing="1" w:line="360" w:lineRule="auto"/>
        <w:ind w:left="1440"/>
        <w:rPr>
          <w:rFonts w:ascii="Times New Roman" w:hAnsi="Times New Roman"/>
          <w:lang w:val="en-HK"/>
        </w:rPr>
      </w:pPr>
      <w:r w:rsidRPr="005F784D">
        <w:rPr>
          <w:rFonts w:ascii="Times New Roman" w:hAnsi="Times New Roman"/>
          <w:lang w:val="en-HK"/>
        </w:rPr>
        <w:t>“The criminalization of deceit-induced transfers risks conflating theft with contractual fraud, undermining the separation of criminal and civil liability.”</w:t>
      </w:r>
    </w:p>
    <w:p w14:paraId="37627931"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pict w14:anchorId="61C1B828">
          <v:rect id="_x0000_i1026" alt="" style="width:451.3pt;height:.05pt;mso-width-percent:0;mso-height-percent:0;mso-width-percent:0;mso-height-percent:0" o:hralign="center" o:hrstd="t" o:hr="t" fillcolor="#a0a0a0" stroked="f"/>
        </w:pict>
      </w:r>
    </w:p>
    <w:p w14:paraId="57D00EA9" w14:textId="77777777" w:rsidR="005F784D" w:rsidRPr="005F784D" w:rsidRDefault="005F784D" w:rsidP="005F784D">
      <w:pPr>
        <w:spacing w:before="100" w:beforeAutospacing="1" w:after="100" w:afterAutospacing="1" w:line="360" w:lineRule="auto"/>
        <w:outlineLvl w:val="2"/>
        <w:rPr>
          <w:rFonts w:ascii="Times New Roman" w:hAnsi="Times New Roman"/>
          <w:b/>
          <w:bCs/>
          <w:lang w:val="en-HK"/>
        </w:rPr>
      </w:pPr>
      <w:r w:rsidRPr="005F784D">
        <w:rPr>
          <w:rFonts w:ascii="Times New Roman" w:hAnsi="Times New Roman"/>
          <w:b/>
          <w:bCs/>
          <w:lang w:val="en-HK"/>
        </w:rPr>
        <w:t>Conclusion</w:t>
      </w:r>
    </w:p>
    <w:p w14:paraId="63CF5CA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lastRenderedPageBreak/>
        <w:t>Mitchell C. Davies concludes that the judicial treatment of consent and appropriation has left theft law in a state of disarray. Key judgments, such as Lawrence, Morris, and Gomez, reveal inconsistent approaches to the role of consent and the definition of appropriation. This inconsistency has led to the conflation of theft and deception, over-criminalization of trivial acts, and legal uncertainty.</w:t>
      </w:r>
    </w:p>
    <w:p w14:paraId="25219AA1"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Recommendations for Reform</w:t>
      </w:r>
    </w:p>
    <w:p w14:paraId="1535DBEC" w14:textId="77777777" w:rsidR="005F784D" w:rsidRPr="005F784D" w:rsidRDefault="005F784D" w:rsidP="005F784D">
      <w:pPr>
        <w:numPr>
          <w:ilvl w:val="0"/>
          <w:numId w:val="10"/>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Clarify the Role of Consent</w:t>
      </w:r>
      <w:r w:rsidRPr="005F784D">
        <w:rPr>
          <w:rFonts w:ascii="Times New Roman" w:hAnsi="Times New Roman"/>
          <w:lang w:val="en-HK"/>
        </w:rPr>
        <w:t>:</w:t>
      </w:r>
    </w:p>
    <w:p w14:paraId="4E42A08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advocates distinguishing between actual and apparent consent:</w:t>
      </w:r>
    </w:p>
    <w:p w14:paraId="6D1488C5"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Actual Consent</w:t>
      </w:r>
      <w:r w:rsidRPr="005F784D">
        <w:rPr>
          <w:rFonts w:ascii="Times New Roman" w:hAnsi="Times New Roman"/>
          <w:lang w:val="en-HK"/>
        </w:rPr>
        <w:t>: Negates appropriation unless the act involves clear dishonesty.</w:t>
      </w:r>
    </w:p>
    <w:p w14:paraId="47CFDCD6"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Apparent Consent</w:t>
      </w:r>
      <w:r w:rsidRPr="005F784D">
        <w:rPr>
          <w:rFonts w:ascii="Times New Roman" w:hAnsi="Times New Roman"/>
          <w:lang w:val="en-HK"/>
        </w:rPr>
        <w:t>: Induced by fraud, invalidates ownership rights and supports a finding of appropriation.</w:t>
      </w:r>
    </w:p>
    <w:p w14:paraId="0C57CD8B" w14:textId="77777777" w:rsidR="005F784D" w:rsidRPr="005F784D" w:rsidRDefault="005F784D" w:rsidP="005F784D">
      <w:pPr>
        <w:numPr>
          <w:ilvl w:val="0"/>
          <w:numId w:val="10"/>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Redefine Appropriation</w:t>
      </w:r>
      <w:r w:rsidRPr="005F784D">
        <w:rPr>
          <w:rFonts w:ascii="Times New Roman" w:hAnsi="Times New Roman"/>
          <w:lang w:val="en-HK"/>
        </w:rPr>
        <w:t>:</w:t>
      </w:r>
    </w:p>
    <w:p w14:paraId="1F751222"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Appropriation should require adverse interference with or usurpation of the owner’s rights, as articulated by Lord Roskill in Morris:</w:t>
      </w:r>
    </w:p>
    <w:p w14:paraId="69456483"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“Appropriation… involves not an act expressly or impliedly authorized by the owner but an act by way of adverse interference with or usurpation of those rights.”</w:t>
      </w:r>
    </w:p>
    <w:p w14:paraId="262DDE57" w14:textId="77777777" w:rsidR="005F784D" w:rsidRPr="005F784D" w:rsidRDefault="005F784D" w:rsidP="005F784D">
      <w:pPr>
        <w:numPr>
          <w:ilvl w:val="0"/>
          <w:numId w:val="10"/>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Restore Distinctions Between Theft and Deception</w:t>
      </w:r>
      <w:r w:rsidRPr="005F784D">
        <w:rPr>
          <w:rFonts w:ascii="Times New Roman" w:hAnsi="Times New Roman"/>
          <w:lang w:val="en-HK"/>
        </w:rPr>
        <w:t>:</w:t>
      </w:r>
    </w:p>
    <w:p w14:paraId="502A14F7"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Theft should address dishonest takings that disrupt ownership, while deception should focus on fraudulent acquisitions. Davies warns:</w:t>
      </w:r>
    </w:p>
    <w:p w14:paraId="43BEF07C" w14:textId="11E66E81"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“The conflation of theft and deception risks undermining the moral and legal boundaries of criminal liability.”</w:t>
      </w:r>
    </w:p>
    <w:p w14:paraId="0F1C911A" w14:textId="77777777" w:rsidR="005F784D" w:rsidRPr="005F784D" w:rsidRDefault="005F784D" w:rsidP="005F784D">
      <w:pPr>
        <w:numPr>
          <w:ilvl w:val="0"/>
          <w:numId w:val="10"/>
        </w:numPr>
        <w:spacing w:before="100" w:beforeAutospacing="1" w:after="100" w:afterAutospacing="1" w:line="360" w:lineRule="auto"/>
        <w:rPr>
          <w:rFonts w:ascii="Times New Roman" w:hAnsi="Times New Roman"/>
          <w:lang w:val="en-HK"/>
        </w:rPr>
      </w:pPr>
      <w:r w:rsidRPr="005F784D">
        <w:rPr>
          <w:rFonts w:ascii="Times New Roman" w:hAnsi="Times New Roman"/>
          <w:b/>
          <w:bCs/>
          <w:lang w:val="en-HK"/>
        </w:rPr>
        <w:t>Legislative Reform</w:t>
      </w:r>
      <w:r w:rsidRPr="005F784D">
        <w:rPr>
          <w:rFonts w:ascii="Times New Roman" w:hAnsi="Times New Roman"/>
          <w:lang w:val="en-HK"/>
        </w:rPr>
        <w:t>:</w:t>
      </w:r>
    </w:p>
    <w:p w14:paraId="55F753EE"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 xml:space="preserve">Parliament should amend the </w:t>
      </w:r>
      <w:r w:rsidRPr="005F784D">
        <w:rPr>
          <w:rFonts w:ascii="Times New Roman" w:hAnsi="Times New Roman"/>
          <w:b/>
          <w:bCs/>
          <w:lang w:val="en-HK"/>
        </w:rPr>
        <w:t>Theft Act 1968</w:t>
      </w:r>
      <w:r w:rsidRPr="005F784D">
        <w:rPr>
          <w:rFonts w:ascii="Times New Roman" w:hAnsi="Times New Roman"/>
          <w:lang w:val="en-HK"/>
        </w:rPr>
        <w:t xml:space="preserve"> to clarify the definitions of consent and appropriation and re-establish the distinction between theft and deception.</w:t>
      </w:r>
    </w:p>
    <w:p w14:paraId="0C5BC83A" w14:textId="77777777" w:rsidR="005F784D" w:rsidRPr="005F784D" w:rsidRDefault="008B210E" w:rsidP="005F784D">
      <w:pPr>
        <w:spacing w:line="360" w:lineRule="auto"/>
        <w:rPr>
          <w:rFonts w:ascii="Times New Roman" w:hAnsi="Times New Roman"/>
          <w:lang w:val="en-HK"/>
        </w:rPr>
      </w:pPr>
      <w:r w:rsidRPr="008B210E">
        <w:rPr>
          <w:rFonts w:ascii="Times New Roman" w:hAnsi="Times New Roman"/>
          <w:noProof/>
          <w:lang w:val="en-HK"/>
          <w14:ligatures w14:val="standardContextual"/>
        </w:rPr>
        <w:lastRenderedPageBreak/>
        <w:pict w14:anchorId="5FC2C0A1">
          <v:rect id="_x0000_i1025" alt="" style="width:451.3pt;height:.05pt;mso-width-percent:0;mso-height-percent:0;mso-width-percent:0;mso-height-percent:0" o:hralign="center" o:hrstd="t" o:hr="t" fillcolor="#a0a0a0" stroked="f"/>
        </w:pict>
      </w:r>
    </w:p>
    <w:p w14:paraId="381D08BA" w14:textId="77777777" w:rsidR="005F784D" w:rsidRPr="005F784D" w:rsidRDefault="005F784D" w:rsidP="005F784D">
      <w:pPr>
        <w:spacing w:before="100" w:beforeAutospacing="1" w:after="100" w:afterAutospacing="1" w:line="360" w:lineRule="auto"/>
        <w:outlineLvl w:val="3"/>
        <w:rPr>
          <w:rFonts w:ascii="Times New Roman" w:hAnsi="Times New Roman"/>
          <w:b/>
          <w:bCs/>
          <w:lang w:val="en-HK"/>
        </w:rPr>
      </w:pPr>
      <w:r w:rsidRPr="005F784D">
        <w:rPr>
          <w:rFonts w:ascii="Times New Roman" w:hAnsi="Times New Roman"/>
          <w:b/>
          <w:bCs/>
          <w:lang w:val="en-HK"/>
        </w:rPr>
        <w:t>Final Observation</w:t>
      </w:r>
    </w:p>
    <w:p w14:paraId="4CE48F20" w14:textId="77777777" w:rsidR="005F784D" w:rsidRPr="005F784D" w:rsidRDefault="005F784D" w:rsidP="005F784D">
      <w:pPr>
        <w:spacing w:before="100" w:beforeAutospacing="1" w:after="100" w:afterAutospacing="1" w:line="360" w:lineRule="auto"/>
        <w:rPr>
          <w:rFonts w:ascii="Times New Roman" w:hAnsi="Times New Roman"/>
          <w:lang w:val="en-HK"/>
        </w:rPr>
      </w:pPr>
      <w:r w:rsidRPr="005F784D">
        <w:rPr>
          <w:rFonts w:ascii="Times New Roman" w:hAnsi="Times New Roman"/>
          <w:lang w:val="en-HK"/>
        </w:rPr>
        <w:t>Davies emphasizes the need for a coherent and principled approach to theft law, concluding:</w:t>
      </w:r>
    </w:p>
    <w:p w14:paraId="7753AA5E" w14:textId="77777777" w:rsidR="005F784D" w:rsidRPr="005F784D" w:rsidRDefault="005F784D" w:rsidP="005F784D">
      <w:pPr>
        <w:spacing w:beforeAutospacing="1" w:afterAutospacing="1" w:line="360" w:lineRule="auto"/>
        <w:rPr>
          <w:rFonts w:ascii="Times New Roman" w:hAnsi="Times New Roman"/>
          <w:lang w:val="en-HK"/>
        </w:rPr>
      </w:pPr>
      <w:r w:rsidRPr="005F784D">
        <w:rPr>
          <w:rFonts w:ascii="Times New Roman" w:hAnsi="Times New Roman"/>
          <w:lang w:val="en-HK"/>
        </w:rPr>
        <w:t>“To restore clarity and fairness, theft law must balance its protective aims with ethical and systemic integrity, ensuring that criminal liability reflects genuine harm and moral culpability.”</w:t>
      </w:r>
    </w:p>
    <w:p w14:paraId="091321B9" w14:textId="77777777" w:rsidR="005F784D" w:rsidRPr="005F784D" w:rsidRDefault="005F784D" w:rsidP="005F784D">
      <w:pPr>
        <w:spacing w:beforeAutospacing="1" w:afterAutospacing="1" w:line="360" w:lineRule="auto"/>
        <w:rPr>
          <w:rFonts w:ascii="Times New Roman" w:hAnsi="Times New Roman"/>
          <w:lang w:val="en-HK"/>
        </w:rPr>
      </w:pPr>
    </w:p>
    <w:p w14:paraId="5051B25C" w14:textId="77777777" w:rsidR="00CD39F1" w:rsidRPr="005F784D" w:rsidRDefault="00CD39F1" w:rsidP="005F784D">
      <w:pPr>
        <w:spacing w:line="360" w:lineRule="auto"/>
      </w:pPr>
    </w:p>
    <w:sectPr w:rsidR="00CD39F1" w:rsidRPr="005F7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C25AD"/>
    <w:multiLevelType w:val="multilevel"/>
    <w:tmpl w:val="166441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FA0990"/>
    <w:multiLevelType w:val="multilevel"/>
    <w:tmpl w:val="39F0F4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C7E1258"/>
    <w:multiLevelType w:val="hybridMultilevel"/>
    <w:tmpl w:val="B93480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0571C8"/>
    <w:multiLevelType w:val="multilevel"/>
    <w:tmpl w:val="9C58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93A11"/>
    <w:multiLevelType w:val="multilevel"/>
    <w:tmpl w:val="DB76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0314F"/>
    <w:multiLevelType w:val="multilevel"/>
    <w:tmpl w:val="E79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02B0A"/>
    <w:multiLevelType w:val="multilevel"/>
    <w:tmpl w:val="D6E8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15102"/>
    <w:multiLevelType w:val="multilevel"/>
    <w:tmpl w:val="0C0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77BC3"/>
    <w:multiLevelType w:val="multilevel"/>
    <w:tmpl w:val="785A79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9F04E51"/>
    <w:multiLevelType w:val="multilevel"/>
    <w:tmpl w:val="A474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54905">
    <w:abstractNumId w:val="6"/>
  </w:num>
  <w:num w:numId="2" w16cid:durableId="33358398">
    <w:abstractNumId w:val="3"/>
  </w:num>
  <w:num w:numId="3" w16cid:durableId="707606080">
    <w:abstractNumId w:val="9"/>
  </w:num>
  <w:num w:numId="4" w16cid:durableId="352153213">
    <w:abstractNumId w:val="4"/>
  </w:num>
  <w:num w:numId="5" w16cid:durableId="1222518661">
    <w:abstractNumId w:val="0"/>
  </w:num>
  <w:num w:numId="6" w16cid:durableId="1832215159">
    <w:abstractNumId w:val="2"/>
  </w:num>
  <w:num w:numId="7" w16cid:durableId="1924141029">
    <w:abstractNumId w:val="8"/>
  </w:num>
  <w:num w:numId="8" w16cid:durableId="1473062473">
    <w:abstractNumId w:val="5"/>
  </w:num>
  <w:num w:numId="9" w16cid:durableId="1937442311">
    <w:abstractNumId w:val="7"/>
  </w:num>
  <w:num w:numId="10" w16cid:durableId="46747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E0"/>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772B4"/>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5F784D"/>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B210E"/>
    <w:rsid w:val="008C7B0A"/>
    <w:rsid w:val="008D0642"/>
    <w:rsid w:val="008E43C2"/>
    <w:rsid w:val="008E745B"/>
    <w:rsid w:val="008F4EA7"/>
    <w:rsid w:val="008F5A10"/>
    <w:rsid w:val="00905ED0"/>
    <w:rsid w:val="0093405B"/>
    <w:rsid w:val="0094782D"/>
    <w:rsid w:val="009519E0"/>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B6BD"/>
  <w15:chartTrackingRefBased/>
  <w15:docId w15:val="{0A277B88-20F7-3E44-876C-1AC596CA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51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19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519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519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519E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19E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19E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19E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9E0"/>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519E0"/>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519E0"/>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519E0"/>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519E0"/>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519E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519E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519E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519E0"/>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519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9E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519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9E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519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9E0"/>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519E0"/>
    <w:pPr>
      <w:ind w:left="720"/>
      <w:contextualSpacing/>
    </w:pPr>
  </w:style>
  <w:style w:type="character" w:styleId="IntenseEmphasis">
    <w:name w:val="Intense Emphasis"/>
    <w:basedOn w:val="DefaultParagraphFont"/>
    <w:uiPriority w:val="21"/>
    <w:qFormat/>
    <w:rsid w:val="009519E0"/>
    <w:rPr>
      <w:i/>
      <w:iCs/>
      <w:color w:val="2F5496" w:themeColor="accent1" w:themeShade="BF"/>
    </w:rPr>
  </w:style>
  <w:style w:type="paragraph" w:styleId="IntenseQuote">
    <w:name w:val="Intense Quote"/>
    <w:basedOn w:val="Normal"/>
    <w:next w:val="Normal"/>
    <w:link w:val="IntenseQuoteChar"/>
    <w:uiPriority w:val="30"/>
    <w:qFormat/>
    <w:rsid w:val="00951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9E0"/>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519E0"/>
    <w:rPr>
      <w:b/>
      <w:bCs/>
      <w:smallCaps/>
      <w:color w:val="2F5496" w:themeColor="accent1" w:themeShade="BF"/>
      <w:spacing w:val="5"/>
    </w:rPr>
  </w:style>
  <w:style w:type="character" w:styleId="Strong">
    <w:name w:val="Strong"/>
    <w:basedOn w:val="DefaultParagraphFont"/>
    <w:uiPriority w:val="22"/>
    <w:qFormat/>
    <w:rsid w:val="005F784D"/>
    <w:rPr>
      <w:b/>
      <w:bCs/>
    </w:rPr>
  </w:style>
  <w:style w:type="paragraph" w:styleId="NormalWeb">
    <w:name w:val="Normal (Web)"/>
    <w:basedOn w:val="Normal"/>
    <w:uiPriority w:val="99"/>
    <w:semiHidden/>
    <w:unhideWhenUsed/>
    <w:rsid w:val="005F784D"/>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646912">
      <w:bodyDiv w:val="1"/>
      <w:marLeft w:val="0"/>
      <w:marRight w:val="0"/>
      <w:marTop w:val="0"/>
      <w:marBottom w:val="0"/>
      <w:divBdr>
        <w:top w:val="none" w:sz="0" w:space="0" w:color="auto"/>
        <w:left w:val="none" w:sz="0" w:space="0" w:color="auto"/>
        <w:bottom w:val="none" w:sz="0" w:space="0" w:color="auto"/>
        <w:right w:val="none" w:sz="0" w:space="0" w:color="auto"/>
      </w:divBdr>
      <w:divsChild>
        <w:div w:id="955256527">
          <w:marLeft w:val="0"/>
          <w:marRight w:val="0"/>
          <w:marTop w:val="0"/>
          <w:marBottom w:val="0"/>
          <w:divBdr>
            <w:top w:val="none" w:sz="0" w:space="0" w:color="auto"/>
            <w:left w:val="none" w:sz="0" w:space="0" w:color="auto"/>
            <w:bottom w:val="none" w:sz="0" w:space="0" w:color="auto"/>
            <w:right w:val="none" w:sz="0" w:space="0" w:color="auto"/>
          </w:divBdr>
          <w:divsChild>
            <w:div w:id="2005621691">
              <w:marLeft w:val="0"/>
              <w:marRight w:val="0"/>
              <w:marTop w:val="0"/>
              <w:marBottom w:val="0"/>
              <w:divBdr>
                <w:top w:val="none" w:sz="0" w:space="0" w:color="auto"/>
                <w:left w:val="none" w:sz="0" w:space="0" w:color="auto"/>
                <w:bottom w:val="none" w:sz="0" w:space="0" w:color="auto"/>
                <w:right w:val="none" w:sz="0" w:space="0" w:color="auto"/>
              </w:divBdr>
              <w:divsChild>
                <w:div w:id="396900512">
                  <w:marLeft w:val="0"/>
                  <w:marRight w:val="0"/>
                  <w:marTop w:val="0"/>
                  <w:marBottom w:val="0"/>
                  <w:divBdr>
                    <w:top w:val="none" w:sz="0" w:space="0" w:color="auto"/>
                    <w:left w:val="none" w:sz="0" w:space="0" w:color="auto"/>
                    <w:bottom w:val="none" w:sz="0" w:space="0" w:color="auto"/>
                    <w:right w:val="none" w:sz="0" w:space="0" w:color="auto"/>
                  </w:divBdr>
                  <w:divsChild>
                    <w:div w:id="1576470856">
                      <w:marLeft w:val="0"/>
                      <w:marRight w:val="0"/>
                      <w:marTop w:val="0"/>
                      <w:marBottom w:val="0"/>
                      <w:divBdr>
                        <w:top w:val="none" w:sz="0" w:space="0" w:color="auto"/>
                        <w:left w:val="none" w:sz="0" w:space="0" w:color="auto"/>
                        <w:bottom w:val="none" w:sz="0" w:space="0" w:color="auto"/>
                        <w:right w:val="none" w:sz="0" w:space="0" w:color="auto"/>
                      </w:divBdr>
                      <w:divsChild>
                        <w:div w:id="628168264">
                          <w:marLeft w:val="0"/>
                          <w:marRight w:val="0"/>
                          <w:marTop w:val="0"/>
                          <w:marBottom w:val="0"/>
                          <w:divBdr>
                            <w:top w:val="none" w:sz="0" w:space="0" w:color="auto"/>
                            <w:left w:val="none" w:sz="0" w:space="0" w:color="auto"/>
                            <w:bottom w:val="none" w:sz="0" w:space="0" w:color="auto"/>
                            <w:right w:val="none" w:sz="0" w:space="0" w:color="auto"/>
                          </w:divBdr>
                          <w:divsChild>
                            <w:div w:id="1515681761">
                              <w:marLeft w:val="0"/>
                              <w:marRight w:val="0"/>
                              <w:marTop w:val="0"/>
                              <w:marBottom w:val="0"/>
                              <w:divBdr>
                                <w:top w:val="none" w:sz="0" w:space="0" w:color="auto"/>
                                <w:left w:val="none" w:sz="0" w:space="0" w:color="auto"/>
                                <w:bottom w:val="none" w:sz="0" w:space="0" w:color="auto"/>
                                <w:right w:val="none" w:sz="0" w:space="0" w:color="auto"/>
                              </w:divBdr>
                              <w:divsChild>
                                <w:div w:id="1193573287">
                                  <w:marLeft w:val="0"/>
                                  <w:marRight w:val="0"/>
                                  <w:marTop w:val="0"/>
                                  <w:marBottom w:val="0"/>
                                  <w:divBdr>
                                    <w:top w:val="none" w:sz="0" w:space="0" w:color="auto"/>
                                    <w:left w:val="none" w:sz="0" w:space="0" w:color="auto"/>
                                    <w:bottom w:val="none" w:sz="0" w:space="0" w:color="auto"/>
                                    <w:right w:val="none" w:sz="0" w:space="0" w:color="auto"/>
                                  </w:divBdr>
                                  <w:divsChild>
                                    <w:div w:id="238713076">
                                      <w:marLeft w:val="0"/>
                                      <w:marRight w:val="0"/>
                                      <w:marTop w:val="0"/>
                                      <w:marBottom w:val="0"/>
                                      <w:divBdr>
                                        <w:top w:val="none" w:sz="0" w:space="0" w:color="auto"/>
                                        <w:left w:val="none" w:sz="0" w:space="0" w:color="auto"/>
                                        <w:bottom w:val="none" w:sz="0" w:space="0" w:color="auto"/>
                                        <w:right w:val="none" w:sz="0" w:space="0" w:color="auto"/>
                                      </w:divBdr>
                                      <w:divsChild>
                                        <w:div w:id="335765438">
                                          <w:marLeft w:val="0"/>
                                          <w:marRight w:val="0"/>
                                          <w:marTop w:val="0"/>
                                          <w:marBottom w:val="0"/>
                                          <w:divBdr>
                                            <w:top w:val="none" w:sz="0" w:space="0" w:color="auto"/>
                                            <w:left w:val="none" w:sz="0" w:space="0" w:color="auto"/>
                                            <w:bottom w:val="none" w:sz="0" w:space="0" w:color="auto"/>
                                            <w:right w:val="none" w:sz="0" w:space="0" w:color="auto"/>
                                          </w:divBdr>
                                          <w:divsChild>
                                            <w:div w:id="231696932">
                                              <w:marLeft w:val="0"/>
                                              <w:marRight w:val="0"/>
                                              <w:marTop w:val="0"/>
                                              <w:marBottom w:val="0"/>
                                              <w:divBdr>
                                                <w:top w:val="none" w:sz="0" w:space="0" w:color="auto"/>
                                                <w:left w:val="none" w:sz="0" w:space="0" w:color="auto"/>
                                                <w:bottom w:val="none" w:sz="0" w:space="0" w:color="auto"/>
                                                <w:right w:val="none" w:sz="0" w:space="0" w:color="auto"/>
                                              </w:divBdr>
                                              <w:divsChild>
                                                <w:div w:id="1449200724">
                                                  <w:marLeft w:val="0"/>
                                                  <w:marRight w:val="0"/>
                                                  <w:marTop w:val="0"/>
                                                  <w:marBottom w:val="0"/>
                                                  <w:divBdr>
                                                    <w:top w:val="none" w:sz="0" w:space="0" w:color="auto"/>
                                                    <w:left w:val="none" w:sz="0" w:space="0" w:color="auto"/>
                                                    <w:bottom w:val="none" w:sz="0" w:space="0" w:color="auto"/>
                                                    <w:right w:val="none" w:sz="0" w:space="0" w:color="auto"/>
                                                  </w:divBdr>
                                                  <w:divsChild>
                                                    <w:div w:id="363213973">
                                                      <w:marLeft w:val="0"/>
                                                      <w:marRight w:val="0"/>
                                                      <w:marTop w:val="0"/>
                                                      <w:marBottom w:val="0"/>
                                                      <w:divBdr>
                                                        <w:top w:val="none" w:sz="0" w:space="0" w:color="auto"/>
                                                        <w:left w:val="none" w:sz="0" w:space="0" w:color="auto"/>
                                                        <w:bottom w:val="none" w:sz="0" w:space="0" w:color="auto"/>
                                                        <w:right w:val="none" w:sz="0" w:space="0" w:color="auto"/>
                                                      </w:divBdr>
                                                      <w:divsChild>
                                                        <w:div w:id="826093922">
                                                          <w:marLeft w:val="0"/>
                                                          <w:marRight w:val="0"/>
                                                          <w:marTop w:val="0"/>
                                                          <w:marBottom w:val="0"/>
                                                          <w:divBdr>
                                                            <w:top w:val="none" w:sz="0" w:space="0" w:color="auto"/>
                                                            <w:left w:val="none" w:sz="0" w:space="0" w:color="auto"/>
                                                            <w:bottom w:val="none" w:sz="0" w:space="0" w:color="auto"/>
                                                            <w:right w:val="none" w:sz="0" w:space="0" w:color="auto"/>
                                                          </w:divBdr>
                                                          <w:divsChild>
                                                            <w:div w:id="55589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523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689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24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64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4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06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358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45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66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2461035">
      <w:bodyDiv w:val="1"/>
      <w:marLeft w:val="0"/>
      <w:marRight w:val="0"/>
      <w:marTop w:val="0"/>
      <w:marBottom w:val="0"/>
      <w:divBdr>
        <w:top w:val="none" w:sz="0" w:space="0" w:color="auto"/>
        <w:left w:val="none" w:sz="0" w:space="0" w:color="auto"/>
        <w:bottom w:val="none" w:sz="0" w:space="0" w:color="auto"/>
        <w:right w:val="none" w:sz="0" w:space="0" w:color="auto"/>
      </w:divBdr>
      <w:divsChild>
        <w:div w:id="86968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902255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48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248928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63693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0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1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88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453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01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920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50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56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96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875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1936</Words>
  <Characters>11040</Characters>
  <Application>Microsoft Office Word</Application>
  <DocSecurity>0</DocSecurity>
  <Lines>92</Lines>
  <Paragraphs>25</Paragraphs>
  <ScaleCrop>false</ScaleCrop>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2025-01-14T16:27:00Z</dcterms:created>
  <dcterms:modified xsi:type="dcterms:W3CDTF">2025-01-14T16:44:00Z</dcterms:modified>
</cp:coreProperties>
</file>