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ECCEA" w14:textId="77777777" w:rsidR="00FE2BDC" w:rsidRPr="00F55235" w:rsidRDefault="00FE2BDC" w:rsidP="00FE2BDC">
      <w:pPr>
        <w:spacing w:before="100" w:beforeAutospacing="1" w:after="100" w:afterAutospacing="1" w:line="360" w:lineRule="auto"/>
        <w:outlineLvl w:val="2"/>
        <w:rPr>
          <w:rFonts w:ascii="Times New Roman" w:hAnsi="Times New Roman"/>
          <w:b/>
          <w:bCs/>
          <w:lang w:val="en-HK"/>
        </w:rPr>
      </w:pPr>
      <w:r w:rsidRPr="00F55235">
        <w:rPr>
          <w:rFonts w:ascii="Times New Roman" w:hAnsi="Times New Roman"/>
          <w:b/>
          <w:bCs/>
          <w:lang w:val="en-HK"/>
        </w:rPr>
        <w:t>1. The Evolution of Appropriation in Theft Law</w:t>
      </w:r>
    </w:p>
    <w:p w14:paraId="02D83276"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Statutory Framework</w:t>
      </w:r>
    </w:p>
    <w:p w14:paraId="3B147950"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The </w:t>
      </w:r>
      <w:r w:rsidRPr="00F55235">
        <w:rPr>
          <w:rFonts w:ascii="Times New Roman" w:hAnsi="Times New Roman"/>
          <w:b/>
          <w:bCs/>
          <w:lang w:val="en-HK"/>
        </w:rPr>
        <w:t>Theft Act 1968</w:t>
      </w:r>
      <w:r w:rsidRPr="00F55235">
        <w:rPr>
          <w:rFonts w:ascii="Times New Roman" w:hAnsi="Times New Roman"/>
          <w:lang w:val="en-HK"/>
        </w:rPr>
        <w:t xml:space="preserve"> replaced the Larceny Act 1916, redefining the elements of theft. Section 1(1) states:</w:t>
      </w:r>
    </w:p>
    <w:p w14:paraId="1B7EBE7F" w14:textId="77777777" w:rsidR="00FE2BDC" w:rsidRPr="00F55235" w:rsidRDefault="00FE2BDC" w:rsidP="00FE2BDC">
      <w:pPr>
        <w:spacing w:beforeAutospacing="1" w:afterAutospacing="1" w:line="360" w:lineRule="auto"/>
        <w:rPr>
          <w:rFonts w:ascii="Times New Roman" w:hAnsi="Times New Roman"/>
          <w:lang w:val="en-HK"/>
        </w:rPr>
      </w:pPr>
      <w:r w:rsidRPr="00F55235">
        <w:rPr>
          <w:rFonts w:ascii="Times New Roman" w:hAnsi="Times New Roman"/>
          <w:lang w:val="en-HK"/>
        </w:rPr>
        <w:t>“A person is guilty of theft if he dishonestly appropriates property belonging to another with the intention of permanently depriving the other of it.”</w:t>
      </w:r>
    </w:p>
    <w:p w14:paraId="685EBCBD"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Section 3(1) defines appropriation as:</w:t>
      </w:r>
    </w:p>
    <w:p w14:paraId="157B9E1E" w14:textId="77777777" w:rsidR="00FE2BDC" w:rsidRPr="00F55235" w:rsidRDefault="00FE2BDC" w:rsidP="00FE2BDC">
      <w:pPr>
        <w:spacing w:beforeAutospacing="1" w:afterAutospacing="1" w:line="360" w:lineRule="auto"/>
        <w:rPr>
          <w:rFonts w:ascii="Times New Roman" w:hAnsi="Times New Roman"/>
          <w:lang w:val="en-HK"/>
        </w:rPr>
      </w:pPr>
      <w:r w:rsidRPr="00F55235">
        <w:rPr>
          <w:rFonts w:ascii="Times New Roman" w:hAnsi="Times New Roman"/>
          <w:lang w:val="en-HK"/>
        </w:rPr>
        <w:t>“Any assumption by a person of the rights of an owner… including any later assumption of a right to it by keeping or dealing with it as owner.”</w:t>
      </w:r>
    </w:p>
    <w:p w14:paraId="426D9740"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move from "taking and carrying away" under the Larceny Act to the broader concept of "appropriation" was intended to modernize theft law but introduced ambiguities and inconsistencies, particularly around consent and ownership.</w:t>
      </w:r>
    </w:p>
    <w:p w14:paraId="01504E7E"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2EB8774C">
          <v:rect id="_x0000_i1046" alt="" style="width:451.3pt;height:.05pt;mso-width-percent:0;mso-height-percent:0;mso-width-percent:0;mso-height-percent:0" o:hralign="center" o:hrstd="t" o:hr="t" fillcolor="#a0a0a0" stroked="f"/>
        </w:pict>
      </w:r>
    </w:p>
    <w:p w14:paraId="00DFDBE5"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R v Lawrence [1972] AC 626</w:t>
      </w:r>
    </w:p>
    <w:p w14:paraId="27038270"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Facts</w:t>
      </w:r>
      <w:r w:rsidRPr="00F55235">
        <w:rPr>
          <w:rFonts w:ascii="Times New Roman" w:hAnsi="Times New Roman"/>
          <w:lang w:val="en-HK"/>
        </w:rPr>
        <w:t>:</w:t>
      </w:r>
    </w:p>
    <w:p w14:paraId="4CAFC209"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A taxi driver, Lawrence, overcharged an Italian student, </w:t>
      </w:r>
      <w:proofErr w:type="spellStart"/>
      <w:r w:rsidRPr="00F55235">
        <w:rPr>
          <w:rFonts w:ascii="Times New Roman" w:hAnsi="Times New Roman"/>
          <w:lang w:val="en-HK"/>
        </w:rPr>
        <w:t>Occhi</w:t>
      </w:r>
      <w:proofErr w:type="spellEnd"/>
      <w:r w:rsidRPr="00F55235">
        <w:rPr>
          <w:rFonts w:ascii="Times New Roman" w:hAnsi="Times New Roman"/>
          <w:lang w:val="en-HK"/>
        </w:rPr>
        <w:t xml:space="preserve">, by taking more money from his wallet than the legal fare. </w:t>
      </w:r>
      <w:proofErr w:type="spellStart"/>
      <w:r w:rsidRPr="00F55235">
        <w:rPr>
          <w:rFonts w:ascii="Times New Roman" w:hAnsi="Times New Roman"/>
          <w:lang w:val="en-HK"/>
        </w:rPr>
        <w:t>Occhi</w:t>
      </w:r>
      <w:proofErr w:type="spellEnd"/>
      <w:r w:rsidRPr="00F55235">
        <w:rPr>
          <w:rFonts w:ascii="Times New Roman" w:hAnsi="Times New Roman"/>
          <w:lang w:val="en-HK"/>
        </w:rPr>
        <w:t>, unaware of the proper fare due to language barriers, allowed Lawrence to take the money.</w:t>
      </w:r>
    </w:p>
    <w:p w14:paraId="0DB3BF6F"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Judgment</w:t>
      </w:r>
      <w:r w:rsidRPr="00F55235">
        <w:rPr>
          <w:rFonts w:ascii="Times New Roman" w:hAnsi="Times New Roman"/>
          <w:lang w:val="en-HK"/>
        </w:rPr>
        <w:t>:</w:t>
      </w:r>
    </w:p>
    <w:p w14:paraId="43C3AD43"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The House of Lords held that appropriation is a neutral act that does not depend on the victim’s consent. Viscount </w:t>
      </w:r>
      <w:proofErr w:type="spellStart"/>
      <w:r w:rsidRPr="00F55235">
        <w:rPr>
          <w:rFonts w:ascii="Times New Roman" w:hAnsi="Times New Roman"/>
          <w:lang w:val="en-HK"/>
        </w:rPr>
        <w:t>Dilhorne</w:t>
      </w:r>
      <w:proofErr w:type="spellEnd"/>
      <w:r w:rsidRPr="00F55235">
        <w:rPr>
          <w:rFonts w:ascii="Times New Roman" w:hAnsi="Times New Roman"/>
          <w:lang w:val="en-HK"/>
        </w:rPr>
        <w:t xml:space="preserve"> stated:</w:t>
      </w:r>
    </w:p>
    <w:p w14:paraId="44DAB610" w14:textId="77777777" w:rsidR="00FE2BDC" w:rsidRPr="00F55235" w:rsidRDefault="00FE2BDC" w:rsidP="00FE2BDC">
      <w:pPr>
        <w:spacing w:beforeAutospacing="1" w:afterAutospacing="1" w:line="360" w:lineRule="auto"/>
        <w:rPr>
          <w:rFonts w:ascii="Times New Roman" w:hAnsi="Times New Roman"/>
          <w:lang w:val="en-HK"/>
        </w:rPr>
      </w:pPr>
      <w:r w:rsidRPr="00F55235">
        <w:rPr>
          <w:rFonts w:ascii="Times New Roman" w:hAnsi="Times New Roman"/>
          <w:lang w:val="en-HK"/>
        </w:rPr>
        <w:t>“Belief or the absence of belief that the owner had with such knowledge consented to the appropriation is relevant to the issue of dishonesty, not to the question whether or not there has been an appropriation.”</w:t>
      </w:r>
    </w:p>
    <w:p w14:paraId="15874BAC"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lastRenderedPageBreak/>
        <w:t>Impact</w:t>
      </w:r>
      <w:r w:rsidRPr="00F55235">
        <w:rPr>
          <w:rFonts w:ascii="Times New Roman" w:hAnsi="Times New Roman"/>
          <w:lang w:val="en-HK"/>
        </w:rPr>
        <w:t>:</w:t>
      </w:r>
    </w:p>
    <w:p w14:paraId="026EC062" w14:textId="77777777" w:rsidR="00FE2BDC" w:rsidRPr="00F55235" w:rsidRDefault="00FE2BDC" w:rsidP="00FE2BDC">
      <w:pPr>
        <w:numPr>
          <w:ilvl w:val="2"/>
          <w:numId w:val="1"/>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ruling detached appropriation from the absence of consent, making the actus reus of theft broader and more neutral in application.</w:t>
      </w:r>
    </w:p>
    <w:p w14:paraId="6DD71A3C"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Critique</w:t>
      </w:r>
      <w:r w:rsidRPr="00F55235">
        <w:rPr>
          <w:rFonts w:ascii="Times New Roman" w:hAnsi="Times New Roman"/>
          <w:lang w:val="en-HK"/>
        </w:rPr>
        <w:t>:</w:t>
      </w:r>
    </w:p>
    <w:p w14:paraId="70165733"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Clements argues that this interpretation risks conflating theft with deception, as appropriation no longer requires adverse interference with the owner’s rights.</w:t>
      </w:r>
    </w:p>
    <w:p w14:paraId="241C2369"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3140A141">
          <v:rect id="_x0000_i1045" alt="" style="width:451.3pt;height:.05pt;mso-width-percent:0;mso-height-percent:0;mso-width-percent:0;mso-height-percent:0" o:hralign="center" o:hrstd="t" o:hr="t" fillcolor="#a0a0a0" stroked="f"/>
        </w:pict>
      </w:r>
    </w:p>
    <w:p w14:paraId="66872B90"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R v Morris [1984] AC 320</w:t>
      </w:r>
    </w:p>
    <w:p w14:paraId="6A9F2AE5"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Facts</w:t>
      </w:r>
      <w:r w:rsidRPr="00F55235">
        <w:rPr>
          <w:rFonts w:ascii="Times New Roman" w:hAnsi="Times New Roman"/>
          <w:lang w:val="en-HK"/>
        </w:rPr>
        <w:t>:</w:t>
      </w:r>
    </w:p>
    <w:p w14:paraId="773D8F7F" w14:textId="77777777" w:rsidR="00FE2BDC" w:rsidRPr="00F55235" w:rsidRDefault="00FE2BDC" w:rsidP="000501D1">
      <w:pPr>
        <w:spacing w:before="100" w:beforeAutospacing="1" w:after="100" w:afterAutospacing="1" w:line="360" w:lineRule="auto"/>
        <w:ind w:left="720"/>
        <w:rPr>
          <w:rFonts w:ascii="Times New Roman" w:hAnsi="Times New Roman"/>
          <w:lang w:val="en-HK"/>
        </w:rPr>
      </w:pPr>
      <w:r w:rsidRPr="00F55235">
        <w:rPr>
          <w:rFonts w:ascii="Times New Roman" w:hAnsi="Times New Roman"/>
          <w:lang w:val="en-HK"/>
        </w:rPr>
        <w:t>Two defendants switched price labels on goods in a supermarket to pay less. One defendant succeeded in purchasing items; the other was caught before completing the act.</w:t>
      </w:r>
    </w:p>
    <w:p w14:paraId="0FB6E217"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Judgment</w:t>
      </w:r>
      <w:r w:rsidRPr="00F55235">
        <w:rPr>
          <w:rFonts w:ascii="Times New Roman" w:hAnsi="Times New Roman"/>
          <w:lang w:val="en-HK"/>
        </w:rPr>
        <w:t>:</w:t>
      </w:r>
    </w:p>
    <w:p w14:paraId="760C55DB" w14:textId="77777777" w:rsidR="00FE2BDC" w:rsidRPr="00F55235" w:rsidRDefault="00FE2BDC" w:rsidP="000501D1">
      <w:pPr>
        <w:spacing w:before="100" w:beforeAutospacing="1" w:after="100" w:afterAutospacing="1" w:line="360" w:lineRule="auto"/>
        <w:ind w:left="720"/>
        <w:rPr>
          <w:rFonts w:ascii="Times New Roman" w:hAnsi="Times New Roman"/>
          <w:lang w:val="en-HK"/>
        </w:rPr>
      </w:pPr>
      <w:r w:rsidRPr="00F55235">
        <w:rPr>
          <w:rFonts w:ascii="Times New Roman" w:hAnsi="Times New Roman"/>
          <w:lang w:val="en-HK"/>
        </w:rPr>
        <w:t>The House of Lords ruled that appropriation involves an adverse interference or usurpation of the owner’s rights. Lord Roskill explained:</w:t>
      </w:r>
    </w:p>
    <w:p w14:paraId="5246BA07" w14:textId="77777777" w:rsidR="00FE2BDC" w:rsidRPr="000501D1" w:rsidRDefault="00FE2BDC" w:rsidP="000501D1">
      <w:pPr>
        <w:spacing w:beforeAutospacing="1" w:afterAutospacing="1" w:line="360" w:lineRule="auto"/>
        <w:ind w:left="2160"/>
        <w:rPr>
          <w:rFonts w:ascii="Times New Roman" w:hAnsi="Times New Roman"/>
          <w:lang w:val="en-HK"/>
        </w:rPr>
      </w:pPr>
      <w:r w:rsidRPr="000501D1">
        <w:rPr>
          <w:rFonts w:ascii="Times New Roman" w:hAnsi="Times New Roman"/>
          <w:lang w:val="en-HK"/>
        </w:rPr>
        <w:t>“Appropriation involves not an act authorized by the owner but an act by way of adverse interference with or usurpation of those rights.”</w:t>
      </w:r>
    </w:p>
    <w:p w14:paraId="7E5B87F7" w14:textId="77777777" w:rsidR="00FE2BDC" w:rsidRPr="00F55235" w:rsidRDefault="00FE2BDC" w:rsidP="000501D1">
      <w:pPr>
        <w:spacing w:before="100" w:beforeAutospacing="1" w:after="100" w:afterAutospacing="1" w:line="360" w:lineRule="auto"/>
        <w:ind w:left="720"/>
        <w:rPr>
          <w:rFonts w:ascii="Times New Roman" w:hAnsi="Times New Roman"/>
          <w:lang w:val="en-HK"/>
        </w:rPr>
      </w:pPr>
      <w:r w:rsidRPr="00F55235">
        <w:rPr>
          <w:rFonts w:ascii="Times New Roman" w:hAnsi="Times New Roman"/>
          <w:lang w:val="en-HK"/>
        </w:rPr>
        <w:t>The court emphasized that dishonesty and appropriation are distinct elements of theft, rejecting the notion that the mere assumption of rights constitutes appropriation.</w:t>
      </w:r>
    </w:p>
    <w:p w14:paraId="187BFE60"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Critique</w:t>
      </w:r>
      <w:r w:rsidRPr="00F55235">
        <w:rPr>
          <w:rFonts w:ascii="Times New Roman" w:hAnsi="Times New Roman"/>
          <w:lang w:val="en-HK"/>
        </w:rPr>
        <w:t>:</w:t>
      </w:r>
    </w:p>
    <w:p w14:paraId="67DA7513" w14:textId="77777777" w:rsidR="00FE2BDC" w:rsidRPr="00F55235" w:rsidRDefault="00FE2BDC" w:rsidP="000501D1">
      <w:pPr>
        <w:spacing w:before="100" w:beforeAutospacing="1" w:after="100" w:afterAutospacing="1" w:line="360" w:lineRule="auto"/>
        <w:ind w:left="720"/>
        <w:rPr>
          <w:rFonts w:ascii="Times New Roman" w:hAnsi="Times New Roman"/>
          <w:lang w:val="en-HK"/>
        </w:rPr>
      </w:pPr>
      <w:r w:rsidRPr="00F55235">
        <w:rPr>
          <w:rFonts w:ascii="Times New Roman" w:hAnsi="Times New Roman"/>
          <w:lang w:val="en-HK"/>
        </w:rPr>
        <w:t>Morris implicitly tied appropriation to the absence of consent, diverging from Lawrence’s neutral approach. Clements notes:</w:t>
      </w:r>
    </w:p>
    <w:p w14:paraId="42CA4FB1" w14:textId="77777777" w:rsidR="00FE2BDC" w:rsidRPr="000501D1" w:rsidRDefault="00FE2BDC" w:rsidP="000501D1">
      <w:pPr>
        <w:spacing w:beforeAutospacing="1" w:afterAutospacing="1" w:line="360" w:lineRule="auto"/>
        <w:ind w:left="2160"/>
        <w:rPr>
          <w:rFonts w:ascii="Times New Roman" w:hAnsi="Times New Roman"/>
          <w:lang w:val="en-HK"/>
        </w:rPr>
      </w:pPr>
      <w:r w:rsidRPr="000501D1">
        <w:rPr>
          <w:rFonts w:ascii="Times New Roman" w:hAnsi="Times New Roman"/>
          <w:lang w:val="en-HK"/>
        </w:rPr>
        <w:lastRenderedPageBreak/>
        <w:t>“Lord Roskill’s interpretation attempts to restore a degree of fairness by focusing on wrongful acts, but it leaves the law inconsistent with the principles laid out in Lawrence.”</w:t>
      </w:r>
    </w:p>
    <w:p w14:paraId="66600174"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4ED6F21F">
          <v:rect id="_x0000_i1044" alt="" style="width:451.3pt;height:.05pt;mso-width-percent:0;mso-height-percent:0;mso-width-percent:0;mso-height-percent:0" o:hralign="center" o:hrstd="t" o:hr="t" fillcolor="#a0a0a0" stroked="f"/>
        </w:pict>
      </w:r>
    </w:p>
    <w:p w14:paraId="0C24BC46"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Dobson v General Accident Assurance Corp [1989] 3 All ER 927</w:t>
      </w:r>
    </w:p>
    <w:p w14:paraId="785789F1"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Facts</w:t>
      </w:r>
      <w:r w:rsidRPr="00F55235">
        <w:rPr>
          <w:rFonts w:ascii="Times New Roman" w:hAnsi="Times New Roman"/>
          <w:lang w:val="en-HK"/>
        </w:rPr>
        <w:t>:</w:t>
      </w:r>
    </w:p>
    <w:p w14:paraId="5153CB73" w14:textId="77777777" w:rsidR="00FE2BDC" w:rsidRPr="00F55235" w:rsidRDefault="00FE2BDC" w:rsidP="000501D1">
      <w:pPr>
        <w:spacing w:before="100" w:beforeAutospacing="1" w:after="100" w:afterAutospacing="1" w:line="360" w:lineRule="auto"/>
        <w:ind w:left="720"/>
        <w:rPr>
          <w:rFonts w:ascii="Times New Roman" w:hAnsi="Times New Roman"/>
          <w:lang w:val="en-HK"/>
        </w:rPr>
      </w:pPr>
      <w:r w:rsidRPr="00F55235">
        <w:rPr>
          <w:rFonts w:ascii="Times New Roman" w:hAnsi="Times New Roman"/>
          <w:lang w:val="en-HK"/>
        </w:rPr>
        <w:t xml:space="preserve">The plaintiff sold a Rolex watch and diamond ring to a rogue in exchange for a stolen cheque. When the cheque was </w:t>
      </w:r>
      <w:proofErr w:type="spellStart"/>
      <w:r w:rsidRPr="00F55235">
        <w:rPr>
          <w:rFonts w:ascii="Times New Roman" w:hAnsi="Times New Roman"/>
          <w:lang w:val="en-HK"/>
        </w:rPr>
        <w:t>dishonored</w:t>
      </w:r>
      <w:proofErr w:type="spellEnd"/>
      <w:r w:rsidRPr="00F55235">
        <w:rPr>
          <w:rFonts w:ascii="Times New Roman" w:hAnsi="Times New Roman"/>
          <w:lang w:val="en-HK"/>
        </w:rPr>
        <w:t>, the plaintiff sought compensation under an insurance policy for theft. The insurer denied liability, arguing that the transaction did not constitute theft.</w:t>
      </w:r>
    </w:p>
    <w:p w14:paraId="16B0E002"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Judgment</w:t>
      </w:r>
      <w:r w:rsidRPr="00F55235">
        <w:rPr>
          <w:rFonts w:ascii="Times New Roman" w:hAnsi="Times New Roman"/>
          <w:lang w:val="en-HK"/>
        </w:rPr>
        <w:t>:</w:t>
      </w:r>
    </w:p>
    <w:p w14:paraId="1A8E6F6A" w14:textId="77777777" w:rsidR="00FE2BDC" w:rsidRPr="00F55235" w:rsidRDefault="00FE2BDC" w:rsidP="000501D1">
      <w:pPr>
        <w:spacing w:before="100" w:beforeAutospacing="1" w:after="100" w:afterAutospacing="1" w:line="360" w:lineRule="auto"/>
        <w:ind w:left="720"/>
        <w:rPr>
          <w:rFonts w:ascii="Times New Roman" w:hAnsi="Times New Roman"/>
          <w:lang w:val="en-HK"/>
        </w:rPr>
      </w:pPr>
      <w:r w:rsidRPr="00F55235">
        <w:rPr>
          <w:rFonts w:ascii="Times New Roman" w:hAnsi="Times New Roman"/>
          <w:lang w:val="en-HK"/>
        </w:rPr>
        <w:t>The Court of Appeal ruled that appropriation occurred at the moment the goods were delivered, as the rogue assumed the rights of an owner. Lord Justice Parker, relying on Lawrence, concluded:</w:t>
      </w:r>
    </w:p>
    <w:p w14:paraId="6555024F" w14:textId="77777777" w:rsidR="00FE2BDC" w:rsidRPr="000501D1" w:rsidRDefault="00FE2BDC" w:rsidP="000501D1">
      <w:pPr>
        <w:spacing w:beforeAutospacing="1" w:afterAutospacing="1" w:line="360" w:lineRule="auto"/>
        <w:ind w:left="2160"/>
        <w:rPr>
          <w:rFonts w:ascii="Times New Roman" w:hAnsi="Times New Roman"/>
          <w:lang w:val="en-HK"/>
        </w:rPr>
      </w:pPr>
      <w:r w:rsidRPr="000501D1">
        <w:rPr>
          <w:rFonts w:ascii="Times New Roman" w:hAnsi="Times New Roman"/>
          <w:lang w:val="en-HK"/>
        </w:rPr>
        <w:t>“The making of the contract constituted the appropriation, as it was at that time the rogue assumed the rights of an owner.”</w:t>
      </w:r>
    </w:p>
    <w:p w14:paraId="09467183"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Critique</w:t>
      </w:r>
      <w:r w:rsidRPr="00F55235">
        <w:rPr>
          <w:rFonts w:ascii="Times New Roman" w:hAnsi="Times New Roman"/>
          <w:lang w:val="en-HK"/>
        </w:rPr>
        <w:t>:</w:t>
      </w:r>
    </w:p>
    <w:p w14:paraId="6E7D55C6" w14:textId="77777777" w:rsidR="00FE2BDC" w:rsidRPr="00F55235" w:rsidRDefault="00FE2BDC" w:rsidP="000501D1">
      <w:pPr>
        <w:spacing w:before="100" w:beforeAutospacing="1" w:after="100" w:afterAutospacing="1" w:line="360" w:lineRule="auto"/>
        <w:ind w:left="720"/>
        <w:rPr>
          <w:rFonts w:ascii="Times New Roman" w:hAnsi="Times New Roman"/>
          <w:lang w:val="en-HK"/>
        </w:rPr>
      </w:pPr>
      <w:r w:rsidRPr="00F55235">
        <w:rPr>
          <w:rFonts w:ascii="Times New Roman" w:hAnsi="Times New Roman"/>
          <w:lang w:val="en-HK"/>
        </w:rPr>
        <w:t>Clements criticizes the decision for conflating civil and criminal principles, noting:</w:t>
      </w:r>
    </w:p>
    <w:p w14:paraId="59508D0E" w14:textId="77777777" w:rsidR="00FE2BDC" w:rsidRPr="000501D1" w:rsidRDefault="00FE2BDC" w:rsidP="000501D1">
      <w:pPr>
        <w:spacing w:beforeAutospacing="1" w:afterAutospacing="1" w:line="360" w:lineRule="auto"/>
        <w:ind w:left="2160"/>
        <w:rPr>
          <w:rFonts w:ascii="Times New Roman" w:hAnsi="Times New Roman"/>
          <w:lang w:val="en-HK"/>
        </w:rPr>
      </w:pPr>
      <w:r w:rsidRPr="000501D1">
        <w:rPr>
          <w:rFonts w:ascii="Times New Roman" w:hAnsi="Times New Roman"/>
          <w:lang w:val="en-HK"/>
        </w:rPr>
        <w:t>“If the rogue becomes the owner under civil law, it is difficult to reconcile this with the criminal notion of appropriation, which presupposes a lack of ownership.”</w:t>
      </w:r>
    </w:p>
    <w:p w14:paraId="02404328" w14:textId="77777777" w:rsidR="00FE2BDC" w:rsidRPr="00F55235" w:rsidRDefault="00FE2BDC" w:rsidP="000501D1">
      <w:pPr>
        <w:spacing w:before="100" w:beforeAutospacing="1" w:after="100" w:afterAutospacing="1" w:line="360" w:lineRule="auto"/>
        <w:ind w:left="720"/>
        <w:rPr>
          <w:rFonts w:ascii="Times New Roman" w:hAnsi="Times New Roman"/>
          <w:lang w:val="en-HK"/>
        </w:rPr>
      </w:pPr>
      <w:r w:rsidRPr="00F55235">
        <w:rPr>
          <w:rFonts w:ascii="Times New Roman" w:hAnsi="Times New Roman"/>
          <w:lang w:val="en-HK"/>
        </w:rPr>
        <w:t xml:space="preserve">The case also highlighted tensions between the </w:t>
      </w:r>
      <w:r w:rsidRPr="00F55235">
        <w:rPr>
          <w:rFonts w:ascii="Times New Roman" w:hAnsi="Times New Roman"/>
          <w:b/>
          <w:bCs/>
          <w:lang w:val="en-HK"/>
        </w:rPr>
        <w:t>Theft Act 1968</w:t>
      </w:r>
      <w:r w:rsidRPr="00F55235">
        <w:rPr>
          <w:rFonts w:ascii="Times New Roman" w:hAnsi="Times New Roman"/>
          <w:lang w:val="en-HK"/>
        </w:rPr>
        <w:t xml:space="preserve"> and the </w:t>
      </w:r>
      <w:r w:rsidRPr="00F55235">
        <w:rPr>
          <w:rFonts w:ascii="Times New Roman" w:hAnsi="Times New Roman"/>
          <w:b/>
          <w:bCs/>
          <w:lang w:val="en-HK"/>
        </w:rPr>
        <w:t>Sale of Goods Act 1979</w:t>
      </w:r>
      <w:r w:rsidRPr="00F55235">
        <w:rPr>
          <w:rFonts w:ascii="Times New Roman" w:hAnsi="Times New Roman"/>
          <w:lang w:val="en-HK"/>
        </w:rPr>
        <w:t>, particularly around when property passes under civil law.</w:t>
      </w:r>
    </w:p>
    <w:p w14:paraId="765D0CAD"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30350ACA">
          <v:rect id="_x0000_i1043" alt="" style="width:451.3pt;height:.05pt;mso-width-percent:0;mso-height-percent:0;mso-width-percent:0;mso-height-percent:0" o:hralign="center" o:hrstd="t" o:hr="t" fillcolor="#a0a0a0" stroked="f"/>
        </w:pict>
      </w:r>
    </w:p>
    <w:p w14:paraId="6ABC3D10" w14:textId="77777777" w:rsidR="00FE2BDC" w:rsidRPr="00F55235" w:rsidRDefault="00FE2BDC" w:rsidP="00FE2BDC">
      <w:pPr>
        <w:spacing w:before="100" w:beforeAutospacing="1" w:after="100" w:afterAutospacing="1" w:line="360" w:lineRule="auto"/>
        <w:outlineLvl w:val="2"/>
        <w:rPr>
          <w:rFonts w:ascii="Times New Roman" w:hAnsi="Times New Roman"/>
          <w:b/>
          <w:bCs/>
          <w:lang w:val="en-HK"/>
        </w:rPr>
      </w:pPr>
      <w:r w:rsidRPr="00F55235">
        <w:rPr>
          <w:rFonts w:ascii="Times New Roman" w:hAnsi="Times New Roman"/>
          <w:b/>
          <w:bCs/>
          <w:lang w:val="en-HK"/>
        </w:rPr>
        <w:t>2. The Role of Consent in Appropriation</w:t>
      </w:r>
    </w:p>
    <w:p w14:paraId="527F7517"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lastRenderedPageBreak/>
        <w:t>Lawrence’s Neutral Approach</w:t>
      </w:r>
    </w:p>
    <w:p w14:paraId="7EBBCADE"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In Lawrence, the House of Lords ruled that consent is irrelevant to appropriation, framing it as a neutral act independent of the owner’s will.</w:t>
      </w:r>
    </w:p>
    <w:p w14:paraId="0562ACD9"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Viscount </w:t>
      </w:r>
      <w:proofErr w:type="spellStart"/>
      <w:r w:rsidRPr="00F55235">
        <w:rPr>
          <w:rFonts w:ascii="Times New Roman" w:hAnsi="Times New Roman"/>
          <w:lang w:val="en-HK"/>
        </w:rPr>
        <w:t>Dilhorne</w:t>
      </w:r>
      <w:proofErr w:type="spellEnd"/>
      <w:r w:rsidRPr="00F55235">
        <w:rPr>
          <w:rFonts w:ascii="Times New Roman" w:hAnsi="Times New Roman"/>
          <w:lang w:val="en-HK"/>
        </w:rPr>
        <w:t xml:space="preserve"> clarified:</w:t>
      </w:r>
    </w:p>
    <w:p w14:paraId="358DC099" w14:textId="77777777" w:rsidR="00FE2BDC" w:rsidRPr="00F55235" w:rsidRDefault="00FE2BDC" w:rsidP="00FE2BDC">
      <w:pPr>
        <w:spacing w:beforeAutospacing="1" w:afterAutospacing="1" w:line="360" w:lineRule="auto"/>
        <w:ind w:left="1440"/>
        <w:rPr>
          <w:rFonts w:ascii="Times New Roman" w:hAnsi="Times New Roman"/>
          <w:lang w:val="en-HK"/>
        </w:rPr>
      </w:pPr>
      <w:r w:rsidRPr="00F55235">
        <w:rPr>
          <w:rFonts w:ascii="Times New Roman" w:hAnsi="Times New Roman"/>
          <w:lang w:val="en-HK"/>
        </w:rPr>
        <w:t>“Consent does not preclude appropriation, as the act of assuming ownership rights remains the same regardless of the victim’s participation.”</w:t>
      </w:r>
    </w:p>
    <w:p w14:paraId="1A22772A"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Morris’s Adverse Interference Requirement</w:t>
      </w:r>
    </w:p>
    <w:p w14:paraId="374247F9"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Lord Roskill in Morris emphasized that consent negates appropriation by eliminating the adverse interference necessary to satisfy the actus reus of theft:</w:t>
      </w:r>
    </w:p>
    <w:p w14:paraId="04CFDA67" w14:textId="77777777" w:rsidR="00FE2BDC" w:rsidRPr="00F55235" w:rsidRDefault="00FE2BDC" w:rsidP="00FE2BDC">
      <w:pPr>
        <w:spacing w:beforeAutospacing="1" w:afterAutospacing="1" w:line="360" w:lineRule="auto"/>
        <w:ind w:left="1440"/>
        <w:rPr>
          <w:rFonts w:ascii="Times New Roman" w:hAnsi="Times New Roman"/>
          <w:lang w:val="en-HK"/>
        </w:rPr>
      </w:pPr>
      <w:r w:rsidRPr="00F55235">
        <w:rPr>
          <w:rFonts w:ascii="Times New Roman" w:hAnsi="Times New Roman"/>
          <w:lang w:val="en-HK"/>
        </w:rPr>
        <w:t>“Appropriation involves not an act expressly or impliedly authorized by the owner but an act by way of adverse interference with or usurpation of those rights.”</w:t>
      </w:r>
    </w:p>
    <w:p w14:paraId="34FA44B6"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Case Analysis</w:t>
      </w:r>
    </w:p>
    <w:p w14:paraId="002AC2CD" w14:textId="77777777" w:rsidR="00FE2BDC" w:rsidRPr="00F55235" w:rsidRDefault="00FE2BDC" w:rsidP="00FE2BDC">
      <w:pPr>
        <w:numPr>
          <w:ilvl w:val="0"/>
          <w:numId w:val="6"/>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 xml:space="preserve">Eddy v </w:t>
      </w:r>
      <w:proofErr w:type="spellStart"/>
      <w:r w:rsidRPr="00F55235">
        <w:rPr>
          <w:rFonts w:ascii="Times New Roman" w:hAnsi="Times New Roman"/>
          <w:b/>
          <w:bCs/>
          <w:lang w:val="en-HK"/>
        </w:rPr>
        <w:t>Niman</w:t>
      </w:r>
      <w:proofErr w:type="spellEnd"/>
      <w:r w:rsidRPr="00F55235">
        <w:rPr>
          <w:rFonts w:ascii="Times New Roman" w:hAnsi="Times New Roman"/>
          <w:b/>
          <w:bCs/>
          <w:lang w:val="en-HK"/>
        </w:rPr>
        <w:t xml:space="preserve"> [1981] 73 Cr App R 237</w:t>
      </w:r>
      <w:r w:rsidRPr="00F55235">
        <w:rPr>
          <w:rFonts w:ascii="Times New Roman" w:hAnsi="Times New Roman"/>
          <w:lang w:val="en-HK"/>
        </w:rPr>
        <w:t>:</w:t>
      </w:r>
    </w:p>
    <w:p w14:paraId="037FED4C"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Facts</w:t>
      </w:r>
      <w:r w:rsidRPr="00F55235">
        <w:rPr>
          <w:rFonts w:ascii="Times New Roman" w:hAnsi="Times New Roman"/>
          <w:lang w:val="en-HK"/>
        </w:rPr>
        <w:t>: A defendant placed goods in a shopping basket with the intent to steal but later abandoned them before leaving the store.</w:t>
      </w:r>
    </w:p>
    <w:p w14:paraId="5DBF2046"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Judgment</w:t>
      </w:r>
      <w:r w:rsidRPr="00F55235">
        <w:rPr>
          <w:rFonts w:ascii="Times New Roman" w:hAnsi="Times New Roman"/>
          <w:lang w:val="en-HK"/>
        </w:rPr>
        <w:t>: The court held there was no appropriation because the defendant acted within the implied consent of the supermarket. Clements notes:</w:t>
      </w:r>
    </w:p>
    <w:p w14:paraId="08461754"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“This case underscores the importance of consent in negating appropriation, even when dishonesty is present.”</w:t>
      </w:r>
    </w:p>
    <w:p w14:paraId="03F9A273" w14:textId="77777777" w:rsidR="00FE2BDC" w:rsidRPr="00F55235" w:rsidRDefault="00FE2BDC" w:rsidP="00FE2BDC">
      <w:pPr>
        <w:numPr>
          <w:ilvl w:val="0"/>
          <w:numId w:val="6"/>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R v Skipp [1975] Crim LR 114</w:t>
      </w:r>
      <w:r w:rsidRPr="00F55235">
        <w:rPr>
          <w:rFonts w:ascii="Times New Roman" w:hAnsi="Times New Roman"/>
          <w:lang w:val="en-HK"/>
        </w:rPr>
        <w:t>:</w:t>
      </w:r>
    </w:p>
    <w:p w14:paraId="1AD9BA58"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Facts</w:t>
      </w:r>
      <w:r w:rsidRPr="00F55235">
        <w:rPr>
          <w:rFonts w:ascii="Times New Roman" w:hAnsi="Times New Roman"/>
          <w:lang w:val="en-HK"/>
        </w:rPr>
        <w:t>: A haulage contractor, posing as legitimate, diverted goods to an unauthorized location.</w:t>
      </w:r>
    </w:p>
    <w:p w14:paraId="2DCE8E06"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Judgment</w:t>
      </w:r>
      <w:r w:rsidRPr="00F55235">
        <w:rPr>
          <w:rFonts w:ascii="Times New Roman" w:hAnsi="Times New Roman"/>
          <w:lang w:val="en-HK"/>
        </w:rPr>
        <w:t>: Appropriation occurred only when the contractor deviated from the owner’s instructions. The Court of Appeal ruled:</w:t>
      </w:r>
    </w:p>
    <w:p w14:paraId="682B3DAA"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lastRenderedPageBreak/>
        <w:t>“The defendant’s actions prior to the deviation were expressly authorized, negating any assumption of ownership rights.”</w:t>
      </w:r>
    </w:p>
    <w:p w14:paraId="5DE99985" w14:textId="77777777" w:rsidR="00FE2BDC" w:rsidRPr="00F55235" w:rsidRDefault="00FE2BDC" w:rsidP="00FE2BDC">
      <w:pPr>
        <w:numPr>
          <w:ilvl w:val="0"/>
          <w:numId w:val="6"/>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R v McPherson [1973] Crim LR 191</w:t>
      </w:r>
      <w:r w:rsidRPr="00F55235">
        <w:rPr>
          <w:rFonts w:ascii="Times New Roman" w:hAnsi="Times New Roman"/>
          <w:lang w:val="en-HK"/>
        </w:rPr>
        <w:t>:</w:t>
      </w:r>
    </w:p>
    <w:p w14:paraId="65B35955"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Facts</w:t>
      </w:r>
      <w:r w:rsidRPr="00F55235">
        <w:rPr>
          <w:rFonts w:ascii="Times New Roman" w:hAnsi="Times New Roman"/>
          <w:lang w:val="en-HK"/>
        </w:rPr>
        <w:t>: A defendant concealed bottles of whisky in a shopping bag while in a store.</w:t>
      </w:r>
    </w:p>
    <w:p w14:paraId="2C76FFCD"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Judgment</w:t>
      </w:r>
      <w:r w:rsidRPr="00F55235">
        <w:rPr>
          <w:rFonts w:ascii="Times New Roman" w:hAnsi="Times New Roman"/>
          <w:lang w:val="en-HK"/>
        </w:rPr>
        <w:t>: Appropriation occurred when the goods were removed from the shelf with dishonest intent. The Court of Appeal stated:</w:t>
      </w:r>
    </w:p>
    <w:p w14:paraId="6C4020DB"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“Removing goods from the shelf with dishonest intent constitutes an assumption of ownership rights.”</w:t>
      </w:r>
    </w:p>
    <w:p w14:paraId="7339530A"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Critique</w:t>
      </w:r>
      <w:r w:rsidRPr="00F55235">
        <w:rPr>
          <w:rFonts w:ascii="Times New Roman" w:hAnsi="Times New Roman"/>
          <w:lang w:val="en-HK"/>
        </w:rPr>
        <w:t>: Clements questions whether mere removal should amount to appropriation, suggesting:</w:t>
      </w:r>
    </w:p>
    <w:p w14:paraId="79338C9B"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“This interpretation risks criminalizing trivial acts that fall within the scope of implied consent.”</w:t>
      </w:r>
    </w:p>
    <w:p w14:paraId="49A61EC1"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560A9447">
          <v:rect id="_x0000_i1042" alt="" style="width:451.3pt;height:.05pt;mso-width-percent:0;mso-height-percent:0;mso-width-percent:0;mso-height-percent:0" o:hralign="center" o:hrstd="t" o:hr="t" fillcolor="#a0a0a0" stroked="f"/>
        </w:pict>
      </w:r>
    </w:p>
    <w:p w14:paraId="04F6A31D"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Implications of Conflicting Approaches</w:t>
      </w:r>
    </w:p>
    <w:p w14:paraId="04DC5094" w14:textId="77777777" w:rsidR="00FE2BDC" w:rsidRPr="00F55235" w:rsidRDefault="00FE2BDC" w:rsidP="00FE2BDC">
      <w:pPr>
        <w:numPr>
          <w:ilvl w:val="0"/>
          <w:numId w:val="7"/>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Over-Criminalization</w:t>
      </w:r>
      <w:r w:rsidRPr="00F55235">
        <w:rPr>
          <w:rFonts w:ascii="Times New Roman" w:hAnsi="Times New Roman"/>
          <w:lang w:val="en-HK"/>
        </w:rPr>
        <w:t>:</w:t>
      </w:r>
    </w:p>
    <w:p w14:paraId="130BE45B"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Lawrence’s neutrality risks criminalizing lawful or trivial acts, such as the honest removal of goods in a store, by detaching appropriation from adverse interference or consent.</w:t>
      </w:r>
    </w:p>
    <w:p w14:paraId="4A443F70" w14:textId="77777777" w:rsidR="00FE2BDC" w:rsidRPr="00F55235" w:rsidRDefault="00FE2BDC" w:rsidP="00FE2BDC">
      <w:pPr>
        <w:numPr>
          <w:ilvl w:val="0"/>
          <w:numId w:val="7"/>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Uncertainty in Application</w:t>
      </w:r>
      <w:r w:rsidRPr="00F55235">
        <w:rPr>
          <w:rFonts w:ascii="Times New Roman" w:hAnsi="Times New Roman"/>
          <w:lang w:val="en-HK"/>
        </w:rPr>
        <w:t>:</w:t>
      </w:r>
    </w:p>
    <w:p w14:paraId="3742975C"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Morris reintroduces consent as a factor in appropriation, creating inconsistencies in the law. Clements highlights:</w:t>
      </w:r>
    </w:p>
    <w:p w14:paraId="10B57EF0"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“The conflicting approaches leave courts grappling with whether consent negates appropriation or is irrelevant to its occurrence.”</w:t>
      </w:r>
    </w:p>
    <w:p w14:paraId="1DD380DA" w14:textId="77777777" w:rsidR="00FE2BDC" w:rsidRPr="00F55235" w:rsidRDefault="00FE2BDC" w:rsidP="00FE2BDC">
      <w:pPr>
        <w:numPr>
          <w:ilvl w:val="0"/>
          <w:numId w:val="7"/>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Impact on Fair Labelling</w:t>
      </w:r>
      <w:r w:rsidRPr="00F55235">
        <w:rPr>
          <w:rFonts w:ascii="Times New Roman" w:hAnsi="Times New Roman"/>
          <w:lang w:val="en-HK"/>
        </w:rPr>
        <w:t>:</w:t>
      </w:r>
    </w:p>
    <w:p w14:paraId="5602DF7F"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lastRenderedPageBreak/>
        <w:t xml:space="preserve">The tension between Lawrence and Morris undermines the principle of fair </w:t>
      </w:r>
      <w:proofErr w:type="spellStart"/>
      <w:r w:rsidRPr="00F55235">
        <w:rPr>
          <w:rFonts w:ascii="Times New Roman" w:hAnsi="Times New Roman"/>
          <w:lang w:val="en-HK"/>
        </w:rPr>
        <w:t>labeling</w:t>
      </w:r>
      <w:proofErr w:type="spellEnd"/>
      <w:r w:rsidRPr="00F55235">
        <w:rPr>
          <w:rFonts w:ascii="Times New Roman" w:hAnsi="Times New Roman"/>
          <w:lang w:val="en-HK"/>
        </w:rPr>
        <w:t>, as acts of deception or mere dishonesty may now be treated as theft, distorting the offense’s moral boundaries.</w:t>
      </w:r>
    </w:p>
    <w:p w14:paraId="4744DCBC"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3AB65F8A">
          <v:rect id="_x0000_i1041" alt="" style="width:451.3pt;height:.05pt;mso-width-percent:0;mso-height-percent:0;mso-width-percent:0;mso-height-percent:0" o:hralign="center" o:hrstd="t" o:hr="t" fillcolor="#a0a0a0" stroked="f"/>
        </w:pict>
      </w:r>
    </w:p>
    <w:p w14:paraId="37D4EAB8"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conflicting interpretations of appropriation in Lawrence, Morris, and Dobson have left the law of theft in disarray. Clements argues that a consistent framework is urgently needed to address the role of consent and the scope of appropriation, emphasizing that theft law must balance the protection of property rights with ethical and systemic integrity. He concludes:</w:t>
      </w:r>
    </w:p>
    <w:p w14:paraId="7E3D6730" w14:textId="77777777" w:rsidR="00FE2BDC" w:rsidRPr="00F55235" w:rsidRDefault="00FE2BDC" w:rsidP="00FE2BDC">
      <w:pPr>
        <w:spacing w:beforeAutospacing="1" w:afterAutospacing="1" w:line="360" w:lineRule="auto"/>
        <w:rPr>
          <w:rFonts w:ascii="Times New Roman" w:hAnsi="Times New Roman"/>
          <w:lang w:val="en-HK"/>
        </w:rPr>
      </w:pPr>
      <w:r w:rsidRPr="00F55235">
        <w:rPr>
          <w:rFonts w:ascii="Times New Roman" w:hAnsi="Times New Roman"/>
          <w:lang w:val="en-HK"/>
        </w:rPr>
        <w:t>“A coherent legal system must resolve the contradictions between Lawrence and Morris to restore clarity and fairness to theft law.”</w:t>
      </w:r>
    </w:p>
    <w:p w14:paraId="14AC8E2E" w14:textId="77777777" w:rsidR="00FE2BDC" w:rsidRPr="00F55235" w:rsidRDefault="00964AC4" w:rsidP="00FE2BDC">
      <w:pPr>
        <w:spacing w:beforeAutospacing="1" w:afterAutospacing="1" w:line="360" w:lineRule="auto"/>
        <w:rPr>
          <w:rFonts w:ascii="Times New Roman" w:hAnsi="Times New Roman"/>
          <w:lang w:val="en-HK"/>
        </w:rPr>
      </w:pPr>
      <w:r w:rsidRPr="00964AC4">
        <w:rPr>
          <w:rFonts w:ascii="Times New Roman" w:hAnsi="Times New Roman"/>
          <w:noProof/>
          <w:lang w:val="en-HK"/>
          <w14:ligatures w14:val="standardContextual"/>
        </w:rPr>
        <w:pict w14:anchorId="0D2B563D">
          <v:rect id="_x0000_i1040" alt="" style="width:451.3pt;height:.05pt;mso-width-percent:0;mso-height-percent:0;mso-width-percent:0;mso-height-percent:0" o:hralign="center" o:hrstd="t" o:hr="t" fillcolor="#a0a0a0" stroked="f"/>
        </w:pict>
      </w:r>
    </w:p>
    <w:p w14:paraId="3AD74A36" w14:textId="77777777" w:rsidR="00FE2BDC" w:rsidRPr="00F55235" w:rsidRDefault="00FE2BDC" w:rsidP="00FE2BDC">
      <w:pPr>
        <w:spacing w:before="100" w:beforeAutospacing="1" w:after="100" w:afterAutospacing="1" w:line="360" w:lineRule="auto"/>
        <w:outlineLvl w:val="2"/>
        <w:rPr>
          <w:rFonts w:ascii="Times New Roman" w:hAnsi="Times New Roman"/>
          <w:b/>
          <w:bCs/>
          <w:lang w:val="en-HK"/>
        </w:rPr>
      </w:pPr>
      <w:r w:rsidRPr="00F55235">
        <w:rPr>
          <w:rFonts w:ascii="Times New Roman" w:hAnsi="Times New Roman"/>
          <w:b/>
          <w:bCs/>
          <w:lang w:val="en-HK"/>
        </w:rPr>
        <w:t>3. Overlap Between Theft and Deception</w:t>
      </w:r>
    </w:p>
    <w:p w14:paraId="7046C8BD"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Statutory Framework</w:t>
      </w:r>
    </w:p>
    <w:p w14:paraId="668FF3AB"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The </w:t>
      </w:r>
      <w:r w:rsidRPr="00F55235">
        <w:rPr>
          <w:rFonts w:ascii="Times New Roman" w:hAnsi="Times New Roman"/>
          <w:b/>
          <w:bCs/>
          <w:lang w:val="en-HK"/>
        </w:rPr>
        <w:t>Theft Act 1968</w:t>
      </w:r>
      <w:r w:rsidRPr="00F55235">
        <w:rPr>
          <w:rFonts w:ascii="Times New Roman" w:hAnsi="Times New Roman"/>
          <w:lang w:val="en-HK"/>
        </w:rPr>
        <w:t xml:space="preserve"> separates theft (Section 1) from obtaining property by deception (Section 15). The distinction lies in the mechanism of acquiring property: theft involves taking without consent, while deception involves obtaining property with consent procured through dishonesty.</w:t>
      </w:r>
    </w:p>
    <w:p w14:paraId="3B83CE73"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However, judicial decisions such as </w:t>
      </w:r>
      <w:r w:rsidRPr="00F55235">
        <w:rPr>
          <w:rFonts w:ascii="Times New Roman" w:hAnsi="Times New Roman"/>
          <w:b/>
          <w:bCs/>
          <w:lang w:val="en-HK"/>
        </w:rPr>
        <w:t>R v Gomez [1993] AC 442</w:t>
      </w:r>
      <w:r w:rsidRPr="00F55235">
        <w:rPr>
          <w:rFonts w:ascii="Times New Roman" w:hAnsi="Times New Roman"/>
          <w:lang w:val="en-HK"/>
        </w:rPr>
        <w:t xml:space="preserve"> and </w:t>
      </w:r>
      <w:r w:rsidRPr="00F55235">
        <w:rPr>
          <w:rFonts w:ascii="Times New Roman" w:hAnsi="Times New Roman"/>
          <w:b/>
          <w:bCs/>
          <w:lang w:val="en-HK"/>
        </w:rPr>
        <w:t>Dobson v General Accident Assurance Corp [1989] 3 All ER 927</w:t>
      </w:r>
      <w:r w:rsidRPr="00F55235">
        <w:rPr>
          <w:rFonts w:ascii="Times New Roman" w:hAnsi="Times New Roman"/>
          <w:lang w:val="en-HK"/>
        </w:rPr>
        <w:t xml:space="preserve"> have blurred this distinction, creating significant overlap and undermining the principle of fair </w:t>
      </w:r>
      <w:proofErr w:type="spellStart"/>
      <w:r w:rsidRPr="00F55235">
        <w:rPr>
          <w:rFonts w:ascii="Times New Roman" w:hAnsi="Times New Roman"/>
          <w:lang w:val="en-HK"/>
        </w:rPr>
        <w:t>labeling</w:t>
      </w:r>
      <w:proofErr w:type="spellEnd"/>
      <w:r w:rsidRPr="00F55235">
        <w:rPr>
          <w:rFonts w:ascii="Times New Roman" w:hAnsi="Times New Roman"/>
          <w:lang w:val="en-HK"/>
        </w:rPr>
        <w:t>.</w:t>
      </w:r>
    </w:p>
    <w:p w14:paraId="4A93D7C3"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2FAB2994">
          <v:rect id="_x0000_i1039" alt="" style="width:451.3pt;height:.05pt;mso-width-percent:0;mso-height-percent:0;mso-width-percent:0;mso-height-percent:0" o:hralign="center" o:hrstd="t" o:hr="t" fillcolor="#a0a0a0" stroked="f"/>
        </w:pict>
      </w:r>
    </w:p>
    <w:p w14:paraId="24C92058"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Dobson and the Erosion of Boundaries</w:t>
      </w:r>
    </w:p>
    <w:p w14:paraId="52EA94E7"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In </w:t>
      </w:r>
      <w:r w:rsidRPr="00F55235">
        <w:rPr>
          <w:rFonts w:ascii="Times New Roman" w:hAnsi="Times New Roman"/>
          <w:b/>
          <w:bCs/>
          <w:lang w:val="en-HK"/>
        </w:rPr>
        <w:t>Dobson</w:t>
      </w:r>
      <w:r w:rsidRPr="00F55235">
        <w:rPr>
          <w:rFonts w:ascii="Times New Roman" w:hAnsi="Times New Roman"/>
          <w:lang w:val="en-HK"/>
        </w:rPr>
        <w:t>, the Court of Appeal ruled that the rogue’s use of a stolen cheque to acquire goods amounted to theft, even though the transaction could also qualify as deception under Section 15. Lord Justice Parker explained:</w:t>
      </w:r>
    </w:p>
    <w:p w14:paraId="0C5F3FF5" w14:textId="77777777" w:rsidR="00FE2BDC" w:rsidRPr="00F55235" w:rsidRDefault="00FE2BDC" w:rsidP="00FE2BDC">
      <w:pPr>
        <w:spacing w:beforeAutospacing="1" w:afterAutospacing="1" w:line="360" w:lineRule="auto"/>
        <w:rPr>
          <w:rFonts w:ascii="Times New Roman" w:hAnsi="Times New Roman"/>
          <w:lang w:val="en-HK"/>
        </w:rPr>
      </w:pPr>
      <w:r w:rsidRPr="00F55235">
        <w:rPr>
          <w:rFonts w:ascii="Times New Roman" w:hAnsi="Times New Roman"/>
          <w:lang w:val="en-HK"/>
        </w:rPr>
        <w:lastRenderedPageBreak/>
        <w:t>“Whenever goods are purchased by invalid means, the goods are not only obtained by deception but also stolen.”</w:t>
      </w:r>
    </w:p>
    <w:p w14:paraId="3D254BE8"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Clements criticizes this reasoning, highlighting that it effectively collapses theft and deception into a single offense:</w:t>
      </w:r>
    </w:p>
    <w:p w14:paraId="5ADDDC12"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Fair Labelling</w:t>
      </w:r>
      <w:r w:rsidRPr="00F55235">
        <w:rPr>
          <w:rFonts w:ascii="Times New Roman" w:hAnsi="Times New Roman"/>
          <w:lang w:val="en-HK"/>
        </w:rPr>
        <w:t>:</w:t>
      </w:r>
    </w:p>
    <w:p w14:paraId="0C5081BF" w14:textId="77777777" w:rsidR="00FE2BDC" w:rsidRPr="00F55235" w:rsidRDefault="00FE2BDC" w:rsidP="000501D1">
      <w:pPr>
        <w:spacing w:before="100" w:beforeAutospacing="1" w:after="100" w:afterAutospacing="1" w:line="360" w:lineRule="auto"/>
        <w:ind w:left="720"/>
        <w:rPr>
          <w:rFonts w:ascii="Times New Roman" w:hAnsi="Times New Roman"/>
          <w:lang w:val="en-HK"/>
        </w:rPr>
      </w:pPr>
      <w:r w:rsidRPr="00F55235">
        <w:rPr>
          <w:rFonts w:ascii="Times New Roman" w:hAnsi="Times New Roman"/>
          <w:lang w:val="en-HK"/>
        </w:rPr>
        <w:t xml:space="preserve">The principle of fair </w:t>
      </w:r>
      <w:proofErr w:type="spellStart"/>
      <w:r w:rsidRPr="00F55235">
        <w:rPr>
          <w:rFonts w:ascii="Times New Roman" w:hAnsi="Times New Roman"/>
          <w:lang w:val="en-HK"/>
        </w:rPr>
        <w:t>labeling</w:t>
      </w:r>
      <w:proofErr w:type="spellEnd"/>
      <w:r w:rsidRPr="00F55235">
        <w:rPr>
          <w:rFonts w:ascii="Times New Roman" w:hAnsi="Times New Roman"/>
          <w:lang w:val="en-HK"/>
        </w:rPr>
        <w:t xml:space="preserve"> requires offenses to reflect distinct moral and legal wrongs. Clements argues:</w:t>
      </w:r>
    </w:p>
    <w:p w14:paraId="078E42C0" w14:textId="77777777" w:rsidR="00FE2BDC" w:rsidRPr="000501D1" w:rsidRDefault="00FE2BDC" w:rsidP="000501D1">
      <w:pPr>
        <w:spacing w:beforeAutospacing="1" w:afterAutospacing="1" w:line="360" w:lineRule="auto"/>
        <w:ind w:left="2160"/>
        <w:rPr>
          <w:rFonts w:ascii="Times New Roman" w:hAnsi="Times New Roman"/>
          <w:lang w:val="en-HK"/>
        </w:rPr>
      </w:pPr>
      <w:r w:rsidRPr="000501D1">
        <w:rPr>
          <w:rFonts w:ascii="Times New Roman" w:hAnsi="Times New Roman"/>
          <w:lang w:val="en-HK"/>
        </w:rPr>
        <w:t>“The conflation of theft and deception undermines their moral distinctiveness, distorting the boundaries of criminal law.”</w:t>
      </w:r>
    </w:p>
    <w:p w14:paraId="77A3625D"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Parliamentary Intent</w:t>
      </w:r>
      <w:r w:rsidRPr="00F55235">
        <w:rPr>
          <w:rFonts w:ascii="Times New Roman" w:hAnsi="Times New Roman"/>
          <w:lang w:val="en-HK"/>
        </w:rPr>
        <w:t>:</w:t>
      </w:r>
    </w:p>
    <w:p w14:paraId="520186D7" w14:textId="77777777" w:rsidR="00FE2BDC" w:rsidRPr="00F55235" w:rsidRDefault="00FE2BDC" w:rsidP="000501D1">
      <w:pPr>
        <w:spacing w:before="100" w:beforeAutospacing="1" w:after="100" w:afterAutospacing="1" w:line="360" w:lineRule="auto"/>
        <w:ind w:left="720"/>
        <w:rPr>
          <w:rFonts w:ascii="Times New Roman" w:hAnsi="Times New Roman"/>
          <w:lang w:val="en-HK"/>
        </w:rPr>
      </w:pPr>
      <w:r w:rsidRPr="00F55235">
        <w:rPr>
          <w:rFonts w:ascii="Times New Roman" w:hAnsi="Times New Roman"/>
          <w:lang w:val="en-HK"/>
        </w:rPr>
        <w:t>Parliament created distinct offenses under Sections 1 and 15 to address different forms of wrongdoing. Clements questions:</w:t>
      </w:r>
    </w:p>
    <w:p w14:paraId="1F9EC617" w14:textId="77777777" w:rsidR="00FE2BDC" w:rsidRPr="000501D1" w:rsidRDefault="00FE2BDC" w:rsidP="000501D1">
      <w:pPr>
        <w:spacing w:beforeAutospacing="1" w:afterAutospacing="1" w:line="360" w:lineRule="auto"/>
        <w:ind w:left="2160"/>
        <w:rPr>
          <w:rFonts w:ascii="Times New Roman" w:hAnsi="Times New Roman"/>
          <w:lang w:val="en-HK"/>
        </w:rPr>
      </w:pPr>
      <w:r w:rsidRPr="000501D1">
        <w:rPr>
          <w:rFonts w:ascii="Times New Roman" w:hAnsi="Times New Roman"/>
          <w:lang w:val="en-HK"/>
        </w:rPr>
        <w:t>“Was it Parliament’s intention to erase the distinction between theft and deception, or have the courts overstepped their role in interpreting the Theft Act?”</w:t>
      </w:r>
    </w:p>
    <w:p w14:paraId="29222DFC"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0ACC50C7">
          <v:rect id="_x0000_i1038" alt="" style="width:451.3pt;height:.05pt;mso-width-percent:0;mso-height-percent:0;mso-width-percent:0;mso-height-percent:0" o:hralign="center" o:hrstd="t" o:hr="t" fillcolor="#a0a0a0" stroked="f"/>
        </w:pict>
      </w:r>
    </w:p>
    <w:p w14:paraId="1F4AD6EB"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Case Illustrations</w:t>
      </w:r>
    </w:p>
    <w:p w14:paraId="1523BBF5" w14:textId="77777777" w:rsidR="00FE2BDC" w:rsidRPr="00F55235" w:rsidRDefault="00FE2BDC" w:rsidP="00FE2BDC">
      <w:pPr>
        <w:numPr>
          <w:ilvl w:val="0"/>
          <w:numId w:val="9"/>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R v Gomez [1993] AC 442</w:t>
      </w:r>
      <w:r w:rsidRPr="00F55235">
        <w:rPr>
          <w:rFonts w:ascii="Times New Roman" w:hAnsi="Times New Roman"/>
          <w:lang w:val="en-HK"/>
        </w:rPr>
        <w:t>:</w:t>
      </w:r>
    </w:p>
    <w:p w14:paraId="16EE5D87"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Facts</w:t>
      </w:r>
      <w:r w:rsidRPr="00F55235">
        <w:rPr>
          <w:rFonts w:ascii="Times New Roman" w:hAnsi="Times New Roman"/>
          <w:lang w:val="en-HK"/>
        </w:rPr>
        <w:t>: A shop assistant facilitated the sale of goods in exchange for stolen cheques. The manager consented to the transaction, unaware of the fraud.</w:t>
      </w:r>
    </w:p>
    <w:p w14:paraId="5186CE5F"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Judgment</w:t>
      </w:r>
      <w:r w:rsidRPr="00F55235">
        <w:rPr>
          <w:rFonts w:ascii="Times New Roman" w:hAnsi="Times New Roman"/>
          <w:lang w:val="en-HK"/>
        </w:rPr>
        <w:t>: The House of Lords ruled that appropriation does not require adverse interference or usurpation of rights and can occur even in consensual transactions. Lord Keith stated:</w:t>
      </w:r>
    </w:p>
    <w:p w14:paraId="3BA7F38B" w14:textId="77777777" w:rsidR="00FE2BDC" w:rsidRPr="000501D1" w:rsidRDefault="00FE2BDC" w:rsidP="000501D1">
      <w:pPr>
        <w:spacing w:beforeAutospacing="1" w:afterAutospacing="1" w:line="360" w:lineRule="auto"/>
        <w:ind w:left="1440"/>
        <w:rPr>
          <w:rFonts w:ascii="Times New Roman" w:hAnsi="Times New Roman"/>
          <w:lang w:val="en-HK"/>
        </w:rPr>
      </w:pPr>
      <w:r w:rsidRPr="000501D1">
        <w:rPr>
          <w:rFonts w:ascii="Times New Roman" w:hAnsi="Times New Roman"/>
          <w:lang w:val="en-HK"/>
        </w:rPr>
        <w:t>“Appropriation can occur irrespective of the owner’s consent, rendering dishonesty the sole determinant of criminality.”</w:t>
      </w:r>
    </w:p>
    <w:p w14:paraId="3536FDF4"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lastRenderedPageBreak/>
        <w:t>Impact</w:t>
      </w:r>
      <w:r w:rsidRPr="00F55235">
        <w:rPr>
          <w:rFonts w:ascii="Times New Roman" w:hAnsi="Times New Roman"/>
          <w:lang w:val="en-HK"/>
        </w:rPr>
        <w:t>: This decision treated a deception-like scenario as theft, eroding the distinction between the two offenses.</w:t>
      </w:r>
    </w:p>
    <w:p w14:paraId="19B9470B" w14:textId="77777777" w:rsidR="00FE2BDC" w:rsidRPr="00F55235" w:rsidRDefault="00FE2BDC" w:rsidP="00FE2BDC">
      <w:pPr>
        <w:numPr>
          <w:ilvl w:val="0"/>
          <w:numId w:val="9"/>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R v Hinks [2001] 4 All ER 833</w:t>
      </w:r>
      <w:r w:rsidRPr="00F55235">
        <w:rPr>
          <w:rFonts w:ascii="Times New Roman" w:hAnsi="Times New Roman"/>
          <w:lang w:val="en-HK"/>
        </w:rPr>
        <w:t>:</w:t>
      </w:r>
    </w:p>
    <w:p w14:paraId="73E73CD2"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Facts</w:t>
      </w:r>
      <w:r w:rsidRPr="00F55235">
        <w:rPr>
          <w:rFonts w:ascii="Times New Roman" w:hAnsi="Times New Roman"/>
          <w:lang w:val="en-HK"/>
        </w:rPr>
        <w:t>: A caregiver received valid gifts from a vulnerable man, which were later deemed to be dishonestly appropriated.</w:t>
      </w:r>
    </w:p>
    <w:p w14:paraId="09153D9A"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Judgment</w:t>
      </w:r>
      <w:r w:rsidRPr="00F55235">
        <w:rPr>
          <w:rFonts w:ascii="Times New Roman" w:hAnsi="Times New Roman"/>
          <w:lang w:val="en-HK"/>
        </w:rPr>
        <w:t>: The House of Lords held that the receipt of gifts could constitute theft if dishonesty was established. Lord Steyn explained:</w:t>
      </w:r>
    </w:p>
    <w:p w14:paraId="0EE8F36C"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“The validity of the civil transaction does not preclude criminal liability under the Theft Act.”</w:t>
      </w:r>
    </w:p>
    <w:p w14:paraId="19CF2BBC"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Critique</w:t>
      </w:r>
      <w:r w:rsidRPr="00F55235">
        <w:rPr>
          <w:rFonts w:ascii="Times New Roman" w:hAnsi="Times New Roman"/>
          <w:lang w:val="en-HK"/>
        </w:rPr>
        <w:t>: Clements observes:</w:t>
      </w:r>
    </w:p>
    <w:p w14:paraId="3BCD994C"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“The decision further blurs the boundaries between theft and deception, as lawful transactions may now be criminalized if dishonesty is alleged.”</w:t>
      </w:r>
    </w:p>
    <w:p w14:paraId="597ED5D2"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4C84A4D7">
          <v:rect id="_x0000_i1037" alt="" style="width:451.3pt;height:.05pt;mso-width-percent:0;mso-height-percent:0;mso-width-percent:0;mso-height-percent:0" o:hralign="center" o:hrstd="t" o:hr="t" fillcolor="#a0a0a0" stroked="f"/>
        </w:pict>
      </w:r>
    </w:p>
    <w:p w14:paraId="71DDB1A0"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Implications of the Overlap</w:t>
      </w:r>
    </w:p>
    <w:p w14:paraId="60F44D3F" w14:textId="77777777" w:rsidR="00FE2BDC" w:rsidRPr="00F55235" w:rsidRDefault="00FE2BDC" w:rsidP="00FE2BDC">
      <w:pPr>
        <w:numPr>
          <w:ilvl w:val="0"/>
          <w:numId w:val="10"/>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Criminalization of Lawful Acts</w:t>
      </w:r>
      <w:r w:rsidRPr="00F55235">
        <w:rPr>
          <w:rFonts w:ascii="Times New Roman" w:hAnsi="Times New Roman"/>
          <w:lang w:val="en-HK"/>
        </w:rPr>
        <w:t>:</w:t>
      </w:r>
    </w:p>
    <w:p w14:paraId="174448F9"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By treating deception-like scenarios as theft, the courts risk criminalizing legitimate transactions based on post hoc assessments of dishonesty.</w:t>
      </w:r>
    </w:p>
    <w:p w14:paraId="31B03F31"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Example: A valid sale involving an invalid cheque could simultaneously be classified as theft and deception, as seen in Dobson.</w:t>
      </w:r>
    </w:p>
    <w:p w14:paraId="51750042" w14:textId="77777777" w:rsidR="00FE2BDC" w:rsidRPr="00F55235" w:rsidRDefault="00FE2BDC" w:rsidP="00FE2BDC">
      <w:pPr>
        <w:numPr>
          <w:ilvl w:val="0"/>
          <w:numId w:val="10"/>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Redundancy in the Law</w:t>
      </w:r>
      <w:r w:rsidRPr="00F55235">
        <w:rPr>
          <w:rFonts w:ascii="Times New Roman" w:hAnsi="Times New Roman"/>
          <w:lang w:val="en-HK"/>
        </w:rPr>
        <w:t>:</w:t>
      </w:r>
    </w:p>
    <w:p w14:paraId="1097CC6E"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If all deception cases qualify as theft, the practical need for Section 15 diminishes. Clements notes:</w:t>
      </w:r>
    </w:p>
    <w:p w14:paraId="2A8A5361" w14:textId="77777777" w:rsidR="00FE2BDC" w:rsidRPr="00F55235" w:rsidRDefault="00FE2BDC" w:rsidP="000501D1">
      <w:pPr>
        <w:spacing w:beforeAutospacing="1" w:afterAutospacing="1" w:line="360" w:lineRule="auto"/>
        <w:rPr>
          <w:rFonts w:ascii="Times New Roman" w:hAnsi="Times New Roman"/>
          <w:lang w:val="en-HK"/>
        </w:rPr>
      </w:pPr>
      <w:r w:rsidRPr="00F55235">
        <w:rPr>
          <w:rFonts w:ascii="Times New Roman" w:hAnsi="Times New Roman"/>
          <w:lang w:val="en-HK"/>
        </w:rPr>
        <w:lastRenderedPageBreak/>
        <w:t>“There appears to be little remaining scope for pure deception cases under Section 15, raising questions about the utility of maintaining separate offenses.”</w:t>
      </w:r>
    </w:p>
    <w:p w14:paraId="17AD8BA7" w14:textId="77777777" w:rsidR="00FE2BDC" w:rsidRPr="00F55235" w:rsidRDefault="00FE2BDC" w:rsidP="00FE2BDC">
      <w:pPr>
        <w:numPr>
          <w:ilvl w:val="0"/>
          <w:numId w:val="10"/>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Ethical Concerns</w:t>
      </w:r>
      <w:r w:rsidRPr="00F55235">
        <w:rPr>
          <w:rFonts w:ascii="Times New Roman" w:hAnsi="Times New Roman"/>
          <w:lang w:val="en-HK"/>
        </w:rPr>
        <w:t>:</w:t>
      </w:r>
    </w:p>
    <w:p w14:paraId="77D35038"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overlap undermines the principle of proportionality, as it allows minor acts of dishonesty to be escalated to theft, a more stigmatized offense.</w:t>
      </w:r>
    </w:p>
    <w:p w14:paraId="00B96A49"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07970EDE">
          <v:rect id="_x0000_i1036" alt="" style="width:451.3pt;height:.05pt;mso-width-percent:0;mso-height-percent:0;mso-width-percent:0;mso-height-percent:0" o:hralign="center" o:hrstd="t" o:hr="t" fillcolor="#a0a0a0" stroked="f"/>
        </w:pict>
      </w:r>
    </w:p>
    <w:p w14:paraId="642F223F" w14:textId="77777777" w:rsidR="00FE2BDC" w:rsidRPr="00F55235" w:rsidRDefault="00FE2BDC" w:rsidP="00FE2BDC">
      <w:pPr>
        <w:spacing w:before="100" w:beforeAutospacing="1" w:after="100" w:afterAutospacing="1" w:line="360" w:lineRule="auto"/>
        <w:outlineLvl w:val="2"/>
        <w:rPr>
          <w:rFonts w:ascii="Times New Roman" w:hAnsi="Times New Roman"/>
          <w:b/>
          <w:bCs/>
          <w:lang w:val="en-HK"/>
        </w:rPr>
      </w:pPr>
      <w:r w:rsidRPr="00F55235">
        <w:rPr>
          <w:rFonts w:ascii="Times New Roman" w:hAnsi="Times New Roman"/>
          <w:b/>
          <w:bCs/>
          <w:lang w:val="en-HK"/>
        </w:rPr>
        <w:t>4. Ethical and Systemic Concerns</w:t>
      </w:r>
    </w:p>
    <w:p w14:paraId="7F41BFC6"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Criminalization of Trivial Acts</w:t>
      </w:r>
    </w:p>
    <w:p w14:paraId="18670206"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broad interpretation of appropriation post-</w:t>
      </w:r>
      <w:r w:rsidRPr="00F55235">
        <w:rPr>
          <w:rFonts w:ascii="Times New Roman" w:hAnsi="Times New Roman"/>
          <w:b/>
          <w:bCs/>
          <w:lang w:val="en-HK"/>
        </w:rPr>
        <w:t>Gomez</w:t>
      </w:r>
      <w:r w:rsidRPr="00F55235">
        <w:rPr>
          <w:rFonts w:ascii="Times New Roman" w:hAnsi="Times New Roman"/>
          <w:lang w:val="en-HK"/>
        </w:rPr>
        <w:t xml:space="preserve"> risks criminalizing trivial or benign actions that would not traditionally be regarded as theft. For example:</w:t>
      </w:r>
    </w:p>
    <w:p w14:paraId="42C553A8"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R v Hinks</w:t>
      </w:r>
      <w:r w:rsidRPr="00F55235">
        <w:rPr>
          <w:rFonts w:ascii="Times New Roman" w:hAnsi="Times New Roman"/>
          <w:lang w:val="en-HK"/>
        </w:rPr>
        <w:t>:</w:t>
      </w:r>
    </w:p>
    <w:p w14:paraId="4EEADB4B" w14:textId="77777777" w:rsidR="000501D1"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receipt of valid gifts was treated as theft due to the defendant’s dishonesty, despite the legality of the transaction under civil law. Clements critiques this:</w:t>
      </w:r>
    </w:p>
    <w:p w14:paraId="23DE43C8" w14:textId="483FB40B"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decision criminalizes actions that do not involve wrongful interference with property, violating the principle of proportionality.”</w:t>
      </w:r>
    </w:p>
    <w:p w14:paraId="20DB1DE2"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39BB7C5A">
          <v:rect id="_x0000_i1035" alt="" style="width:451.3pt;height:.05pt;mso-width-percent:0;mso-height-percent:0;mso-width-percent:0;mso-height-percent:0" o:hralign="center" o:hrstd="t" o:hr="t" fillcolor="#a0a0a0" stroked="f"/>
        </w:pict>
      </w:r>
    </w:p>
    <w:p w14:paraId="111632DB"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Disproportionate Reliance on Dishonesty</w:t>
      </w:r>
    </w:p>
    <w:p w14:paraId="1BA9C78A"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By detaching appropriation from adverse interference, the courts rely excessively on dishonesty as the determinant of theft. The </w:t>
      </w:r>
      <w:r w:rsidRPr="00F55235">
        <w:rPr>
          <w:rFonts w:ascii="Times New Roman" w:hAnsi="Times New Roman"/>
          <w:b/>
          <w:bCs/>
          <w:lang w:val="en-HK"/>
        </w:rPr>
        <w:t>Ghosh test</w:t>
      </w:r>
      <w:r w:rsidRPr="00F55235">
        <w:rPr>
          <w:rFonts w:ascii="Times New Roman" w:hAnsi="Times New Roman"/>
          <w:lang w:val="en-HK"/>
        </w:rPr>
        <w:t xml:space="preserve"> for dishonesty, which assesses whether the defendant acted contrary to ordinary standards and whether they were aware of this, has been criticized for its subjectivity and unpredictability.</w:t>
      </w:r>
    </w:p>
    <w:p w14:paraId="5B58B3A7"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Judicial Critique</w:t>
      </w:r>
      <w:r w:rsidRPr="00F55235">
        <w:rPr>
          <w:rFonts w:ascii="Times New Roman" w:hAnsi="Times New Roman"/>
          <w:lang w:val="en-HK"/>
        </w:rPr>
        <w:t>:</w:t>
      </w:r>
    </w:p>
    <w:p w14:paraId="74F0E22F" w14:textId="77777777" w:rsidR="00FE2BDC" w:rsidRPr="00F55235" w:rsidRDefault="00FE2BDC" w:rsidP="000501D1">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In </w:t>
      </w:r>
      <w:r w:rsidRPr="00F55235">
        <w:rPr>
          <w:rFonts w:ascii="Times New Roman" w:hAnsi="Times New Roman"/>
          <w:b/>
          <w:bCs/>
          <w:lang w:val="en-HK"/>
        </w:rPr>
        <w:t>R v Hinks</w:t>
      </w:r>
      <w:r w:rsidRPr="00F55235">
        <w:rPr>
          <w:rFonts w:ascii="Times New Roman" w:hAnsi="Times New Roman"/>
          <w:lang w:val="en-HK"/>
        </w:rPr>
        <w:t>, Lord Hobhouse described the reliance on dishonesty as:</w:t>
      </w:r>
    </w:p>
    <w:p w14:paraId="58222114" w14:textId="77777777" w:rsidR="00FE2BDC" w:rsidRPr="00F55235" w:rsidRDefault="00FE2BDC" w:rsidP="000501D1">
      <w:pPr>
        <w:spacing w:beforeAutospacing="1" w:afterAutospacing="1" w:line="360" w:lineRule="auto"/>
        <w:rPr>
          <w:rFonts w:ascii="Times New Roman" w:hAnsi="Times New Roman"/>
          <w:lang w:val="en-HK"/>
        </w:rPr>
      </w:pPr>
      <w:r w:rsidRPr="00F55235">
        <w:rPr>
          <w:rFonts w:ascii="Times New Roman" w:hAnsi="Times New Roman"/>
          <w:lang w:val="en-HK"/>
        </w:rPr>
        <w:lastRenderedPageBreak/>
        <w:t xml:space="preserve">“A dilution of the actus reus of theft, shifting the focus entirely to </w:t>
      </w:r>
      <w:proofErr w:type="spellStart"/>
      <w:r w:rsidRPr="00F55235">
        <w:rPr>
          <w:rFonts w:ascii="Times New Roman" w:hAnsi="Times New Roman"/>
          <w:lang w:val="en-HK"/>
        </w:rPr>
        <w:t>mens</w:t>
      </w:r>
      <w:proofErr w:type="spellEnd"/>
      <w:r w:rsidRPr="00F55235">
        <w:rPr>
          <w:rFonts w:ascii="Times New Roman" w:hAnsi="Times New Roman"/>
          <w:lang w:val="en-HK"/>
        </w:rPr>
        <w:t xml:space="preserve"> rea and creating circular reasoning.”</w:t>
      </w:r>
    </w:p>
    <w:p w14:paraId="305BEDC9"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1C629409">
          <v:rect id="_x0000_i1034" alt="" style="width:451.3pt;height:.05pt;mso-width-percent:0;mso-height-percent:0;mso-width-percent:0;mso-height-percent:0" o:hralign="center" o:hrstd="t" o:hr="t" fillcolor="#a0a0a0" stroked="f"/>
        </w:pict>
      </w:r>
    </w:p>
    <w:p w14:paraId="51BDF29D"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Impact on Civil Law</w:t>
      </w:r>
    </w:p>
    <w:p w14:paraId="7F114C85"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integration of civil law principles, particularly around ownership and the passing of property, complicates the application of theft law. Clements highlights the following issues:</w:t>
      </w:r>
    </w:p>
    <w:p w14:paraId="55B18233" w14:textId="77777777" w:rsidR="00FE2BDC" w:rsidRPr="00F55235" w:rsidRDefault="00FE2BDC" w:rsidP="00FE2BDC">
      <w:pPr>
        <w:numPr>
          <w:ilvl w:val="0"/>
          <w:numId w:val="13"/>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Conflict with the Sale of Goods Act 1979</w:t>
      </w:r>
      <w:r w:rsidRPr="00F55235">
        <w:rPr>
          <w:rFonts w:ascii="Times New Roman" w:hAnsi="Times New Roman"/>
          <w:lang w:val="en-HK"/>
        </w:rPr>
        <w:t>:</w:t>
      </w:r>
    </w:p>
    <w:p w14:paraId="15DCD059" w14:textId="77777777" w:rsidR="00FE2BDC" w:rsidRPr="00F55235" w:rsidRDefault="00FE2BDC" w:rsidP="00FE2BDC">
      <w:pPr>
        <w:numPr>
          <w:ilvl w:val="1"/>
          <w:numId w:val="13"/>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Section 23 of the Sale of Goods Act protects bona fide purchasers, ensuring that title passes even if the seller acquired the goods through fraud.</w:t>
      </w:r>
    </w:p>
    <w:p w14:paraId="5331966F" w14:textId="77777777" w:rsidR="00FE2BDC" w:rsidRPr="00F55235" w:rsidRDefault="00FE2BDC" w:rsidP="00FE2BDC">
      <w:pPr>
        <w:numPr>
          <w:ilvl w:val="1"/>
          <w:numId w:val="13"/>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Dobson’s Effect</w:t>
      </w:r>
      <w:r w:rsidRPr="00F55235">
        <w:rPr>
          <w:rFonts w:ascii="Times New Roman" w:hAnsi="Times New Roman"/>
          <w:lang w:val="en-HK"/>
        </w:rPr>
        <w:t>:</w:t>
      </w:r>
    </w:p>
    <w:p w14:paraId="306511B1" w14:textId="77777777" w:rsidR="00FE2BDC" w:rsidRPr="00F55235" w:rsidRDefault="00FE2BDC" w:rsidP="00FE2BDC">
      <w:pPr>
        <w:numPr>
          <w:ilvl w:val="2"/>
          <w:numId w:val="13"/>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If goods acquired via deception are deemed stolen, bona fide purchasers lose protection under Section 23. Clements argues:</w:t>
      </w:r>
    </w:p>
    <w:p w14:paraId="30648653" w14:textId="77777777" w:rsidR="00FE2BDC" w:rsidRPr="00F55235" w:rsidRDefault="00FE2BDC" w:rsidP="00FE2BDC">
      <w:pPr>
        <w:spacing w:beforeAutospacing="1" w:afterAutospacing="1" w:line="360" w:lineRule="auto"/>
        <w:ind w:left="2880"/>
        <w:rPr>
          <w:rFonts w:ascii="Times New Roman" w:hAnsi="Times New Roman"/>
          <w:lang w:val="en-HK"/>
        </w:rPr>
      </w:pPr>
      <w:r w:rsidRPr="00F55235">
        <w:rPr>
          <w:rFonts w:ascii="Times New Roman" w:hAnsi="Times New Roman"/>
          <w:lang w:val="en-HK"/>
        </w:rPr>
        <w:t>“The criminalization of such transactions undermines the security of property rights and disrupts commercial certainty.”</w:t>
      </w:r>
    </w:p>
    <w:p w14:paraId="1B81DB85" w14:textId="77777777" w:rsidR="00FE2BDC" w:rsidRPr="00F55235" w:rsidRDefault="00FE2BDC" w:rsidP="00FE2BDC">
      <w:pPr>
        <w:numPr>
          <w:ilvl w:val="0"/>
          <w:numId w:val="13"/>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Judicial Overreach</w:t>
      </w:r>
      <w:r w:rsidRPr="00F55235">
        <w:rPr>
          <w:rFonts w:ascii="Times New Roman" w:hAnsi="Times New Roman"/>
          <w:lang w:val="en-HK"/>
        </w:rPr>
        <w:t>:</w:t>
      </w:r>
    </w:p>
    <w:p w14:paraId="5FCF4E16" w14:textId="77777777" w:rsidR="00FE2BDC" w:rsidRPr="00F55235" w:rsidRDefault="00FE2BDC" w:rsidP="00FE2BDC">
      <w:pPr>
        <w:numPr>
          <w:ilvl w:val="1"/>
          <w:numId w:val="13"/>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By incorporating civil concepts into theft law, courts risk distorting both legal domains. Clements notes:</w:t>
      </w:r>
    </w:p>
    <w:p w14:paraId="2EF39ADA"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“The criminal law should not determine issues of ownership based on civil doctrines, as their purposes and objectives are fundamentally distinct.”</w:t>
      </w:r>
    </w:p>
    <w:p w14:paraId="52887682"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020C3D2F">
          <v:rect id="_x0000_i1033" alt="" style="width:451.3pt;height:.05pt;mso-width-percent:0;mso-height-percent:0;mso-width-percent:0;mso-height-percent:0" o:hralign="center" o:hrstd="t" o:hr="t" fillcolor="#a0a0a0" stroked="f"/>
        </w:pict>
      </w:r>
    </w:p>
    <w:p w14:paraId="583746D8"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Ethical and Practical Concerns</w:t>
      </w:r>
    </w:p>
    <w:p w14:paraId="5BA5C2B4" w14:textId="77777777" w:rsidR="00FE2BDC" w:rsidRPr="00F55235" w:rsidRDefault="00FE2BDC" w:rsidP="00FE2BDC">
      <w:pPr>
        <w:numPr>
          <w:ilvl w:val="0"/>
          <w:numId w:val="14"/>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Fair Warning</w:t>
      </w:r>
      <w:r w:rsidRPr="00F55235">
        <w:rPr>
          <w:rFonts w:ascii="Times New Roman" w:hAnsi="Times New Roman"/>
          <w:lang w:val="en-HK"/>
        </w:rPr>
        <w:t>:</w:t>
      </w:r>
    </w:p>
    <w:p w14:paraId="012B655C" w14:textId="77777777" w:rsidR="00FE2BDC" w:rsidRPr="00F55235" w:rsidRDefault="00FE2BDC" w:rsidP="00FE2BDC">
      <w:pPr>
        <w:numPr>
          <w:ilvl w:val="1"/>
          <w:numId w:val="14"/>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broad interpretation of appropriation leaves individuals uncertain about the legality of their actions. For instance:</w:t>
      </w:r>
    </w:p>
    <w:p w14:paraId="78DC3876" w14:textId="77777777" w:rsidR="00FE2BDC" w:rsidRPr="00F55235" w:rsidRDefault="00FE2BDC" w:rsidP="00FE2BDC">
      <w:pPr>
        <w:numPr>
          <w:ilvl w:val="2"/>
          <w:numId w:val="14"/>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A shopper picking up goods with no intent to steal could technically be classified as appropriating the goods under the </w:t>
      </w:r>
      <w:r w:rsidRPr="00F55235">
        <w:rPr>
          <w:rFonts w:ascii="Times New Roman" w:hAnsi="Times New Roman"/>
          <w:b/>
          <w:bCs/>
          <w:lang w:val="en-HK"/>
        </w:rPr>
        <w:t>Gomez</w:t>
      </w:r>
      <w:r w:rsidRPr="00F55235">
        <w:rPr>
          <w:rFonts w:ascii="Times New Roman" w:hAnsi="Times New Roman"/>
          <w:lang w:val="en-HK"/>
        </w:rPr>
        <w:t xml:space="preserve"> standard.</w:t>
      </w:r>
    </w:p>
    <w:p w14:paraId="336EEFFE" w14:textId="77777777" w:rsidR="00FE2BDC" w:rsidRPr="00F55235" w:rsidRDefault="00FE2BDC" w:rsidP="00FE2BDC">
      <w:pPr>
        <w:numPr>
          <w:ilvl w:val="1"/>
          <w:numId w:val="14"/>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lastRenderedPageBreak/>
        <w:t>Clements states:</w:t>
      </w:r>
    </w:p>
    <w:p w14:paraId="41F9C282"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“The law must provide clear guidance to defendants, ensuring they can differentiate lawful actions from criminal conduct.”</w:t>
      </w:r>
    </w:p>
    <w:p w14:paraId="25A7C9E6" w14:textId="77777777" w:rsidR="00FE2BDC" w:rsidRPr="00F55235" w:rsidRDefault="00FE2BDC" w:rsidP="00FE2BDC">
      <w:pPr>
        <w:numPr>
          <w:ilvl w:val="0"/>
          <w:numId w:val="14"/>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Proportionality</w:t>
      </w:r>
      <w:r w:rsidRPr="00F55235">
        <w:rPr>
          <w:rFonts w:ascii="Times New Roman" w:hAnsi="Times New Roman"/>
          <w:lang w:val="en-HK"/>
        </w:rPr>
        <w:t>:</w:t>
      </w:r>
    </w:p>
    <w:p w14:paraId="30F939C6" w14:textId="77777777" w:rsidR="00FE2BDC" w:rsidRPr="00F55235" w:rsidRDefault="00FE2BDC" w:rsidP="00FE2BDC">
      <w:pPr>
        <w:numPr>
          <w:ilvl w:val="1"/>
          <w:numId w:val="14"/>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Minor acts of dishonesty may now lead to convictions for theft, a stigmatized offense carrying severe consequences. Clements observes:</w:t>
      </w:r>
    </w:p>
    <w:p w14:paraId="642A23C4"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“The conflation of trivial acts with theft undermines the proportionality principle, eroding public confidence in the criminal justice system.”</w:t>
      </w:r>
    </w:p>
    <w:p w14:paraId="3FAAF0F1"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05CDED6B">
          <v:rect id="_x0000_i1032" alt="" style="width:451.3pt;height:.05pt;mso-width-percent:0;mso-height-percent:0;mso-width-percent:0;mso-height-percent:0" o:hralign="center" o:hrstd="t" o:hr="t" fillcolor="#a0a0a0" stroked="f"/>
        </w:pict>
      </w:r>
    </w:p>
    <w:p w14:paraId="1BEA261E" w14:textId="77777777" w:rsidR="00FE2BDC" w:rsidRPr="00F55235" w:rsidRDefault="00FE2BDC" w:rsidP="00FE2BDC">
      <w:pPr>
        <w:spacing w:before="100" w:beforeAutospacing="1" w:after="100" w:afterAutospacing="1" w:line="360" w:lineRule="auto"/>
        <w:outlineLvl w:val="2"/>
        <w:rPr>
          <w:rFonts w:ascii="Times New Roman" w:hAnsi="Times New Roman"/>
          <w:b/>
          <w:bCs/>
          <w:lang w:val="en-HK"/>
        </w:rPr>
      </w:pPr>
      <w:r w:rsidRPr="00F55235">
        <w:rPr>
          <w:rFonts w:ascii="Times New Roman" w:hAnsi="Times New Roman"/>
          <w:b/>
          <w:bCs/>
          <w:lang w:val="en-HK"/>
        </w:rPr>
        <w:t>Conclusion</w:t>
      </w:r>
    </w:p>
    <w:p w14:paraId="00C51B34"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Clements argues that the judicial expansion of appropriation post-</w:t>
      </w:r>
      <w:r w:rsidRPr="00F55235">
        <w:rPr>
          <w:rFonts w:ascii="Times New Roman" w:hAnsi="Times New Roman"/>
          <w:b/>
          <w:bCs/>
          <w:lang w:val="en-HK"/>
        </w:rPr>
        <w:t>Gomez</w:t>
      </w:r>
      <w:r w:rsidRPr="00F55235">
        <w:rPr>
          <w:rFonts w:ascii="Times New Roman" w:hAnsi="Times New Roman"/>
          <w:lang w:val="en-HK"/>
        </w:rPr>
        <w:t xml:space="preserve"> has left the law of theft in disarray, eroding the distinctions between theft and deception, over-criminalizing lawful actions, and creating conflicts with civil law principles. To address these issues, he calls for:</w:t>
      </w:r>
    </w:p>
    <w:p w14:paraId="24B14640" w14:textId="77777777" w:rsidR="00FE2BDC" w:rsidRPr="00F55235" w:rsidRDefault="00FE2BDC" w:rsidP="00FE2BDC">
      <w:pPr>
        <w:numPr>
          <w:ilvl w:val="0"/>
          <w:numId w:val="15"/>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Revisiting Lawrence and Dobson</w:t>
      </w:r>
      <w:r w:rsidRPr="00F55235">
        <w:rPr>
          <w:rFonts w:ascii="Times New Roman" w:hAnsi="Times New Roman"/>
          <w:lang w:val="en-HK"/>
        </w:rPr>
        <w:t>:</w:t>
      </w:r>
    </w:p>
    <w:p w14:paraId="3FE0CD1C" w14:textId="77777777" w:rsidR="00FE2BDC" w:rsidRPr="00F55235" w:rsidRDefault="00FE2BDC" w:rsidP="00FE2BDC">
      <w:pPr>
        <w:numPr>
          <w:ilvl w:val="1"/>
          <w:numId w:val="15"/>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House of Lords should reconcile conflicting precedents to restore clarity to theft law.</w:t>
      </w:r>
    </w:p>
    <w:p w14:paraId="2E297192" w14:textId="77777777" w:rsidR="00FE2BDC" w:rsidRPr="00F55235" w:rsidRDefault="00FE2BDC" w:rsidP="00FE2BDC">
      <w:pPr>
        <w:numPr>
          <w:ilvl w:val="0"/>
          <w:numId w:val="15"/>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Legislative Action</w:t>
      </w:r>
      <w:r w:rsidRPr="00F55235">
        <w:rPr>
          <w:rFonts w:ascii="Times New Roman" w:hAnsi="Times New Roman"/>
          <w:lang w:val="en-HK"/>
        </w:rPr>
        <w:t>:</w:t>
      </w:r>
    </w:p>
    <w:p w14:paraId="06F6A75D" w14:textId="77777777" w:rsidR="00FE2BDC" w:rsidRPr="00F55235" w:rsidRDefault="00FE2BDC" w:rsidP="00FE2BDC">
      <w:pPr>
        <w:numPr>
          <w:ilvl w:val="1"/>
          <w:numId w:val="15"/>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Parliament should amend the Theft Act to clarify the scope of appropriation, the role of consent, and the relationship between theft and deception.</w:t>
      </w:r>
    </w:p>
    <w:p w14:paraId="3F7F4C8A" w14:textId="77777777" w:rsidR="00FE2BDC" w:rsidRPr="00F55235" w:rsidRDefault="00FE2BDC" w:rsidP="00FE2BDC">
      <w:pPr>
        <w:numPr>
          <w:ilvl w:val="0"/>
          <w:numId w:val="15"/>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Restoring Ethical Balance</w:t>
      </w:r>
      <w:r w:rsidRPr="00F55235">
        <w:rPr>
          <w:rFonts w:ascii="Times New Roman" w:hAnsi="Times New Roman"/>
          <w:lang w:val="en-HK"/>
        </w:rPr>
        <w:t>:</w:t>
      </w:r>
    </w:p>
    <w:p w14:paraId="11A814FD" w14:textId="77777777" w:rsidR="00FE2BDC" w:rsidRPr="00F55235" w:rsidRDefault="00FE2BDC" w:rsidP="00FE2BDC">
      <w:pPr>
        <w:numPr>
          <w:ilvl w:val="1"/>
          <w:numId w:val="15"/>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Theft law should prioritize proportionality, fair </w:t>
      </w:r>
      <w:proofErr w:type="spellStart"/>
      <w:r w:rsidRPr="00F55235">
        <w:rPr>
          <w:rFonts w:ascii="Times New Roman" w:hAnsi="Times New Roman"/>
          <w:lang w:val="en-HK"/>
        </w:rPr>
        <w:t>labeling</w:t>
      </w:r>
      <w:proofErr w:type="spellEnd"/>
      <w:r w:rsidRPr="00F55235">
        <w:rPr>
          <w:rFonts w:ascii="Times New Roman" w:hAnsi="Times New Roman"/>
          <w:lang w:val="en-HK"/>
        </w:rPr>
        <w:t>, and clear boundaries, ensuring it targets only meaningful and wrongful interferences with property rights.</w:t>
      </w:r>
    </w:p>
    <w:p w14:paraId="7839F2FE"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As Clements concludes:</w:t>
      </w:r>
    </w:p>
    <w:p w14:paraId="622BE63E" w14:textId="77777777" w:rsidR="00FE2BDC" w:rsidRPr="00F55235" w:rsidRDefault="00FE2BDC" w:rsidP="00FE2BDC">
      <w:pPr>
        <w:spacing w:beforeAutospacing="1" w:afterAutospacing="1" w:line="360" w:lineRule="auto"/>
        <w:rPr>
          <w:rFonts w:ascii="Times New Roman" w:hAnsi="Times New Roman"/>
          <w:lang w:val="en-HK"/>
        </w:rPr>
      </w:pPr>
      <w:r w:rsidRPr="00F55235">
        <w:rPr>
          <w:rFonts w:ascii="Times New Roman" w:hAnsi="Times New Roman"/>
          <w:lang w:val="en-HK"/>
        </w:rPr>
        <w:t>“The law of theft must balance its protective function with its ethical and systemic integrity, ensuring that it remains a fair and principled reflection of societal values.”</w:t>
      </w:r>
    </w:p>
    <w:p w14:paraId="492CCEFC" w14:textId="77777777" w:rsidR="00FE2BDC" w:rsidRPr="00F55235" w:rsidRDefault="00964AC4" w:rsidP="00FE2BDC">
      <w:pPr>
        <w:spacing w:before="100" w:beforeAutospacing="1" w:after="100" w:afterAutospacing="1" w:line="360" w:lineRule="auto"/>
        <w:outlineLvl w:val="2"/>
        <w:rPr>
          <w:rFonts w:ascii="Times New Roman" w:hAnsi="Times New Roman"/>
          <w:b/>
          <w:bCs/>
          <w:lang w:val="en-HK"/>
        </w:rPr>
      </w:pPr>
      <w:r w:rsidRPr="00964AC4">
        <w:rPr>
          <w:rFonts w:ascii="Times New Roman" w:hAnsi="Times New Roman"/>
          <w:noProof/>
          <w:lang w:val="en-HK"/>
          <w14:ligatures w14:val="standardContextual"/>
        </w:rPr>
        <w:lastRenderedPageBreak/>
        <w:pict w14:anchorId="24DAC952">
          <v:rect id="_x0000_i1031" alt="" style="width:451.3pt;height:.05pt;mso-width-percent:0;mso-height-percent:0;mso-width-percent:0;mso-height-percent:0" o:hralign="center" o:hrstd="t" o:hr="t" fillcolor="#a0a0a0" stroked="f"/>
        </w:pict>
      </w:r>
    </w:p>
    <w:p w14:paraId="570D7A0E" w14:textId="77777777" w:rsidR="00FE2BDC" w:rsidRPr="00F55235" w:rsidRDefault="00FE2BDC" w:rsidP="00FE2BDC">
      <w:pPr>
        <w:spacing w:before="100" w:beforeAutospacing="1" w:after="100" w:afterAutospacing="1" w:line="360" w:lineRule="auto"/>
        <w:outlineLvl w:val="2"/>
        <w:rPr>
          <w:rFonts w:ascii="Times New Roman" w:hAnsi="Times New Roman"/>
          <w:b/>
          <w:bCs/>
          <w:lang w:val="en-HK"/>
        </w:rPr>
      </w:pPr>
      <w:r w:rsidRPr="00F55235">
        <w:rPr>
          <w:rFonts w:ascii="Times New Roman" w:hAnsi="Times New Roman"/>
          <w:b/>
          <w:bCs/>
          <w:lang w:val="en-HK"/>
        </w:rPr>
        <w:t>5. Recommendations and Reform in Theft Law</w:t>
      </w:r>
    </w:p>
    <w:p w14:paraId="3B104321"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L.M. Clements concludes the article by addressing the confusion in the law of theft caused by conflicting judicial interpretations of appropriation, particularly in </w:t>
      </w:r>
      <w:r w:rsidRPr="00F55235">
        <w:rPr>
          <w:rFonts w:ascii="Times New Roman" w:hAnsi="Times New Roman"/>
          <w:b/>
          <w:bCs/>
          <w:lang w:val="en-HK"/>
        </w:rPr>
        <w:t>Lawrence</w:t>
      </w:r>
      <w:r w:rsidRPr="00F55235">
        <w:rPr>
          <w:rFonts w:ascii="Times New Roman" w:hAnsi="Times New Roman"/>
          <w:lang w:val="en-HK"/>
        </w:rPr>
        <w:t xml:space="preserve">, </w:t>
      </w:r>
      <w:r w:rsidRPr="00F55235">
        <w:rPr>
          <w:rFonts w:ascii="Times New Roman" w:hAnsi="Times New Roman"/>
          <w:b/>
          <w:bCs/>
          <w:lang w:val="en-HK"/>
        </w:rPr>
        <w:t>Morris</w:t>
      </w:r>
      <w:r w:rsidRPr="00F55235">
        <w:rPr>
          <w:rFonts w:ascii="Times New Roman" w:hAnsi="Times New Roman"/>
          <w:lang w:val="en-HK"/>
        </w:rPr>
        <w:t xml:space="preserve">, and </w:t>
      </w:r>
      <w:r w:rsidRPr="00F55235">
        <w:rPr>
          <w:rFonts w:ascii="Times New Roman" w:hAnsi="Times New Roman"/>
          <w:b/>
          <w:bCs/>
          <w:lang w:val="en-HK"/>
        </w:rPr>
        <w:t>Dobson</w:t>
      </w:r>
      <w:r w:rsidRPr="00F55235">
        <w:rPr>
          <w:rFonts w:ascii="Times New Roman" w:hAnsi="Times New Roman"/>
          <w:lang w:val="en-HK"/>
        </w:rPr>
        <w:t>. The focus of this section is on the systemic and ethical issues and proposed solutions to restore clarity and fairness to theft law.</w:t>
      </w:r>
    </w:p>
    <w:p w14:paraId="79EC0CDF"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19BFB005">
          <v:rect id="_x0000_i1030" alt="" style="width:451.3pt;height:.05pt;mso-width-percent:0;mso-height-percent:0;mso-width-percent:0;mso-height-percent:0" o:hralign="center" o:hrstd="t" o:hr="t" fillcolor="#a0a0a0" stroked="f"/>
        </w:pict>
      </w:r>
    </w:p>
    <w:p w14:paraId="6FB6B694" w14:textId="77777777" w:rsidR="00FE2BDC" w:rsidRPr="00F55235" w:rsidRDefault="00FE2BDC" w:rsidP="00FE2BDC">
      <w:pPr>
        <w:spacing w:before="100" w:beforeAutospacing="1" w:after="100" w:afterAutospacing="1" w:line="360" w:lineRule="auto"/>
        <w:outlineLvl w:val="2"/>
        <w:rPr>
          <w:rFonts w:ascii="Times New Roman" w:hAnsi="Times New Roman"/>
          <w:b/>
          <w:bCs/>
          <w:lang w:val="en-HK"/>
        </w:rPr>
      </w:pPr>
      <w:r w:rsidRPr="00F55235">
        <w:rPr>
          <w:rFonts w:ascii="Times New Roman" w:hAnsi="Times New Roman"/>
          <w:b/>
          <w:bCs/>
          <w:lang w:val="en-HK"/>
        </w:rPr>
        <w:t>The Need for Clarification</w:t>
      </w:r>
    </w:p>
    <w:p w14:paraId="4F873770"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Clements argues that the lack of consistency in judicial reasoning has left theft law in a state of disarray. He critiques the decisions in </w:t>
      </w:r>
      <w:r w:rsidRPr="00F55235">
        <w:rPr>
          <w:rFonts w:ascii="Times New Roman" w:hAnsi="Times New Roman"/>
          <w:b/>
          <w:bCs/>
          <w:lang w:val="en-HK"/>
        </w:rPr>
        <w:t>Dobson</w:t>
      </w:r>
      <w:r w:rsidRPr="00F55235">
        <w:rPr>
          <w:rFonts w:ascii="Times New Roman" w:hAnsi="Times New Roman"/>
          <w:lang w:val="en-HK"/>
        </w:rPr>
        <w:t xml:space="preserve"> and </w:t>
      </w:r>
      <w:r w:rsidRPr="00F55235">
        <w:rPr>
          <w:rFonts w:ascii="Times New Roman" w:hAnsi="Times New Roman"/>
          <w:b/>
          <w:bCs/>
          <w:lang w:val="en-HK"/>
        </w:rPr>
        <w:t>Lawrence</w:t>
      </w:r>
      <w:r w:rsidRPr="00F55235">
        <w:rPr>
          <w:rFonts w:ascii="Times New Roman" w:hAnsi="Times New Roman"/>
          <w:lang w:val="en-HK"/>
        </w:rPr>
        <w:t xml:space="preserve"> for their overreliance on civil law principles and their failure to align with the intended purpose of the </w:t>
      </w:r>
      <w:r w:rsidRPr="00F55235">
        <w:rPr>
          <w:rFonts w:ascii="Times New Roman" w:hAnsi="Times New Roman"/>
          <w:b/>
          <w:bCs/>
          <w:lang w:val="en-HK"/>
        </w:rPr>
        <w:t>Theft Act 1968</w:t>
      </w:r>
      <w:r w:rsidRPr="00F55235">
        <w:rPr>
          <w:rFonts w:ascii="Times New Roman" w:hAnsi="Times New Roman"/>
          <w:lang w:val="en-HK"/>
        </w:rPr>
        <w:t>. These rulings have led to several key issues:</w:t>
      </w:r>
    </w:p>
    <w:p w14:paraId="11669E47" w14:textId="77777777" w:rsidR="00FE2BDC" w:rsidRPr="00F55235" w:rsidRDefault="00FE2BDC" w:rsidP="00FE2BDC">
      <w:pPr>
        <w:numPr>
          <w:ilvl w:val="0"/>
          <w:numId w:val="16"/>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Overlap Between Theft and Deception</w:t>
      </w:r>
      <w:r w:rsidRPr="00F55235">
        <w:rPr>
          <w:rFonts w:ascii="Times New Roman" w:hAnsi="Times New Roman"/>
          <w:lang w:val="en-HK"/>
        </w:rPr>
        <w:t>:</w:t>
      </w:r>
    </w:p>
    <w:p w14:paraId="28D2D46C" w14:textId="77777777" w:rsidR="00FE2BDC" w:rsidRPr="00F55235" w:rsidRDefault="00FE2BDC" w:rsidP="00FE2BDC">
      <w:pPr>
        <w:numPr>
          <w:ilvl w:val="1"/>
          <w:numId w:val="16"/>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Judicial decisions have blurred the boundaries between theft (Section 1) and obtaining property by deception (Section 15), resulting in redundancy and undermining fair </w:t>
      </w:r>
      <w:proofErr w:type="spellStart"/>
      <w:r w:rsidRPr="00F55235">
        <w:rPr>
          <w:rFonts w:ascii="Times New Roman" w:hAnsi="Times New Roman"/>
          <w:lang w:val="en-HK"/>
        </w:rPr>
        <w:t>labeling</w:t>
      </w:r>
      <w:proofErr w:type="spellEnd"/>
      <w:r w:rsidRPr="00F55235">
        <w:rPr>
          <w:rFonts w:ascii="Times New Roman" w:hAnsi="Times New Roman"/>
          <w:lang w:val="en-HK"/>
        </w:rPr>
        <w:t>.</w:t>
      </w:r>
    </w:p>
    <w:p w14:paraId="3B2C09C7" w14:textId="77777777" w:rsidR="00FE2BDC" w:rsidRPr="00F55235" w:rsidRDefault="00FE2BDC" w:rsidP="00FE2BDC">
      <w:pPr>
        <w:numPr>
          <w:ilvl w:val="1"/>
          <w:numId w:val="16"/>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Example: In </w:t>
      </w:r>
      <w:r w:rsidRPr="00F55235">
        <w:rPr>
          <w:rFonts w:ascii="Times New Roman" w:hAnsi="Times New Roman"/>
          <w:b/>
          <w:bCs/>
          <w:lang w:val="en-HK"/>
        </w:rPr>
        <w:t>Dobson</w:t>
      </w:r>
      <w:r w:rsidRPr="00F55235">
        <w:rPr>
          <w:rFonts w:ascii="Times New Roman" w:hAnsi="Times New Roman"/>
          <w:lang w:val="en-HK"/>
        </w:rPr>
        <w:t>, the rogue’s use of a stolen cheque constituted both theft and deception, collapsing the distinction between the two offenses.</w:t>
      </w:r>
    </w:p>
    <w:p w14:paraId="237FE944" w14:textId="77777777" w:rsidR="00FE2BDC" w:rsidRPr="00F55235" w:rsidRDefault="00FE2BDC" w:rsidP="00FE2BDC">
      <w:pPr>
        <w:numPr>
          <w:ilvl w:val="0"/>
          <w:numId w:val="16"/>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Reliance on Civil Law Principles</w:t>
      </w:r>
      <w:r w:rsidRPr="00F55235">
        <w:rPr>
          <w:rFonts w:ascii="Times New Roman" w:hAnsi="Times New Roman"/>
          <w:lang w:val="en-HK"/>
        </w:rPr>
        <w:t>:</w:t>
      </w:r>
    </w:p>
    <w:p w14:paraId="7D24A499" w14:textId="77777777" w:rsidR="00FE2BDC" w:rsidRPr="00F55235" w:rsidRDefault="00FE2BDC" w:rsidP="00FE2BDC">
      <w:pPr>
        <w:numPr>
          <w:ilvl w:val="1"/>
          <w:numId w:val="16"/>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Lord Justice Parker in Dobson relied heavily on the </w:t>
      </w:r>
      <w:r w:rsidRPr="00F55235">
        <w:rPr>
          <w:rFonts w:ascii="Times New Roman" w:hAnsi="Times New Roman"/>
          <w:b/>
          <w:bCs/>
          <w:lang w:val="en-HK"/>
        </w:rPr>
        <w:t>Sale of Goods Act 1979</w:t>
      </w:r>
      <w:r w:rsidRPr="00F55235">
        <w:rPr>
          <w:rFonts w:ascii="Times New Roman" w:hAnsi="Times New Roman"/>
          <w:lang w:val="en-HK"/>
        </w:rPr>
        <w:t>, particularly Sections 17 and 18, to determine when property passed. Clements critiques this approach, noting:</w:t>
      </w:r>
    </w:p>
    <w:p w14:paraId="01CB8C0E"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"The criminal law must not be subordinated to civil doctrines, as they serve fundamentally distinct purposes."</w:t>
      </w:r>
    </w:p>
    <w:p w14:paraId="78C89BF8" w14:textId="77777777" w:rsidR="00FE2BDC" w:rsidRPr="00F55235" w:rsidRDefault="00FE2BDC" w:rsidP="00FE2BDC">
      <w:pPr>
        <w:numPr>
          <w:ilvl w:val="1"/>
          <w:numId w:val="16"/>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This reliance creates uncertainty for bona fide purchasers protected under </w:t>
      </w:r>
      <w:r w:rsidRPr="00F55235">
        <w:rPr>
          <w:rFonts w:ascii="Times New Roman" w:hAnsi="Times New Roman"/>
          <w:b/>
          <w:bCs/>
          <w:lang w:val="en-HK"/>
        </w:rPr>
        <w:t>Section 23</w:t>
      </w:r>
      <w:r w:rsidRPr="00F55235">
        <w:rPr>
          <w:rFonts w:ascii="Times New Roman" w:hAnsi="Times New Roman"/>
          <w:lang w:val="en-HK"/>
        </w:rPr>
        <w:t xml:space="preserve"> of the Sale of Goods Act, as seen in the comparison between </w:t>
      </w:r>
      <w:r w:rsidRPr="00F55235">
        <w:rPr>
          <w:rFonts w:ascii="Times New Roman" w:hAnsi="Times New Roman"/>
          <w:b/>
          <w:bCs/>
          <w:lang w:val="en-HK"/>
        </w:rPr>
        <w:t xml:space="preserve">Lewis v </w:t>
      </w:r>
      <w:proofErr w:type="spellStart"/>
      <w:r w:rsidRPr="00F55235">
        <w:rPr>
          <w:rFonts w:ascii="Times New Roman" w:hAnsi="Times New Roman"/>
          <w:b/>
          <w:bCs/>
          <w:lang w:val="en-HK"/>
        </w:rPr>
        <w:t>Averay</w:t>
      </w:r>
      <w:proofErr w:type="spellEnd"/>
      <w:r w:rsidRPr="00F55235">
        <w:rPr>
          <w:rFonts w:ascii="Times New Roman" w:hAnsi="Times New Roman"/>
          <w:b/>
          <w:bCs/>
          <w:lang w:val="en-HK"/>
        </w:rPr>
        <w:t xml:space="preserve"> [1971] 2 All ER 507</w:t>
      </w:r>
      <w:r w:rsidRPr="00F55235">
        <w:rPr>
          <w:rFonts w:ascii="Times New Roman" w:hAnsi="Times New Roman"/>
          <w:lang w:val="en-HK"/>
        </w:rPr>
        <w:t xml:space="preserve"> and </w:t>
      </w:r>
      <w:r w:rsidRPr="00F55235">
        <w:rPr>
          <w:rFonts w:ascii="Times New Roman" w:hAnsi="Times New Roman"/>
          <w:b/>
          <w:bCs/>
          <w:lang w:val="en-HK"/>
        </w:rPr>
        <w:t>Ingram v Little [1961] 1 QB 31</w:t>
      </w:r>
      <w:r w:rsidRPr="00F55235">
        <w:rPr>
          <w:rFonts w:ascii="Times New Roman" w:hAnsi="Times New Roman"/>
          <w:lang w:val="en-HK"/>
        </w:rPr>
        <w:t>.</w:t>
      </w:r>
    </w:p>
    <w:p w14:paraId="431483B7" w14:textId="77777777" w:rsidR="00FE2BDC" w:rsidRPr="00F55235" w:rsidRDefault="00FE2BDC" w:rsidP="00FE2BDC">
      <w:pPr>
        <w:numPr>
          <w:ilvl w:val="0"/>
          <w:numId w:val="16"/>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Criminalization of Lawful Transactions</w:t>
      </w:r>
      <w:r w:rsidRPr="00F55235">
        <w:rPr>
          <w:rFonts w:ascii="Times New Roman" w:hAnsi="Times New Roman"/>
          <w:lang w:val="en-HK"/>
        </w:rPr>
        <w:t>:</w:t>
      </w:r>
    </w:p>
    <w:p w14:paraId="050DCF3D" w14:textId="77777777" w:rsidR="00FE2BDC" w:rsidRPr="00F55235" w:rsidRDefault="00FE2BDC" w:rsidP="00FE2BDC">
      <w:pPr>
        <w:numPr>
          <w:ilvl w:val="1"/>
          <w:numId w:val="16"/>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lastRenderedPageBreak/>
        <w:t xml:space="preserve">Judicial interpretations have extended theft to encompass lawful or consensual transactions if dishonesty is later established, as in </w:t>
      </w:r>
      <w:r w:rsidRPr="00F55235">
        <w:rPr>
          <w:rFonts w:ascii="Times New Roman" w:hAnsi="Times New Roman"/>
          <w:b/>
          <w:bCs/>
          <w:lang w:val="en-HK"/>
        </w:rPr>
        <w:t>R v Hinks [2001] 4 All ER 833</w:t>
      </w:r>
      <w:r w:rsidRPr="00F55235">
        <w:rPr>
          <w:rFonts w:ascii="Times New Roman" w:hAnsi="Times New Roman"/>
          <w:lang w:val="en-HK"/>
        </w:rPr>
        <w:t>.</w:t>
      </w:r>
    </w:p>
    <w:p w14:paraId="7DD3FCC5"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7B52BC58">
          <v:rect id="_x0000_i1029" alt="" style="width:451.3pt;height:.05pt;mso-width-percent:0;mso-height-percent:0;mso-width-percent:0;mso-height-percent:0" o:hralign="center" o:hrstd="t" o:hr="t" fillcolor="#a0a0a0" stroked="f"/>
        </w:pict>
      </w:r>
    </w:p>
    <w:p w14:paraId="489518D0" w14:textId="77777777" w:rsidR="00FE2BDC" w:rsidRPr="00F55235" w:rsidRDefault="00FE2BDC" w:rsidP="00FE2BDC">
      <w:pPr>
        <w:spacing w:before="100" w:beforeAutospacing="1" w:after="100" w:afterAutospacing="1" w:line="360" w:lineRule="auto"/>
        <w:outlineLvl w:val="2"/>
        <w:rPr>
          <w:rFonts w:ascii="Times New Roman" w:hAnsi="Times New Roman"/>
          <w:b/>
          <w:bCs/>
          <w:lang w:val="en-HK"/>
        </w:rPr>
      </w:pPr>
      <w:r w:rsidRPr="00F55235">
        <w:rPr>
          <w:rFonts w:ascii="Times New Roman" w:hAnsi="Times New Roman"/>
          <w:b/>
          <w:bCs/>
          <w:lang w:val="en-HK"/>
        </w:rPr>
        <w:t>Proposed Reforms</w:t>
      </w:r>
    </w:p>
    <w:p w14:paraId="1AE5B829"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1. Revisiting Lawrence and Dobson</w:t>
      </w:r>
    </w:p>
    <w:p w14:paraId="79D6B324"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Clements advocates for the House of Lords to reconcile the conflicting precedents in </w:t>
      </w:r>
      <w:r w:rsidRPr="00F55235">
        <w:rPr>
          <w:rFonts w:ascii="Times New Roman" w:hAnsi="Times New Roman"/>
          <w:b/>
          <w:bCs/>
          <w:lang w:val="en-HK"/>
        </w:rPr>
        <w:t>Lawrence</w:t>
      </w:r>
      <w:r w:rsidRPr="00F55235">
        <w:rPr>
          <w:rFonts w:ascii="Times New Roman" w:hAnsi="Times New Roman"/>
          <w:lang w:val="en-HK"/>
        </w:rPr>
        <w:t xml:space="preserve"> and </w:t>
      </w:r>
      <w:r w:rsidRPr="00F55235">
        <w:rPr>
          <w:rFonts w:ascii="Times New Roman" w:hAnsi="Times New Roman"/>
          <w:b/>
          <w:bCs/>
          <w:lang w:val="en-HK"/>
        </w:rPr>
        <w:t>Morris</w:t>
      </w:r>
      <w:r w:rsidRPr="00F55235">
        <w:rPr>
          <w:rFonts w:ascii="Times New Roman" w:hAnsi="Times New Roman"/>
          <w:lang w:val="en-HK"/>
        </w:rPr>
        <w:t xml:space="preserve"> and address the implications of </w:t>
      </w:r>
      <w:r w:rsidRPr="00F55235">
        <w:rPr>
          <w:rFonts w:ascii="Times New Roman" w:hAnsi="Times New Roman"/>
          <w:b/>
          <w:bCs/>
          <w:lang w:val="en-HK"/>
        </w:rPr>
        <w:t>Dobson</w:t>
      </w:r>
      <w:r w:rsidRPr="00F55235">
        <w:rPr>
          <w:rFonts w:ascii="Times New Roman" w:hAnsi="Times New Roman"/>
          <w:lang w:val="en-HK"/>
        </w:rPr>
        <w:t>.</w:t>
      </w:r>
    </w:p>
    <w:p w14:paraId="3CA35966" w14:textId="77777777" w:rsidR="00FE2BDC" w:rsidRPr="00F55235" w:rsidRDefault="00FE2BDC" w:rsidP="00FE2BDC">
      <w:pPr>
        <w:numPr>
          <w:ilvl w:val="0"/>
          <w:numId w:val="17"/>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Lawrence’s Neutrality</w:t>
      </w:r>
      <w:r w:rsidRPr="00F55235">
        <w:rPr>
          <w:rFonts w:ascii="Times New Roman" w:hAnsi="Times New Roman"/>
          <w:lang w:val="en-HK"/>
        </w:rPr>
        <w:t>:</w:t>
      </w:r>
    </w:p>
    <w:p w14:paraId="61A9787E" w14:textId="77777777" w:rsidR="00FE2BDC" w:rsidRPr="00F55235" w:rsidRDefault="00FE2BDC" w:rsidP="00FE2BDC">
      <w:pPr>
        <w:numPr>
          <w:ilvl w:val="1"/>
          <w:numId w:val="17"/>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Lawrence treated appropriation as a neutral act, making consent irrelevant.</w:t>
      </w:r>
    </w:p>
    <w:p w14:paraId="3D805CD4" w14:textId="77777777" w:rsidR="00FE2BDC" w:rsidRPr="00F55235" w:rsidRDefault="00FE2BDC" w:rsidP="00FE2BDC">
      <w:pPr>
        <w:numPr>
          <w:ilvl w:val="1"/>
          <w:numId w:val="17"/>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Viscount </w:t>
      </w:r>
      <w:proofErr w:type="spellStart"/>
      <w:r w:rsidRPr="00F55235">
        <w:rPr>
          <w:rFonts w:ascii="Times New Roman" w:hAnsi="Times New Roman"/>
          <w:lang w:val="en-HK"/>
        </w:rPr>
        <w:t>Dilhorne</w:t>
      </w:r>
      <w:proofErr w:type="spellEnd"/>
      <w:r w:rsidRPr="00F55235">
        <w:rPr>
          <w:rFonts w:ascii="Times New Roman" w:hAnsi="Times New Roman"/>
          <w:lang w:val="en-HK"/>
        </w:rPr>
        <w:t xml:space="preserve"> emphasized:</w:t>
      </w:r>
    </w:p>
    <w:p w14:paraId="00760FCE"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“Appropriation does not depend on whether the owner has permitted or consented to the property being taken.”</w:t>
      </w:r>
    </w:p>
    <w:p w14:paraId="4C48FCB2" w14:textId="77777777" w:rsidR="00FE2BDC" w:rsidRPr="00F55235" w:rsidRDefault="00FE2BDC" w:rsidP="00FE2BDC">
      <w:pPr>
        <w:numPr>
          <w:ilvl w:val="1"/>
          <w:numId w:val="17"/>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Criticism</w:t>
      </w:r>
      <w:r w:rsidRPr="00F55235">
        <w:rPr>
          <w:rFonts w:ascii="Times New Roman" w:hAnsi="Times New Roman"/>
          <w:lang w:val="en-HK"/>
        </w:rPr>
        <w:t>:</w:t>
      </w:r>
    </w:p>
    <w:p w14:paraId="27130E9C" w14:textId="77777777" w:rsidR="00FE2BDC" w:rsidRPr="00F55235" w:rsidRDefault="00FE2BDC" w:rsidP="00FE2BDC">
      <w:pPr>
        <w:numPr>
          <w:ilvl w:val="2"/>
          <w:numId w:val="17"/>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Clements argues that this interpretation is overly broad, as it detaches appropriation from wrongful interference, leading to the criminalization of trivial acts.</w:t>
      </w:r>
    </w:p>
    <w:p w14:paraId="212442BA" w14:textId="77777777" w:rsidR="00FE2BDC" w:rsidRPr="00F55235" w:rsidRDefault="00FE2BDC" w:rsidP="00FE2BDC">
      <w:pPr>
        <w:numPr>
          <w:ilvl w:val="0"/>
          <w:numId w:val="17"/>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Morris’s Adverse Interference Requirement</w:t>
      </w:r>
      <w:r w:rsidRPr="00F55235">
        <w:rPr>
          <w:rFonts w:ascii="Times New Roman" w:hAnsi="Times New Roman"/>
          <w:lang w:val="en-HK"/>
        </w:rPr>
        <w:t>:</w:t>
      </w:r>
    </w:p>
    <w:p w14:paraId="07209B10" w14:textId="77777777" w:rsidR="00FE2BDC" w:rsidRPr="00F55235" w:rsidRDefault="00FE2BDC" w:rsidP="00FE2BDC">
      <w:pPr>
        <w:numPr>
          <w:ilvl w:val="1"/>
          <w:numId w:val="17"/>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Morris tied appropriation to adverse interference or usurpation of the owner’s rights, reintroducing consent as a relevant factor. Lord Roskill stated:</w:t>
      </w:r>
    </w:p>
    <w:p w14:paraId="08E95EDA"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“Appropriation involves not an act authorized by the owner but an act by way of adverse interference with or usurpation of those rights.”</w:t>
      </w:r>
    </w:p>
    <w:p w14:paraId="7BE880D9" w14:textId="77777777" w:rsidR="00FE2BDC" w:rsidRPr="00F55235" w:rsidRDefault="00FE2BDC" w:rsidP="00FE2BDC">
      <w:pPr>
        <w:numPr>
          <w:ilvl w:val="1"/>
          <w:numId w:val="17"/>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Criticism</w:t>
      </w:r>
      <w:r w:rsidRPr="00F55235">
        <w:rPr>
          <w:rFonts w:ascii="Times New Roman" w:hAnsi="Times New Roman"/>
          <w:lang w:val="en-HK"/>
        </w:rPr>
        <w:t>:</w:t>
      </w:r>
    </w:p>
    <w:p w14:paraId="21A3F2C1" w14:textId="77777777" w:rsidR="00FE2BDC" w:rsidRPr="00F55235" w:rsidRDefault="00FE2BDC" w:rsidP="00FE2BDC">
      <w:pPr>
        <w:numPr>
          <w:ilvl w:val="2"/>
          <w:numId w:val="17"/>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While this approach narrows the scope of appropriation, it creates inconsistency with Lawrence and raises questions about the relevance of dishonesty.</w:t>
      </w:r>
    </w:p>
    <w:p w14:paraId="29A49B93" w14:textId="77777777" w:rsidR="00FE2BDC" w:rsidRPr="00F55235" w:rsidRDefault="00FE2BDC" w:rsidP="00FE2BDC">
      <w:pPr>
        <w:numPr>
          <w:ilvl w:val="0"/>
          <w:numId w:val="17"/>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Dobson’s Impact</w:t>
      </w:r>
      <w:r w:rsidRPr="00F55235">
        <w:rPr>
          <w:rFonts w:ascii="Times New Roman" w:hAnsi="Times New Roman"/>
          <w:lang w:val="en-HK"/>
        </w:rPr>
        <w:t>:</w:t>
      </w:r>
    </w:p>
    <w:p w14:paraId="2AF1187E" w14:textId="77777777" w:rsidR="00FE2BDC" w:rsidRPr="00F55235" w:rsidRDefault="00FE2BDC" w:rsidP="00FE2BDC">
      <w:pPr>
        <w:numPr>
          <w:ilvl w:val="1"/>
          <w:numId w:val="17"/>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lastRenderedPageBreak/>
        <w:t xml:space="preserve">Clements notes that </w:t>
      </w:r>
      <w:r w:rsidRPr="00F55235">
        <w:rPr>
          <w:rFonts w:ascii="Times New Roman" w:hAnsi="Times New Roman"/>
          <w:b/>
          <w:bCs/>
          <w:lang w:val="en-HK"/>
        </w:rPr>
        <w:t>Dobson</w:t>
      </w:r>
      <w:r w:rsidRPr="00F55235">
        <w:rPr>
          <w:rFonts w:ascii="Times New Roman" w:hAnsi="Times New Roman"/>
          <w:lang w:val="en-HK"/>
        </w:rPr>
        <w:t xml:space="preserve"> exacerbates the inconsistency by blending civil law principles with criminal liability. He warns:</w:t>
      </w:r>
    </w:p>
    <w:p w14:paraId="7E455530"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“If the making of a contract constitutes appropriation, the distinction between ownership and wrongful assumption collapses.”</w:t>
      </w:r>
    </w:p>
    <w:p w14:paraId="44E21437"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03B1F326">
          <v:rect id="_x0000_i1028" alt="" style="width:451.3pt;height:.05pt;mso-width-percent:0;mso-height-percent:0;mso-width-percent:0;mso-height-percent:0" o:hralign="center" o:hrstd="t" o:hr="t" fillcolor="#a0a0a0" stroked="f"/>
        </w:pict>
      </w:r>
    </w:p>
    <w:p w14:paraId="302E4C89"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2. Legislative Reform</w:t>
      </w:r>
    </w:p>
    <w:p w14:paraId="7B3AF357"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Clements calls for amendments to the </w:t>
      </w:r>
      <w:r w:rsidRPr="00F55235">
        <w:rPr>
          <w:rFonts w:ascii="Times New Roman" w:hAnsi="Times New Roman"/>
          <w:b/>
          <w:bCs/>
          <w:lang w:val="en-HK"/>
        </w:rPr>
        <w:t>Theft Act 1968</w:t>
      </w:r>
      <w:r w:rsidRPr="00F55235">
        <w:rPr>
          <w:rFonts w:ascii="Times New Roman" w:hAnsi="Times New Roman"/>
          <w:lang w:val="en-HK"/>
        </w:rPr>
        <w:t xml:space="preserve"> to address the ambiguities surrounding appropriation, consent, and the overlap with deception offenses.</w:t>
      </w:r>
    </w:p>
    <w:p w14:paraId="1F964D10" w14:textId="77777777" w:rsidR="00FE2BDC" w:rsidRPr="00F55235" w:rsidRDefault="00FE2BDC" w:rsidP="00FE2BDC">
      <w:pPr>
        <w:numPr>
          <w:ilvl w:val="0"/>
          <w:numId w:val="18"/>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Key Recommendations</w:t>
      </w:r>
      <w:r w:rsidRPr="00F55235">
        <w:rPr>
          <w:rFonts w:ascii="Times New Roman" w:hAnsi="Times New Roman"/>
          <w:lang w:val="en-HK"/>
        </w:rPr>
        <w:t>:</w:t>
      </w:r>
    </w:p>
    <w:p w14:paraId="64172D69" w14:textId="77777777" w:rsidR="00FE2BDC" w:rsidRPr="00F55235" w:rsidRDefault="00FE2BDC" w:rsidP="00FE2BDC">
      <w:pPr>
        <w:numPr>
          <w:ilvl w:val="1"/>
          <w:numId w:val="18"/>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Redefining Appropriation</w:t>
      </w:r>
      <w:r w:rsidRPr="00F55235">
        <w:rPr>
          <w:rFonts w:ascii="Times New Roman" w:hAnsi="Times New Roman"/>
          <w:lang w:val="en-HK"/>
        </w:rPr>
        <w:t>:</w:t>
      </w:r>
    </w:p>
    <w:p w14:paraId="683603BD" w14:textId="77777777" w:rsidR="00FE2BDC" w:rsidRPr="00F55235" w:rsidRDefault="00FE2BDC" w:rsidP="00FE2BDC">
      <w:pPr>
        <w:numPr>
          <w:ilvl w:val="2"/>
          <w:numId w:val="18"/>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Appropriation should explicitly require adverse interference or usurpation of the owner’s rights, aligning with the principles in Morris.</w:t>
      </w:r>
    </w:p>
    <w:p w14:paraId="7B3A4764" w14:textId="77777777" w:rsidR="00FE2BDC" w:rsidRPr="00F55235" w:rsidRDefault="00FE2BDC" w:rsidP="00FE2BDC">
      <w:pPr>
        <w:numPr>
          <w:ilvl w:val="2"/>
          <w:numId w:val="18"/>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This would restore the focus on wrongful acts rather than neutral or trivial actions.</w:t>
      </w:r>
    </w:p>
    <w:p w14:paraId="05D1D073" w14:textId="77777777" w:rsidR="00FE2BDC" w:rsidRPr="00F55235" w:rsidRDefault="00FE2BDC" w:rsidP="00FE2BDC">
      <w:pPr>
        <w:numPr>
          <w:ilvl w:val="1"/>
          <w:numId w:val="18"/>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Clarifying Consent</w:t>
      </w:r>
      <w:r w:rsidRPr="00F55235">
        <w:rPr>
          <w:rFonts w:ascii="Times New Roman" w:hAnsi="Times New Roman"/>
          <w:lang w:val="en-HK"/>
        </w:rPr>
        <w:t>:</w:t>
      </w:r>
    </w:p>
    <w:p w14:paraId="5D368EB0" w14:textId="77777777" w:rsidR="00FE2BDC" w:rsidRPr="00F55235" w:rsidRDefault="00FE2BDC" w:rsidP="00FE2BDC">
      <w:pPr>
        <w:numPr>
          <w:ilvl w:val="2"/>
          <w:numId w:val="18"/>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Act should specify the role of consent in determining appropriation, resolving the tension between Lawrence and Morris.</w:t>
      </w:r>
    </w:p>
    <w:p w14:paraId="110CD7A6" w14:textId="77777777" w:rsidR="00FE2BDC" w:rsidRPr="00F55235" w:rsidRDefault="00FE2BDC" w:rsidP="00FE2BDC">
      <w:pPr>
        <w:numPr>
          <w:ilvl w:val="1"/>
          <w:numId w:val="18"/>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Distinguishing Theft and Deception</w:t>
      </w:r>
      <w:r w:rsidRPr="00F55235">
        <w:rPr>
          <w:rFonts w:ascii="Times New Roman" w:hAnsi="Times New Roman"/>
          <w:lang w:val="en-HK"/>
        </w:rPr>
        <w:t>:</w:t>
      </w:r>
    </w:p>
    <w:p w14:paraId="34B9A963" w14:textId="77777777" w:rsidR="00FE2BDC" w:rsidRPr="00F55235" w:rsidRDefault="00FE2BDC" w:rsidP="00FE2BDC">
      <w:pPr>
        <w:numPr>
          <w:ilvl w:val="2"/>
          <w:numId w:val="18"/>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definitions of theft and deception should be amended to maintain clear boundaries, ensuring that each offense reflects distinct moral and legal wrongs.</w:t>
      </w:r>
    </w:p>
    <w:p w14:paraId="51A409A4"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4002B668">
          <v:rect id="_x0000_i1027" alt="" style="width:451.3pt;height:.05pt;mso-width-percent:0;mso-height-percent:0;mso-width-percent:0;mso-height-percent:0" o:hralign="center" o:hrstd="t" o:hr="t" fillcolor="#a0a0a0" stroked="f"/>
        </w:pict>
      </w:r>
    </w:p>
    <w:p w14:paraId="1D12A7C8"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3. Restoring Fair Labelling</w:t>
      </w:r>
    </w:p>
    <w:p w14:paraId="6FBB56E8"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Clements emphasizes the importance of fair </w:t>
      </w:r>
      <w:proofErr w:type="spellStart"/>
      <w:r w:rsidRPr="00F55235">
        <w:rPr>
          <w:rFonts w:ascii="Times New Roman" w:hAnsi="Times New Roman"/>
          <w:lang w:val="en-HK"/>
        </w:rPr>
        <w:t>labeling</w:t>
      </w:r>
      <w:proofErr w:type="spellEnd"/>
      <w:r w:rsidRPr="00F55235">
        <w:rPr>
          <w:rFonts w:ascii="Times New Roman" w:hAnsi="Times New Roman"/>
          <w:lang w:val="en-HK"/>
        </w:rPr>
        <w:t xml:space="preserve"> in criminal law, which requires offenses to be distinct and accurately defined to reflect their underlying moral principles.</w:t>
      </w:r>
    </w:p>
    <w:p w14:paraId="0101E56A" w14:textId="77777777" w:rsidR="00FE2BDC" w:rsidRPr="00F55235" w:rsidRDefault="00FE2BDC" w:rsidP="00FE2BDC">
      <w:pPr>
        <w:numPr>
          <w:ilvl w:val="0"/>
          <w:numId w:val="19"/>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Criticism of Current Law</w:t>
      </w:r>
      <w:r w:rsidRPr="00F55235">
        <w:rPr>
          <w:rFonts w:ascii="Times New Roman" w:hAnsi="Times New Roman"/>
          <w:lang w:val="en-HK"/>
        </w:rPr>
        <w:t>:</w:t>
      </w:r>
    </w:p>
    <w:p w14:paraId="40CAD2F9" w14:textId="77777777" w:rsidR="00FE2BDC" w:rsidRPr="00F55235" w:rsidRDefault="00FE2BDC" w:rsidP="00FE2BDC">
      <w:pPr>
        <w:numPr>
          <w:ilvl w:val="1"/>
          <w:numId w:val="19"/>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lastRenderedPageBreak/>
        <w:t xml:space="preserve">The overlap between theft and deception undermines fair </w:t>
      </w:r>
      <w:proofErr w:type="spellStart"/>
      <w:r w:rsidRPr="00F55235">
        <w:rPr>
          <w:rFonts w:ascii="Times New Roman" w:hAnsi="Times New Roman"/>
          <w:lang w:val="en-HK"/>
        </w:rPr>
        <w:t>labeling</w:t>
      </w:r>
      <w:proofErr w:type="spellEnd"/>
      <w:r w:rsidRPr="00F55235">
        <w:rPr>
          <w:rFonts w:ascii="Times New Roman" w:hAnsi="Times New Roman"/>
          <w:lang w:val="en-HK"/>
        </w:rPr>
        <w:t xml:space="preserve"> by treating distinct acts as interchangeable offenses.</w:t>
      </w:r>
    </w:p>
    <w:p w14:paraId="400C6E87" w14:textId="77777777" w:rsidR="00FE2BDC" w:rsidRPr="00F55235" w:rsidRDefault="00FE2BDC" w:rsidP="00FE2BDC">
      <w:pPr>
        <w:numPr>
          <w:ilvl w:val="1"/>
          <w:numId w:val="19"/>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Example: In Dobson, the rogue’s use of deception to obtain goods was treated as theft, collapsing the moral distinction between the two offenses.</w:t>
      </w:r>
    </w:p>
    <w:p w14:paraId="37F90EB4" w14:textId="77777777" w:rsidR="00FE2BDC" w:rsidRPr="00F55235" w:rsidRDefault="00FE2BDC" w:rsidP="00FE2BDC">
      <w:pPr>
        <w:numPr>
          <w:ilvl w:val="1"/>
          <w:numId w:val="19"/>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Clements observes:</w:t>
      </w:r>
    </w:p>
    <w:p w14:paraId="68B5EB2D"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 xml:space="preserve">“Fair </w:t>
      </w:r>
      <w:proofErr w:type="spellStart"/>
      <w:r w:rsidRPr="00F55235">
        <w:rPr>
          <w:rFonts w:ascii="Times New Roman" w:hAnsi="Times New Roman"/>
          <w:lang w:val="en-HK"/>
        </w:rPr>
        <w:t>labeling</w:t>
      </w:r>
      <w:proofErr w:type="spellEnd"/>
      <w:r w:rsidRPr="00F55235">
        <w:rPr>
          <w:rFonts w:ascii="Times New Roman" w:hAnsi="Times New Roman"/>
          <w:lang w:val="en-HK"/>
        </w:rPr>
        <w:t xml:space="preserve"> is essential to preserve the integrity of the criminal justice system and ensure that offenses are proportionate to the wrongdoing involved.”</w:t>
      </w:r>
    </w:p>
    <w:p w14:paraId="260C0ABF"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38554B3D">
          <v:rect id="_x0000_i1026" alt="" style="width:451.3pt;height:.05pt;mso-width-percent:0;mso-height-percent:0;mso-width-percent:0;mso-height-percent:0" o:hralign="center" o:hrstd="t" o:hr="t" fillcolor="#a0a0a0" stroked="f"/>
        </w:pict>
      </w:r>
    </w:p>
    <w:p w14:paraId="3704FC5B" w14:textId="77777777" w:rsidR="00FE2BDC" w:rsidRPr="00F55235" w:rsidRDefault="00FE2BDC" w:rsidP="00FE2BDC">
      <w:pPr>
        <w:spacing w:before="100" w:beforeAutospacing="1" w:after="100" w:afterAutospacing="1" w:line="360" w:lineRule="auto"/>
        <w:outlineLvl w:val="3"/>
        <w:rPr>
          <w:rFonts w:ascii="Times New Roman" w:hAnsi="Times New Roman"/>
          <w:b/>
          <w:bCs/>
          <w:lang w:val="en-HK"/>
        </w:rPr>
      </w:pPr>
      <w:r w:rsidRPr="00F55235">
        <w:rPr>
          <w:rFonts w:ascii="Times New Roman" w:hAnsi="Times New Roman"/>
          <w:b/>
          <w:bCs/>
          <w:lang w:val="en-HK"/>
        </w:rPr>
        <w:t>4. Ethical and Systemic Integrity</w:t>
      </w:r>
    </w:p>
    <w:p w14:paraId="55520706"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Clements highlights the broader ethical and systemic implications of the current law and calls for reforms to restore balance and coherence.</w:t>
      </w:r>
    </w:p>
    <w:p w14:paraId="46E45476" w14:textId="77777777" w:rsidR="00FE2BDC" w:rsidRPr="00F55235" w:rsidRDefault="00FE2BDC" w:rsidP="00FE2BDC">
      <w:pPr>
        <w:numPr>
          <w:ilvl w:val="0"/>
          <w:numId w:val="20"/>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Proportionality</w:t>
      </w:r>
      <w:r w:rsidRPr="00F55235">
        <w:rPr>
          <w:rFonts w:ascii="Times New Roman" w:hAnsi="Times New Roman"/>
          <w:lang w:val="en-HK"/>
        </w:rPr>
        <w:t>:</w:t>
      </w:r>
    </w:p>
    <w:p w14:paraId="40890032" w14:textId="77777777" w:rsidR="00FE2BDC" w:rsidRPr="00F55235" w:rsidRDefault="00FE2BDC" w:rsidP="00FE2BDC">
      <w:pPr>
        <w:numPr>
          <w:ilvl w:val="1"/>
          <w:numId w:val="20"/>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broad interpretation of appropriation risks criminalizing trivial acts, violating the principle of proportionality. Clements states:</w:t>
      </w:r>
    </w:p>
    <w:p w14:paraId="62D94305"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“The law must distinguish between harmful and innocuous conduct to ensure that criminal liability is proportionate to the offense.”</w:t>
      </w:r>
    </w:p>
    <w:p w14:paraId="43ED143F" w14:textId="77777777" w:rsidR="00FE2BDC" w:rsidRPr="00F55235" w:rsidRDefault="00FE2BDC" w:rsidP="00FE2BDC">
      <w:pPr>
        <w:numPr>
          <w:ilvl w:val="0"/>
          <w:numId w:val="20"/>
        </w:numPr>
        <w:spacing w:before="100" w:beforeAutospacing="1" w:after="100" w:afterAutospacing="1" w:line="360" w:lineRule="auto"/>
        <w:rPr>
          <w:rFonts w:ascii="Times New Roman" w:hAnsi="Times New Roman"/>
          <w:lang w:val="en-HK"/>
        </w:rPr>
      </w:pPr>
      <w:r w:rsidRPr="00F55235">
        <w:rPr>
          <w:rFonts w:ascii="Times New Roman" w:hAnsi="Times New Roman"/>
          <w:b/>
          <w:bCs/>
          <w:lang w:val="en-HK"/>
        </w:rPr>
        <w:t>Fair Warning</w:t>
      </w:r>
      <w:r w:rsidRPr="00F55235">
        <w:rPr>
          <w:rFonts w:ascii="Times New Roman" w:hAnsi="Times New Roman"/>
          <w:lang w:val="en-HK"/>
        </w:rPr>
        <w:t>:</w:t>
      </w:r>
    </w:p>
    <w:p w14:paraId="792E9145" w14:textId="77777777" w:rsidR="00FE2BDC" w:rsidRPr="00F55235" w:rsidRDefault="00FE2BDC" w:rsidP="00FE2BDC">
      <w:pPr>
        <w:numPr>
          <w:ilvl w:val="1"/>
          <w:numId w:val="20"/>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lack of clarity in the law leaves defendants uncertain about the legality of their actions, undermining the principle of fair warning. Clements critiques:</w:t>
      </w:r>
    </w:p>
    <w:p w14:paraId="0A8802D9" w14:textId="77777777" w:rsidR="00FE2BDC" w:rsidRPr="00F55235" w:rsidRDefault="00FE2BDC" w:rsidP="00FE2BDC">
      <w:pPr>
        <w:spacing w:beforeAutospacing="1" w:afterAutospacing="1" w:line="360" w:lineRule="auto"/>
        <w:ind w:left="2160"/>
        <w:rPr>
          <w:rFonts w:ascii="Times New Roman" w:hAnsi="Times New Roman"/>
          <w:lang w:val="en-HK"/>
        </w:rPr>
      </w:pPr>
      <w:r w:rsidRPr="00F55235">
        <w:rPr>
          <w:rFonts w:ascii="Times New Roman" w:hAnsi="Times New Roman"/>
          <w:lang w:val="en-HK"/>
        </w:rPr>
        <w:t>“A coherent legal framework must provide clear guidance to individuals, ensuring that they can avoid unintentional breaches of the law.”</w:t>
      </w:r>
    </w:p>
    <w:p w14:paraId="1EE1FF33" w14:textId="77777777" w:rsidR="00FE2BDC" w:rsidRPr="00F55235" w:rsidRDefault="00964AC4" w:rsidP="00FE2BDC">
      <w:pPr>
        <w:spacing w:line="360" w:lineRule="auto"/>
        <w:rPr>
          <w:rFonts w:ascii="Times New Roman" w:hAnsi="Times New Roman"/>
          <w:lang w:val="en-HK"/>
        </w:rPr>
      </w:pPr>
      <w:r w:rsidRPr="00964AC4">
        <w:rPr>
          <w:rFonts w:ascii="Times New Roman" w:hAnsi="Times New Roman"/>
          <w:noProof/>
          <w:lang w:val="en-HK"/>
          <w14:ligatures w14:val="standardContextual"/>
        </w:rPr>
        <w:pict w14:anchorId="5BEA33A1">
          <v:rect id="_x0000_i1025" alt="" style="width:451.3pt;height:.05pt;mso-width-percent:0;mso-height-percent:0;mso-width-percent:0;mso-height-percent:0" o:hralign="center" o:hrstd="t" o:hr="t" fillcolor="#a0a0a0" stroked="f"/>
        </w:pict>
      </w:r>
    </w:p>
    <w:p w14:paraId="5F07FC20" w14:textId="77777777" w:rsidR="00FE2BDC" w:rsidRPr="00F55235" w:rsidRDefault="00FE2BDC" w:rsidP="00FE2BDC">
      <w:pPr>
        <w:spacing w:before="100" w:beforeAutospacing="1" w:after="100" w:afterAutospacing="1" w:line="360" w:lineRule="auto"/>
        <w:outlineLvl w:val="2"/>
        <w:rPr>
          <w:rFonts w:ascii="Times New Roman" w:hAnsi="Times New Roman"/>
          <w:b/>
          <w:bCs/>
          <w:lang w:val="en-HK"/>
        </w:rPr>
      </w:pPr>
      <w:r w:rsidRPr="00F55235">
        <w:rPr>
          <w:rFonts w:ascii="Times New Roman" w:hAnsi="Times New Roman"/>
          <w:b/>
          <w:bCs/>
          <w:lang w:val="en-HK"/>
        </w:rPr>
        <w:t>Conclusion</w:t>
      </w:r>
    </w:p>
    <w:p w14:paraId="50604518"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lastRenderedPageBreak/>
        <w:t>L.M. Clements concludes that the conflicting judicial interpretations of appropriation have left theft law in a state of confusion, with significant ethical and systemic consequences. He argues that the House of Lords must reconcile the precedents set in Lawrence, Morris, and Dobson, and calls on Parliament to amend the Theft Act to restore clarity, coherence, and proportionality.</w:t>
      </w:r>
    </w:p>
    <w:p w14:paraId="18479206"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Key takeaways include:</w:t>
      </w:r>
    </w:p>
    <w:p w14:paraId="0CB99DAA" w14:textId="77777777" w:rsidR="00FE2BDC" w:rsidRPr="00F55235" w:rsidRDefault="00FE2BDC" w:rsidP="00FE2BDC">
      <w:pPr>
        <w:numPr>
          <w:ilvl w:val="0"/>
          <w:numId w:val="21"/>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The need to redefine appropriation to require adverse interference or usurpation of rights.</w:t>
      </w:r>
    </w:p>
    <w:p w14:paraId="47E2400D" w14:textId="77777777" w:rsidR="00FE2BDC" w:rsidRPr="00F55235" w:rsidRDefault="00FE2BDC" w:rsidP="00FE2BDC">
      <w:pPr>
        <w:numPr>
          <w:ilvl w:val="0"/>
          <w:numId w:val="21"/>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Resolving the tension between consent and appropriation.</w:t>
      </w:r>
    </w:p>
    <w:p w14:paraId="4DBFFC87" w14:textId="77777777" w:rsidR="00FE2BDC" w:rsidRPr="00F55235" w:rsidRDefault="00FE2BDC" w:rsidP="00FE2BDC">
      <w:pPr>
        <w:numPr>
          <w:ilvl w:val="0"/>
          <w:numId w:val="21"/>
        </w:numPr>
        <w:spacing w:before="100" w:beforeAutospacing="1" w:after="100" w:afterAutospacing="1" w:line="360" w:lineRule="auto"/>
        <w:rPr>
          <w:rFonts w:ascii="Times New Roman" w:hAnsi="Times New Roman"/>
          <w:lang w:val="en-HK"/>
        </w:rPr>
      </w:pPr>
      <w:r w:rsidRPr="00F55235">
        <w:rPr>
          <w:rFonts w:ascii="Times New Roman" w:hAnsi="Times New Roman"/>
          <w:lang w:val="en-HK"/>
        </w:rPr>
        <w:t xml:space="preserve">Restoring clear boundaries between theft and deception to uphold fair </w:t>
      </w:r>
      <w:proofErr w:type="spellStart"/>
      <w:r w:rsidRPr="00F55235">
        <w:rPr>
          <w:rFonts w:ascii="Times New Roman" w:hAnsi="Times New Roman"/>
          <w:lang w:val="en-HK"/>
        </w:rPr>
        <w:t>labeling</w:t>
      </w:r>
      <w:proofErr w:type="spellEnd"/>
      <w:r w:rsidRPr="00F55235">
        <w:rPr>
          <w:rFonts w:ascii="Times New Roman" w:hAnsi="Times New Roman"/>
          <w:lang w:val="en-HK"/>
        </w:rPr>
        <w:t>.</w:t>
      </w:r>
    </w:p>
    <w:p w14:paraId="59479DA9" w14:textId="77777777" w:rsidR="00FE2BDC" w:rsidRPr="00F55235" w:rsidRDefault="00FE2BDC" w:rsidP="00FE2BDC">
      <w:pPr>
        <w:spacing w:before="100" w:beforeAutospacing="1" w:after="100" w:afterAutospacing="1" w:line="360" w:lineRule="auto"/>
        <w:rPr>
          <w:rFonts w:ascii="Times New Roman" w:hAnsi="Times New Roman"/>
          <w:lang w:val="en-HK"/>
        </w:rPr>
      </w:pPr>
      <w:r w:rsidRPr="00F55235">
        <w:rPr>
          <w:rFonts w:ascii="Times New Roman" w:hAnsi="Times New Roman"/>
          <w:lang w:val="en-HK"/>
        </w:rPr>
        <w:t>Clements warns:</w:t>
      </w:r>
    </w:p>
    <w:p w14:paraId="2B783556" w14:textId="77777777" w:rsidR="00FE2BDC" w:rsidRPr="00F55235" w:rsidRDefault="00FE2BDC" w:rsidP="00FE2BDC">
      <w:pPr>
        <w:spacing w:beforeAutospacing="1" w:afterAutospacing="1" w:line="360" w:lineRule="auto"/>
        <w:rPr>
          <w:rFonts w:ascii="Times New Roman" w:hAnsi="Times New Roman"/>
          <w:lang w:val="en-HK"/>
        </w:rPr>
      </w:pPr>
      <w:r w:rsidRPr="00F55235">
        <w:rPr>
          <w:rFonts w:ascii="Times New Roman" w:hAnsi="Times New Roman"/>
          <w:lang w:val="en-HK"/>
        </w:rPr>
        <w:t>“The integrity of theft law depends on its ability to reflect moral and legal distinctions, ensuring that it remains a principled and proportionate response to wrongdoing.”</w:t>
      </w:r>
    </w:p>
    <w:p w14:paraId="3DA2EF05" w14:textId="77777777" w:rsidR="00FE2BDC" w:rsidRPr="00F55235" w:rsidRDefault="00FE2BDC" w:rsidP="00FE2BDC">
      <w:pPr>
        <w:spacing w:line="360" w:lineRule="auto"/>
      </w:pPr>
    </w:p>
    <w:p w14:paraId="728CF9BD" w14:textId="77777777" w:rsidR="00CD39F1" w:rsidRDefault="00CD39F1"/>
    <w:sectPr w:rsidR="00CD39F1" w:rsidSect="00FE2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F7748"/>
    <w:multiLevelType w:val="multilevel"/>
    <w:tmpl w:val="911EB9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9664B0F"/>
    <w:multiLevelType w:val="multilevel"/>
    <w:tmpl w:val="61BCF2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D23F3"/>
    <w:multiLevelType w:val="hybridMultilevel"/>
    <w:tmpl w:val="AC34E5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44427E"/>
    <w:multiLevelType w:val="multilevel"/>
    <w:tmpl w:val="5C78D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D06F5"/>
    <w:multiLevelType w:val="multilevel"/>
    <w:tmpl w:val="0EBA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A43F2"/>
    <w:multiLevelType w:val="multilevel"/>
    <w:tmpl w:val="AC408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21272"/>
    <w:multiLevelType w:val="multilevel"/>
    <w:tmpl w:val="830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C568D"/>
    <w:multiLevelType w:val="multilevel"/>
    <w:tmpl w:val="66E4A47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9BB145C"/>
    <w:multiLevelType w:val="multilevel"/>
    <w:tmpl w:val="75F4A7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B0061E1"/>
    <w:multiLevelType w:val="multilevel"/>
    <w:tmpl w:val="83223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559AC"/>
    <w:multiLevelType w:val="multilevel"/>
    <w:tmpl w:val="E63AE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E2A38"/>
    <w:multiLevelType w:val="multilevel"/>
    <w:tmpl w:val="D7DCC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7B4D"/>
    <w:multiLevelType w:val="multilevel"/>
    <w:tmpl w:val="FB50B42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9837A77"/>
    <w:multiLevelType w:val="multilevel"/>
    <w:tmpl w:val="18723BB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4A74B44"/>
    <w:multiLevelType w:val="multilevel"/>
    <w:tmpl w:val="44CC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4296B"/>
    <w:multiLevelType w:val="hybridMultilevel"/>
    <w:tmpl w:val="5EDED5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B90403"/>
    <w:multiLevelType w:val="multilevel"/>
    <w:tmpl w:val="2674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36C50"/>
    <w:multiLevelType w:val="multilevel"/>
    <w:tmpl w:val="2040988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6E82429E"/>
    <w:multiLevelType w:val="multilevel"/>
    <w:tmpl w:val="D4986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46610"/>
    <w:multiLevelType w:val="hybridMultilevel"/>
    <w:tmpl w:val="A20C11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510FDE"/>
    <w:multiLevelType w:val="hybridMultilevel"/>
    <w:tmpl w:val="B54236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63B190D"/>
    <w:multiLevelType w:val="multilevel"/>
    <w:tmpl w:val="837A5A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76805A1B"/>
    <w:multiLevelType w:val="multilevel"/>
    <w:tmpl w:val="03646B8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C1C1AB9"/>
    <w:multiLevelType w:val="multilevel"/>
    <w:tmpl w:val="DE12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852C5"/>
    <w:multiLevelType w:val="multilevel"/>
    <w:tmpl w:val="40AC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085631">
    <w:abstractNumId w:val="18"/>
  </w:num>
  <w:num w:numId="2" w16cid:durableId="449860510">
    <w:abstractNumId w:val="23"/>
  </w:num>
  <w:num w:numId="3" w16cid:durableId="2143575413">
    <w:abstractNumId w:val="9"/>
  </w:num>
  <w:num w:numId="4" w16cid:durableId="867521982">
    <w:abstractNumId w:val="6"/>
  </w:num>
  <w:num w:numId="5" w16cid:durableId="2146970930">
    <w:abstractNumId w:val="16"/>
  </w:num>
  <w:num w:numId="6" w16cid:durableId="203298522">
    <w:abstractNumId w:val="0"/>
  </w:num>
  <w:num w:numId="7" w16cid:durableId="755830471">
    <w:abstractNumId w:val="13"/>
  </w:num>
  <w:num w:numId="8" w16cid:durableId="394359947">
    <w:abstractNumId w:val="4"/>
  </w:num>
  <w:num w:numId="9" w16cid:durableId="1181160928">
    <w:abstractNumId w:val="22"/>
  </w:num>
  <w:num w:numId="10" w16cid:durableId="1789079960">
    <w:abstractNumId w:val="7"/>
  </w:num>
  <w:num w:numId="11" w16cid:durableId="373775896">
    <w:abstractNumId w:val="11"/>
  </w:num>
  <w:num w:numId="12" w16cid:durableId="270208667">
    <w:abstractNumId w:val="5"/>
  </w:num>
  <w:num w:numId="13" w16cid:durableId="1134568144">
    <w:abstractNumId w:val="12"/>
  </w:num>
  <w:num w:numId="14" w16cid:durableId="993335630">
    <w:abstractNumId w:val="17"/>
  </w:num>
  <w:num w:numId="15" w16cid:durableId="1291013674">
    <w:abstractNumId w:val="21"/>
  </w:num>
  <w:num w:numId="16" w16cid:durableId="1031616254">
    <w:abstractNumId w:val="8"/>
  </w:num>
  <w:num w:numId="17" w16cid:durableId="1758090885">
    <w:abstractNumId w:val="10"/>
  </w:num>
  <w:num w:numId="18" w16cid:durableId="541478673">
    <w:abstractNumId w:val="1"/>
  </w:num>
  <w:num w:numId="19" w16cid:durableId="1830637745">
    <w:abstractNumId w:val="24"/>
  </w:num>
  <w:num w:numId="20" w16cid:durableId="1386100284">
    <w:abstractNumId w:val="3"/>
  </w:num>
  <w:num w:numId="21" w16cid:durableId="1868834455">
    <w:abstractNumId w:val="14"/>
  </w:num>
  <w:num w:numId="22" w16cid:durableId="618803526">
    <w:abstractNumId w:val="2"/>
  </w:num>
  <w:num w:numId="23" w16cid:durableId="1316111012">
    <w:abstractNumId w:val="15"/>
  </w:num>
  <w:num w:numId="24" w16cid:durableId="1847205889">
    <w:abstractNumId w:val="19"/>
  </w:num>
  <w:num w:numId="25" w16cid:durableId="1689122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BDC"/>
    <w:rsid w:val="00012117"/>
    <w:rsid w:val="000147A9"/>
    <w:rsid w:val="00042755"/>
    <w:rsid w:val="000501D1"/>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4AC4"/>
    <w:rsid w:val="00966189"/>
    <w:rsid w:val="00974434"/>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858D4"/>
    <w:rsid w:val="00FB2653"/>
    <w:rsid w:val="00FC7B56"/>
    <w:rsid w:val="00FE2BDC"/>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07A9"/>
  <w15:chartTrackingRefBased/>
  <w15:docId w15:val="{948DC490-E1AC-864A-81E4-C06D9865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BDC"/>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E2B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2B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2BD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2BD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2BD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E2BD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2BD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2BD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2BD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BD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E2BD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FE2BD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FE2BD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E2BD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E2BD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E2BD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E2BD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E2BD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E2B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BD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E2BD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BD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E2B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2BD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E2BDC"/>
    <w:pPr>
      <w:ind w:left="720"/>
      <w:contextualSpacing/>
    </w:pPr>
  </w:style>
  <w:style w:type="character" w:styleId="IntenseEmphasis">
    <w:name w:val="Intense Emphasis"/>
    <w:basedOn w:val="DefaultParagraphFont"/>
    <w:uiPriority w:val="21"/>
    <w:qFormat/>
    <w:rsid w:val="00FE2BDC"/>
    <w:rPr>
      <w:i/>
      <w:iCs/>
      <w:color w:val="2F5496" w:themeColor="accent1" w:themeShade="BF"/>
    </w:rPr>
  </w:style>
  <w:style w:type="paragraph" w:styleId="IntenseQuote">
    <w:name w:val="Intense Quote"/>
    <w:basedOn w:val="Normal"/>
    <w:next w:val="Normal"/>
    <w:link w:val="IntenseQuoteChar"/>
    <w:uiPriority w:val="30"/>
    <w:qFormat/>
    <w:rsid w:val="00FE2B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BD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E2B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3091</Words>
  <Characters>17623</Characters>
  <Application>Microsoft Office Word</Application>
  <DocSecurity>0</DocSecurity>
  <Lines>146</Lines>
  <Paragraphs>41</Paragraphs>
  <ScaleCrop>false</ScaleCrop>
  <Company/>
  <LinksUpToDate>false</LinksUpToDate>
  <CharactersWithSpaces>20673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2025-01-14T15:52:00Z</dcterms:created>
  <dcterms:modified xsi:type="dcterms:W3CDTF">2025-01-14T15:54:00Z</dcterms:modified>
</cp:coreProperties>
</file>