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4BDA7" w14:textId="77777777" w:rsidR="00FE0CE7" w:rsidRPr="00FE0CE7" w:rsidRDefault="00FE0CE7" w:rsidP="00613107">
      <w:pPr>
        <w:spacing w:before="100" w:beforeAutospacing="1" w:after="100" w:afterAutospacing="1" w:line="360" w:lineRule="auto"/>
        <w:outlineLvl w:val="2"/>
        <w:rPr>
          <w:rFonts w:ascii="Times New Roman" w:hAnsi="Times New Roman"/>
          <w:b/>
          <w:bCs/>
          <w:lang w:val="en-HK"/>
        </w:rPr>
      </w:pPr>
      <w:r w:rsidRPr="00FE0CE7">
        <w:rPr>
          <w:rFonts w:ascii="Times New Roman" w:hAnsi="Times New Roman"/>
          <w:b/>
          <w:bCs/>
          <w:lang w:val="en-HK"/>
        </w:rPr>
        <w:t>1. Statutory Framework of Section 6 Theft Act 1968</w:t>
      </w:r>
    </w:p>
    <w:p w14:paraId="72BC94BE"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 xml:space="preserve">Section 6(1) of the </w:t>
      </w:r>
      <w:r w:rsidRPr="00FE0CE7">
        <w:rPr>
          <w:rFonts w:ascii="Times New Roman" w:hAnsi="Times New Roman"/>
          <w:b/>
          <w:bCs/>
          <w:lang w:val="en-HK"/>
        </w:rPr>
        <w:t>Theft Act 1968</w:t>
      </w:r>
      <w:r w:rsidRPr="00FE0CE7">
        <w:rPr>
          <w:rFonts w:ascii="Times New Roman" w:hAnsi="Times New Roman"/>
          <w:lang w:val="en-HK"/>
        </w:rPr>
        <w:t xml:space="preserve"> addresses cases where the defendant appropriates property without intending the owner to permanently lose possession of it but instead treats the property as their own to dispose of. The statute reads:</w:t>
      </w:r>
    </w:p>
    <w:p w14:paraId="47A33E93"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“A person appropriating property belonging to another without meaning the other permanently to lose the thing itself is nevertheless to be regarded as having the intention of permanently depriving the other of it if his intention is to treat the thing as his own to dispose of regardless of the other's rights; and a borrowing or lending of it may amount to so treating it if, but only if, the borrowing or lending is for a period and in circumstances making it equivalent to an outright taking or disposal.”</w:t>
      </w:r>
    </w:p>
    <w:p w14:paraId="5CA4697D"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Section 6(2) further provides:</w:t>
      </w:r>
    </w:p>
    <w:p w14:paraId="2A6FC351"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“Where a person, having possession or control of property belonging to another, parts with the property under a condition as to its return which he may not be able to perform, this shall, without prejudice to the generality of subsection (1) above, be regarded as treating the property as his own to dispose of regardless of the other’s rights.”</w:t>
      </w:r>
    </w:p>
    <w:p w14:paraId="05AFC764"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Legislative Intent</w:t>
      </w:r>
      <w:r w:rsidRPr="00FE0CE7">
        <w:rPr>
          <w:rFonts w:ascii="Times New Roman" w:hAnsi="Times New Roman"/>
          <w:lang w:val="en-HK"/>
        </w:rPr>
        <w:t>:</w:t>
      </w:r>
    </w:p>
    <w:p w14:paraId="4380E8AC"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highlight w:val="yellow"/>
          <w:lang w:val="en-HK"/>
        </w:rPr>
        <w:t>Section 6</w:t>
      </w:r>
      <w:r w:rsidRPr="00FE0CE7">
        <w:rPr>
          <w:rFonts w:ascii="Times New Roman" w:hAnsi="Times New Roman"/>
          <w:lang w:val="en-HK"/>
        </w:rPr>
        <w:t xml:space="preserve"> was drafted to </w:t>
      </w:r>
      <w:r w:rsidRPr="00FE0CE7">
        <w:rPr>
          <w:rFonts w:ascii="Times New Roman" w:hAnsi="Times New Roman"/>
          <w:highlight w:val="yellow"/>
          <w:lang w:val="en-HK"/>
        </w:rPr>
        <w:t>capture cases such as pawning, misuse, and excessive borrowing. Steel notes:</w:t>
      </w:r>
    </w:p>
    <w:p w14:paraId="436AE1CE"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“The provision sought to address scenarios where property is temporarily retained but misused in ways inconsistent with the owner's rights.”</w:t>
      </w:r>
    </w:p>
    <w:p w14:paraId="76657513"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Despite its intention, the statute's language, especially phrases like "to dispose of" and "borrowing or lending," remains unclear.</w:t>
      </w:r>
    </w:p>
    <w:p w14:paraId="2D49408E"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Judicial Interpretation</w:t>
      </w:r>
      <w:r w:rsidRPr="00FE0CE7">
        <w:rPr>
          <w:rFonts w:ascii="Times New Roman" w:hAnsi="Times New Roman"/>
          <w:lang w:val="en-HK"/>
        </w:rPr>
        <w:t>:</w:t>
      </w:r>
    </w:p>
    <w:p w14:paraId="6E3E5B94"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Courts have struggled to apply Section 6 consistently. Steel observes:</w:t>
      </w:r>
    </w:p>
    <w:p w14:paraId="694C2E5B"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“The language of Section 6 is sufficiently broad to allow both narrow and expansive interpretations, leading to unpredictable outcomes.”</w:t>
      </w:r>
    </w:p>
    <w:p w14:paraId="2A9B40FC" w14:textId="77777777" w:rsidR="00FE0CE7" w:rsidRPr="00FE0CE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lastRenderedPageBreak/>
        <w:pict w14:anchorId="0004E1E3">
          <v:rect id="_x0000_i1051" alt="" style="width:451.3pt;height:.05pt;mso-width-percent:0;mso-height-percent:0;mso-width-percent:0;mso-height-percent:0" o:hralign="center" o:hrstd="t" o:hr="t" fillcolor="#a0a0a0" stroked="f"/>
        </w:pict>
      </w:r>
    </w:p>
    <w:p w14:paraId="4A30F6B9" w14:textId="3A5068EE" w:rsidR="00CD7780" w:rsidRPr="00CD7780" w:rsidRDefault="00CD7780" w:rsidP="00613107">
      <w:pPr>
        <w:spacing w:before="100" w:beforeAutospacing="1" w:after="100" w:afterAutospacing="1" w:line="360" w:lineRule="auto"/>
        <w:outlineLvl w:val="2"/>
        <w:rPr>
          <w:rFonts w:ascii="Times New Roman" w:hAnsi="Times New Roman"/>
          <w:b/>
          <w:bCs/>
          <w:lang w:val="en-HK"/>
        </w:rPr>
      </w:pPr>
      <w:r w:rsidRPr="00CD7780">
        <w:rPr>
          <w:rFonts w:ascii="Times New Roman" w:hAnsi="Times New Roman"/>
          <w:b/>
          <w:bCs/>
          <w:lang w:val="en-HK"/>
        </w:rPr>
        <w:t>2. Legislative History and Ambiguities</w:t>
      </w:r>
    </w:p>
    <w:p w14:paraId="5375E5A8"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Legislative Context</w:t>
      </w:r>
    </w:p>
    <w:p w14:paraId="6CF83EB0"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The </w:t>
      </w:r>
      <w:r w:rsidRPr="00CD7780">
        <w:rPr>
          <w:rFonts w:ascii="Times New Roman" w:hAnsi="Times New Roman"/>
          <w:b/>
          <w:bCs/>
          <w:lang w:val="en-HK"/>
        </w:rPr>
        <w:t>Theft Act 1968</w:t>
      </w:r>
      <w:r w:rsidRPr="00CD7780">
        <w:rPr>
          <w:rFonts w:ascii="Times New Roman" w:hAnsi="Times New Roman"/>
          <w:lang w:val="en-HK"/>
        </w:rPr>
        <w:t xml:space="preserve"> replaced the Larceny Act 1916, which required proof of “taking and carrying away” to establish theft. Section 6 was introduced to modernize theft law and address scenarios where defendants borrowed or misused property in ways that did not meet the traditional threshold of theft.</w:t>
      </w:r>
    </w:p>
    <w:p w14:paraId="0A89CBE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Purpose of Section 6</w:t>
      </w:r>
      <w:r w:rsidRPr="00CD7780">
        <w:rPr>
          <w:rFonts w:ascii="Times New Roman" w:hAnsi="Times New Roman"/>
          <w:lang w:val="en-HK"/>
        </w:rPr>
        <w:t>:</w:t>
      </w:r>
    </w:p>
    <w:p w14:paraId="6360B21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notes that Section 6 was intended to:</w:t>
      </w:r>
    </w:p>
    <w:p w14:paraId="0F9CED48" w14:textId="77777777" w:rsidR="00CD7780" w:rsidRPr="00CD7780" w:rsidRDefault="00CD7780" w:rsidP="00613107">
      <w:pPr>
        <w:numPr>
          <w:ilvl w:val="2"/>
          <w:numId w:val="23"/>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Capture situations involving temporary appropriation where the defendant significantly disrupted the owner’s rights.</w:t>
      </w:r>
    </w:p>
    <w:p w14:paraId="12479D3B" w14:textId="77777777" w:rsidR="00CD7780" w:rsidRPr="00CD7780" w:rsidRDefault="00CD7780" w:rsidP="00613107">
      <w:pPr>
        <w:numPr>
          <w:ilvl w:val="2"/>
          <w:numId w:val="23"/>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Address the misuse of property, such as pawning or unauthorized borrowing.</w:t>
      </w:r>
    </w:p>
    <w:p w14:paraId="60678B24" w14:textId="77777777" w:rsidR="00CD7780" w:rsidRPr="00CD7780" w:rsidRDefault="00CD7780" w:rsidP="00613107">
      <w:pPr>
        <w:numPr>
          <w:ilvl w:val="2"/>
          <w:numId w:val="23"/>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Clarify liability in cases where the defendant had control of the property but not ownership.</w:t>
      </w:r>
    </w:p>
    <w:p w14:paraId="7F51D272"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Drafting History</w:t>
      </w:r>
      <w:r w:rsidRPr="00CD7780">
        <w:rPr>
          <w:rFonts w:ascii="Times New Roman" w:hAnsi="Times New Roman"/>
          <w:lang w:val="en-HK"/>
        </w:rPr>
        <w:t>:</w:t>
      </w:r>
    </w:p>
    <w:p w14:paraId="01034E9D" w14:textId="77777777" w:rsidR="00CD7780" w:rsidRPr="00CD7780" w:rsidRDefault="00CD7780" w:rsidP="00613107">
      <w:pPr>
        <w:numPr>
          <w:ilvl w:val="1"/>
          <w:numId w:val="23"/>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Parliamentary debates on the Theft Bill highlighted concerns about overly broad interpretations of “intention to permanently deprive.” Legislators sought to include temporary deprivations only if they caused harm equivalent to permanent loss.</w:t>
      </w:r>
    </w:p>
    <w:p w14:paraId="76EB7F6D" w14:textId="77777777" w:rsidR="00CD7780" w:rsidRPr="00CD7780" w:rsidRDefault="00CD7780" w:rsidP="00613107">
      <w:pPr>
        <w:numPr>
          <w:ilvl w:val="1"/>
          <w:numId w:val="23"/>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critiques the resulting language, observing:</w:t>
      </w:r>
    </w:p>
    <w:p w14:paraId="438460C0"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“The final text of Section 6 is riddled with ambiguities, particularly in its definitions of ‘to dispose of’ and ‘borrowing or lending.’ These terms lack clear statutory guidance, leading to judicial inconsistency.”</w:t>
      </w:r>
    </w:p>
    <w:p w14:paraId="48807732"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081E5C42">
          <v:rect id="_x0000_i1050" alt="" style="width:451.3pt;height:.05pt;mso-width-percent:0;mso-height-percent:0;mso-width-percent:0;mso-height-percent:0" o:hralign="center" o:hrstd="t" o:hr="t" fillcolor="#a0a0a0" stroked="f"/>
        </w:pict>
      </w:r>
    </w:p>
    <w:p w14:paraId="0369A404"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Ambiguities in Section 6</w:t>
      </w:r>
    </w:p>
    <w:p w14:paraId="06C5E1AF" w14:textId="77777777" w:rsidR="00CD7780" w:rsidRPr="00CD7780" w:rsidRDefault="00CD7780" w:rsidP="00613107">
      <w:pPr>
        <w:numPr>
          <w:ilvl w:val="0"/>
          <w:numId w:val="24"/>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lastRenderedPageBreak/>
        <w:t>“To Dispose Of”</w:t>
      </w:r>
      <w:r w:rsidRPr="00CD7780">
        <w:rPr>
          <w:rFonts w:ascii="Times New Roman" w:hAnsi="Times New Roman"/>
          <w:lang w:val="en-HK"/>
        </w:rPr>
        <w:t>:</w:t>
      </w:r>
    </w:p>
    <w:p w14:paraId="706F9AD6" w14:textId="77777777" w:rsidR="00CD7780" w:rsidRPr="00CD7780" w:rsidRDefault="00CD7780" w:rsidP="00613107">
      <w:pPr>
        <w:numPr>
          <w:ilvl w:val="1"/>
          <w:numId w:val="24"/>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Courts have debated whether “disposing” requires a permanent alienation of the property or merely an assertion of ownership rights.</w:t>
      </w:r>
    </w:p>
    <w:p w14:paraId="049400A7" w14:textId="77777777" w:rsidR="00CD7780" w:rsidRPr="00CD7780" w:rsidRDefault="00CD7780" w:rsidP="00613107">
      <w:pPr>
        <w:numPr>
          <w:ilvl w:val="1"/>
          <w:numId w:val="24"/>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In </w:t>
      </w:r>
      <w:r w:rsidRPr="00CD7780">
        <w:rPr>
          <w:rFonts w:ascii="Times New Roman" w:hAnsi="Times New Roman"/>
          <w:b/>
          <w:bCs/>
          <w:lang w:val="en-HK"/>
        </w:rPr>
        <w:t>R v Cahill [1993] Crim LR 141</w:t>
      </w:r>
      <w:r w:rsidRPr="00CD7780">
        <w:rPr>
          <w:rFonts w:ascii="Times New Roman" w:hAnsi="Times New Roman"/>
          <w:lang w:val="en-HK"/>
        </w:rPr>
        <w:t>, the Court of Appeal narrowly interpreted “disposing” as “getting rid of” the property permanently, through sale, destruction, or abandonment.</w:t>
      </w:r>
    </w:p>
    <w:p w14:paraId="3CE9B25A" w14:textId="77777777" w:rsidR="00CD7780" w:rsidRPr="00CD7780" w:rsidRDefault="00CD7780" w:rsidP="00613107">
      <w:pPr>
        <w:numPr>
          <w:ilvl w:val="1"/>
          <w:numId w:val="24"/>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critiques this approach:</w:t>
      </w:r>
    </w:p>
    <w:p w14:paraId="6C6BFC90"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“Restricting ‘disposing’ to acts of permanent alienation ignores scenarios where temporary misuse significantly undermines the owner’s rights.”</w:t>
      </w:r>
    </w:p>
    <w:p w14:paraId="05C5004D" w14:textId="77777777" w:rsidR="00CD7780" w:rsidRPr="00CD7780" w:rsidRDefault="00CD7780" w:rsidP="00613107">
      <w:pPr>
        <w:numPr>
          <w:ilvl w:val="0"/>
          <w:numId w:val="24"/>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“Borrowing or Lending”</w:t>
      </w:r>
      <w:r w:rsidRPr="00CD7780">
        <w:rPr>
          <w:rFonts w:ascii="Times New Roman" w:hAnsi="Times New Roman"/>
          <w:lang w:val="en-HK"/>
        </w:rPr>
        <w:t>:</w:t>
      </w:r>
    </w:p>
    <w:p w14:paraId="71A9314F" w14:textId="77777777" w:rsidR="00CD7780" w:rsidRPr="00CD7780" w:rsidRDefault="00CD7780" w:rsidP="00613107">
      <w:pPr>
        <w:numPr>
          <w:ilvl w:val="1"/>
          <w:numId w:val="24"/>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The phrase “equivalent to outright taking or disposal” has been inconsistently applied. Steel highlights the artificiality of the </w:t>
      </w:r>
      <w:r w:rsidRPr="00CD7780">
        <w:rPr>
          <w:rFonts w:ascii="Times New Roman" w:hAnsi="Times New Roman"/>
          <w:b/>
          <w:bCs/>
          <w:lang w:val="en-HK"/>
        </w:rPr>
        <w:t>goodness or virtue</w:t>
      </w:r>
      <w:r w:rsidRPr="00CD7780">
        <w:rPr>
          <w:rFonts w:ascii="Times New Roman" w:hAnsi="Times New Roman"/>
          <w:lang w:val="en-HK"/>
        </w:rPr>
        <w:t xml:space="preserve"> test introduced in </w:t>
      </w:r>
      <w:r w:rsidRPr="00CD7780">
        <w:rPr>
          <w:rFonts w:ascii="Times New Roman" w:hAnsi="Times New Roman"/>
          <w:b/>
          <w:bCs/>
          <w:lang w:val="en-HK"/>
        </w:rPr>
        <w:t>R v Lloyd [1985] QB 829</w:t>
      </w:r>
      <w:r w:rsidRPr="00CD7780">
        <w:rPr>
          <w:rFonts w:ascii="Times New Roman" w:hAnsi="Times New Roman"/>
          <w:lang w:val="en-HK"/>
        </w:rPr>
        <w:t>:</w:t>
      </w:r>
    </w:p>
    <w:p w14:paraId="02D58B6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highlight w:val="yellow"/>
          <w:lang w:val="en-HK"/>
        </w:rPr>
        <w:t>Lord Lane CJ in Lloyd held that borrowing is only theft if the property is returned in a condition where all its “goodness or virtue” is removed.</w:t>
      </w:r>
    </w:p>
    <w:p w14:paraId="5551B0E1" w14:textId="77777777" w:rsidR="00CD7780" w:rsidRPr="00CD7780" w:rsidRDefault="00CD7780" w:rsidP="00613107">
      <w:pPr>
        <w:numPr>
          <w:ilvl w:val="1"/>
          <w:numId w:val="24"/>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argues:</w:t>
      </w:r>
    </w:p>
    <w:p w14:paraId="39FB8600"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 xml:space="preserve">“The goodness-or-virtue standard creates </w:t>
      </w:r>
      <w:r w:rsidRPr="00CD7780">
        <w:rPr>
          <w:rFonts w:ascii="Times New Roman" w:hAnsi="Times New Roman"/>
          <w:b/>
          <w:bCs/>
          <w:lang w:val="en-HK"/>
        </w:rPr>
        <w:t>an unnecessarily narrow threshold</w:t>
      </w:r>
      <w:r w:rsidRPr="00CD7780">
        <w:rPr>
          <w:rFonts w:ascii="Times New Roman" w:hAnsi="Times New Roman"/>
          <w:lang w:val="en-HK"/>
        </w:rPr>
        <w:t xml:space="preserve">, excluding cases where </w:t>
      </w:r>
      <w:r w:rsidRPr="00CD7780">
        <w:rPr>
          <w:rFonts w:ascii="Times New Roman" w:hAnsi="Times New Roman"/>
          <w:b/>
          <w:bCs/>
          <w:lang w:val="en-HK"/>
        </w:rPr>
        <w:t xml:space="preserve">borrowing causes </w:t>
      </w:r>
      <w:r w:rsidRPr="00CD7780">
        <w:rPr>
          <w:rFonts w:ascii="Times New Roman" w:hAnsi="Times New Roman"/>
          <w:b/>
          <w:bCs/>
          <w:highlight w:val="yellow"/>
          <w:lang w:val="en-HK"/>
        </w:rPr>
        <w:t>significant harm</w:t>
      </w:r>
      <w:r w:rsidRPr="00CD7780">
        <w:rPr>
          <w:rFonts w:ascii="Times New Roman" w:hAnsi="Times New Roman"/>
          <w:b/>
          <w:bCs/>
          <w:lang w:val="en-HK"/>
        </w:rPr>
        <w:t xml:space="preserve"> to the owner’s ability to use the property</w:t>
      </w:r>
      <w:r w:rsidRPr="00CD7780">
        <w:rPr>
          <w:rFonts w:ascii="Times New Roman" w:hAnsi="Times New Roman"/>
          <w:lang w:val="en-HK"/>
        </w:rPr>
        <w:t>.”</w:t>
      </w:r>
    </w:p>
    <w:p w14:paraId="01508BD0" w14:textId="77777777" w:rsidR="00CD7780" w:rsidRPr="00CD7780" w:rsidRDefault="00CD7780" w:rsidP="00613107">
      <w:pPr>
        <w:numPr>
          <w:ilvl w:val="0"/>
          <w:numId w:val="24"/>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Conflict Between Civil and Criminal Law</w:t>
      </w:r>
      <w:r w:rsidRPr="00CD7780">
        <w:rPr>
          <w:rFonts w:ascii="Times New Roman" w:hAnsi="Times New Roman"/>
          <w:lang w:val="en-HK"/>
        </w:rPr>
        <w:t>:</w:t>
      </w:r>
    </w:p>
    <w:p w14:paraId="0A106DED"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Steel highlights the uneasy relationship between Section 6 and civil doctrines of ownership, particularly under the </w:t>
      </w:r>
      <w:r w:rsidRPr="00CD7780">
        <w:rPr>
          <w:rFonts w:ascii="Times New Roman" w:hAnsi="Times New Roman"/>
          <w:b/>
          <w:bCs/>
          <w:lang w:val="en-HK"/>
        </w:rPr>
        <w:t>Sale of Goods Act 1979</w:t>
      </w:r>
      <w:r w:rsidRPr="00CD7780">
        <w:rPr>
          <w:rFonts w:ascii="Times New Roman" w:hAnsi="Times New Roman"/>
          <w:lang w:val="en-HK"/>
        </w:rPr>
        <w:t>. For example:</w:t>
      </w:r>
    </w:p>
    <w:p w14:paraId="3355DBE4" w14:textId="77777777" w:rsidR="00CD7780" w:rsidRPr="00CD7780" w:rsidRDefault="00CD7780" w:rsidP="00613107">
      <w:pPr>
        <w:spacing w:before="100" w:beforeAutospacing="1" w:after="100" w:afterAutospacing="1" w:line="360" w:lineRule="auto"/>
        <w:rPr>
          <w:rFonts w:ascii="Times New Roman" w:hAnsi="Times New Roman"/>
          <w:b/>
          <w:bCs/>
          <w:color w:val="FF0000"/>
          <w:lang w:val="en-HK"/>
        </w:rPr>
      </w:pPr>
      <w:r w:rsidRPr="00CD7780">
        <w:rPr>
          <w:rFonts w:ascii="Times New Roman" w:hAnsi="Times New Roman"/>
          <w:lang w:val="en-HK"/>
        </w:rPr>
        <w:t xml:space="preserve">In </w:t>
      </w:r>
      <w:r w:rsidRPr="00CD7780">
        <w:rPr>
          <w:rFonts w:ascii="Times New Roman" w:hAnsi="Times New Roman"/>
          <w:b/>
          <w:bCs/>
          <w:lang w:val="en-HK"/>
        </w:rPr>
        <w:t>Dobson v General Accident Assurance Corp [1989] 3 All ER 927</w:t>
      </w:r>
      <w:r w:rsidRPr="00CD7780">
        <w:rPr>
          <w:rFonts w:ascii="Times New Roman" w:hAnsi="Times New Roman"/>
          <w:lang w:val="en-HK"/>
        </w:rPr>
        <w:t xml:space="preserve">, the rogue’s use of a stolen cheque raised questions about when </w:t>
      </w:r>
      <w:r w:rsidRPr="00CD7780">
        <w:rPr>
          <w:rFonts w:ascii="Times New Roman" w:hAnsi="Times New Roman"/>
          <w:b/>
          <w:bCs/>
          <w:color w:val="FF0000"/>
          <w:lang w:val="en-HK"/>
        </w:rPr>
        <w:t>property passes under civil law versus when criminal liability arises under Section 6.</w:t>
      </w:r>
    </w:p>
    <w:p w14:paraId="65EC9084" w14:textId="18327445" w:rsidR="00CD7780" w:rsidRPr="00613107" w:rsidRDefault="00004C29" w:rsidP="00613107">
      <w:pPr>
        <w:spacing w:before="100" w:beforeAutospacing="1" w:after="100" w:afterAutospacing="1" w:line="360" w:lineRule="auto"/>
        <w:outlineLvl w:val="2"/>
        <w:rPr>
          <w:rFonts w:ascii="Times New Roman" w:hAnsi="Times New Roman"/>
          <w:b/>
          <w:bCs/>
          <w:lang w:val="en-HK"/>
        </w:rPr>
      </w:pPr>
      <w:r w:rsidRPr="00004C29">
        <w:rPr>
          <w:rFonts w:ascii="Times New Roman" w:hAnsi="Times New Roman"/>
          <w:noProof/>
          <w:lang w:val="en-HK"/>
          <w14:ligatures w14:val="standardContextual"/>
        </w:rPr>
        <w:pict w14:anchorId="62A32FD0">
          <v:rect id="_x0000_i1049" alt="" style="width:451.3pt;height:.05pt;mso-width-percent:0;mso-height-percent:0;mso-width-percent:0;mso-height-percent:0" o:hralign="center" o:hrstd="t" o:hr="t" fillcolor="#a0a0a0" stroked="f"/>
        </w:pict>
      </w:r>
    </w:p>
    <w:p w14:paraId="2118DAEA" w14:textId="09B0FD28" w:rsidR="00FE0CE7" w:rsidRPr="00FE0CE7" w:rsidRDefault="00CD7780"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3</w:t>
      </w:r>
      <w:r w:rsidR="00FE0CE7" w:rsidRPr="00FE0CE7">
        <w:rPr>
          <w:rFonts w:ascii="Times New Roman" w:hAnsi="Times New Roman"/>
          <w:b/>
          <w:bCs/>
          <w:lang w:val="en-HK"/>
        </w:rPr>
        <w:t>. The First Limb of Section 6(1): "Treating the Thing as One's Own to Dispose Of"</w:t>
      </w:r>
    </w:p>
    <w:p w14:paraId="519314E7" w14:textId="77777777" w:rsidR="00FE0CE7" w:rsidRPr="00FE0CE7" w:rsidRDefault="00FE0CE7" w:rsidP="00613107">
      <w:pPr>
        <w:spacing w:before="100" w:beforeAutospacing="1" w:after="100" w:afterAutospacing="1" w:line="360" w:lineRule="auto"/>
        <w:outlineLvl w:val="3"/>
        <w:rPr>
          <w:rFonts w:ascii="Times New Roman" w:hAnsi="Times New Roman"/>
          <w:b/>
          <w:bCs/>
          <w:lang w:val="en-HK"/>
        </w:rPr>
      </w:pPr>
      <w:r w:rsidRPr="00FE0CE7">
        <w:rPr>
          <w:rFonts w:ascii="Times New Roman" w:hAnsi="Times New Roman"/>
          <w:b/>
          <w:bCs/>
          <w:lang w:val="en-HK"/>
        </w:rPr>
        <w:lastRenderedPageBreak/>
        <w:t>Core Meaning</w:t>
      </w:r>
    </w:p>
    <w:p w14:paraId="1295D037"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The first limb of Section 6(1) covers cases where the defendant treats the property as if they had full ownership, even if the intent is not to permanently deprive the owner of possession. This typically includes selling, destroying, or pawning the property.</w:t>
      </w:r>
    </w:p>
    <w:p w14:paraId="18618FD8"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Judicial Challenges</w:t>
      </w:r>
      <w:r w:rsidRPr="00FE0CE7">
        <w:rPr>
          <w:rFonts w:ascii="Times New Roman" w:hAnsi="Times New Roman"/>
          <w:lang w:val="en-HK"/>
        </w:rPr>
        <w:t>:</w:t>
      </w:r>
    </w:p>
    <w:p w14:paraId="71D81E58"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Courts have debated whether "disposing" requires a permanent alienation of the property or merely an assertion of ownership rights. Steel critiques:</w:t>
      </w:r>
    </w:p>
    <w:p w14:paraId="0B10FDBF"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“The phrase 'to dispose of' has been applied inconsistently, with courts oscillating between narrow interpretations requiring actual disposal and broader readings encompassing temporary acts of dominion.”</w:t>
      </w:r>
    </w:p>
    <w:p w14:paraId="25E351E5" w14:textId="77777777" w:rsidR="00FE0CE7" w:rsidRPr="00FE0CE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565A66A1">
          <v:rect id="_x0000_i1048" alt="" style="width:451.3pt;height:.05pt;mso-width-percent:0;mso-height-percent:0;mso-width-percent:0;mso-height-percent:0" o:hralign="center" o:hrstd="t" o:hr="t" fillcolor="#a0a0a0" stroked="f"/>
        </w:pict>
      </w:r>
    </w:p>
    <w:p w14:paraId="1CC978F0" w14:textId="77777777" w:rsidR="00FE0CE7" w:rsidRPr="00FE0CE7" w:rsidRDefault="00FE0CE7" w:rsidP="00613107">
      <w:pPr>
        <w:spacing w:before="100" w:beforeAutospacing="1" w:after="100" w:afterAutospacing="1" w:line="360" w:lineRule="auto"/>
        <w:outlineLvl w:val="3"/>
        <w:rPr>
          <w:rFonts w:ascii="Times New Roman" w:hAnsi="Times New Roman"/>
          <w:b/>
          <w:bCs/>
          <w:lang w:val="en-HK"/>
        </w:rPr>
      </w:pPr>
      <w:r w:rsidRPr="00FE0CE7">
        <w:rPr>
          <w:rFonts w:ascii="Times New Roman" w:hAnsi="Times New Roman"/>
          <w:b/>
          <w:bCs/>
          <w:lang w:val="en-HK"/>
        </w:rPr>
        <w:t>Key Cases</w:t>
      </w:r>
    </w:p>
    <w:p w14:paraId="7831523F" w14:textId="77777777" w:rsidR="00FE0CE7" w:rsidRPr="00FE0CE7" w:rsidRDefault="00FE0CE7" w:rsidP="00613107">
      <w:pPr>
        <w:numPr>
          <w:ilvl w:val="0"/>
          <w:numId w:val="3"/>
        </w:num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R v Cahill [1993] Crim LR 141</w:t>
      </w:r>
    </w:p>
    <w:p w14:paraId="172D2A88"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Facts</w:t>
      </w:r>
      <w:r w:rsidRPr="00FE0CE7">
        <w:rPr>
          <w:rFonts w:ascii="Times New Roman" w:hAnsi="Times New Roman"/>
          <w:lang w:val="en-HK"/>
        </w:rPr>
        <w:t>:</w:t>
      </w:r>
    </w:p>
    <w:p w14:paraId="3AC56F9C"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The defendant took bundles of newspapers intended for delivery, intending to use them as a prank.</w:t>
      </w:r>
    </w:p>
    <w:p w14:paraId="43578319"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Judgment</w:t>
      </w:r>
      <w:r w:rsidRPr="00FE0CE7">
        <w:rPr>
          <w:rFonts w:ascii="Times New Roman" w:hAnsi="Times New Roman"/>
          <w:lang w:val="en-HK"/>
        </w:rPr>
        <w:t>:</w:t>
      </w:r>
    </w:p>
    <w:p w14:paraId="0F4D1E3E"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The Court of Appeal ruled that "disposing" requires "getting rid of" the property, either by sale, destruction, or abandonment. The prank fell outside this scope.</w:t>
      </w:r>
    </w:p>
    <w:p w14:paraId="1C8DE0EE"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Lord Justice Glidewell’s Interpretation</w:t>
      </w:r>
      <w:r w:rsidRPr="00FE0CE7">
        <w:rPr>
          <w:rFonts w:ascii="Times New Roman" w:hAnsi="Times New Roman"/>
          <w:lang w:val="en-HK"/>
        </w:rPr>
        <w:t>:</w:t>
      </w:r>
    </w:p>
    <w:p w14:paraId="09FACAFA"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“To dispose of requires an act of getting rid of the property permanently, whether through sale or destruction.”</w:t>
      </w:r>
    </w:p>
    <w:p w14:paraId="75499B5B"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Critique</w:t>
      </w:r>
      <w:r w:rsidRPr="00FE0CE7">
        <w:rPr>
          <w:rFonts w:ascii="Times New Roman" w:hAnsi="Times New Roman"/>
          <w:lang w:val="en-HK"/>
        </w:rPr>
        <w:t>:</w:t>
      </w:r>
    </w:p>
    <w:p w14:paraId="23D9D74A"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lastRenderedPageBreak/>
        <w:t>Steel argues that this narrow interpretation limits the application of Section 6, potentially excluding cases of significant misuse or interference:</w:t>
      </w:r>
    </w:p>
    <w:p w14:paraId="7724F4A4"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“Cahill’s restrictive reading confines Section 6 to acts involving final alienation, ignoring situations where the defendant treats the property inconsistently with the owner’s rights.”</w:t>
      </w:r>
    </w:p>
    <w:p w14:paraId="5FCA31B6" w14:textId="77777777" w:rsidR="00FE0CE7" w:rsidRPr="00FE0CE7" w:rsidRDefault="00FE0CE7" w:rsidP="00613107">
      <w:pPr>
        <w:numPr>
          <w:ilvl w:val="0"/>
          <w:numId w:val="3"/>
        </w:num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R v Lloyd [1985] QB 829</w:t>
      </w:r>
    </w:p>
    <w:p w14:paraId="6AE1EFCD"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Facts</w:t>
      </w:r>
      <w:r w:rsidRPr="00FE0CE7">
        <w:rPr>
          <w:rFonts w:ascii="Times New Roman" w:hAnsi="Times New Roman"/>
          <w:lang w:val="en-HK"/>
        </w:rPr>
        <w:t>:</w:t>
      </w:r>
    </w:p>
    <w:p w14:paraId="78B97FC2"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A cinema projectionist temporarily borrowed films to make unauthorized copies but returned them intact.</w:t>
      </w:r>
    </w:p>
    <w:p w14:paraId="7F673214"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Judgment</w:t>
      </w:r>
      <w:r w:rsidRPr="00FE0CE7">
        <w:rPr>
          <w:rFonts w:ascii="Times New Roman" w:hAnsi="Times New Roman"/>
          <w:lang w:val="en-HK"/>
        </w:rPr>
        <w:t>:</w:t>
      </w:r>
    </w:p>
    <w:p w14:paraId="34F92C2B"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The Court of Appeal held that borrowing did not constitute theft because the films retained their "goodness or virtue."</w:t>
      </w:r>
    </w:p>
    <w:p w14:paraId="5AFC5864" w14:textId="77777777" w:rsidR="00FE0CE7" w:rsidRPr="0061310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Lord Lane CJ’s Definition of Disposal</w:t>
      </w:r>
      <w:r w:rsidRPr="00FE0CE7">
        <w:rPr>
          <w:rFonts w:ascii="Times New Roman" w:hAnsi="Times New Roman"/>
          <w:lang w:val="en-HK"/>
        </w:rPr>
        <w:t>:</w:t>
      </w:r>
    </w:p>
    <w:p w14:paraId="2B857807" w14:textId="1C21E289"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“Mere borrowing does not amount to treating the property as one’s own unless it is returned in a condition that all its goodness or virtue has gone.”</w:t>
      </w:r>
    </w:p>
    <w:p w14:paraId="3A5A7C23"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Critique</w:t>
      </w:r>
      <w:r w:rsidRPr="00FE0CE7">
        <w:rPr>
          <w:rFonts w:ascii="Times New Roman" w:hAnsi="Times New Roman"/>
          <w:lang w:val="en-HK"/>
        </w:rPr>
        <w:t>:</w:t>
      </w:r>
    </w:p>
    <w:p w14:paraId="75DD07D9" w14:textId="77777777" w:rsidR="00FE0CE7" w:rsidRPr="0061310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Steel critiques Lloyd’s focus on "goodness or virtue," noting that it creates a narrow and artificial test for determining when borrowing becomes equivalent to outright taking:</w:t>
      </w:r>
    </w:p>
    <w:p w14:paraId="3F0DB91A" w14:textId="3D6564E9"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“Lloyd’s goodness-or-virtue test fails to account for cases where the defendant’s actions disrupt the owner’s rights without physically altering the property.”</w:t>
      </w:r>
    </w:p>
    <w:p w14:paraId="0C82DD6F" w14:textId="77777777" w:rsidR="00FE0CE7" w:rsidRPr="00FE0CE7" w:rsidRDefault="00FE0CE7" w:rsidP="00613107">
      <w:pPr>
        <w:numPr>
          <w:ilvl w:val="0"/>
          <w:numId w:val="3"/>
        </w:num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R v Thompson [1983]</w:t>
      </w:r>
      <w:r w:rsidRPr="00FE0CE7">
        <w:rPr>
          <w:rFonts w:ascii="Times New Roman" w:hAnsi="Times New Roman"/>
          <w:lang w:val="en-HK"/>
        </w:rPr>
        <w:t>:</w:t>
      </w:r>
    </w:p>
    <w:p w14:paraId="1375ADA4"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Facts</w:t>
      </w:r>
      <w:r w:rsidRPr="00FE0CE7">
        <w:rPr>
          <w:rFonts w:ascii="Times New Roman" w:hAnsi="Times New Roman"/>
          <w:lang w:val="en-HK"/>
        </w:rPr>
        <w:t>:</w:t>
      </w:r>
    </w:p>
    <w:p w14:paraId="2493168A"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The defendant retained an engagement ring as leverage in a dispute.</w:t>
      </w:r>
    </w:p>
    <w:p w14:paraId="39D47B2F"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Judgment</w:t>
      </w:r>
      <w:r w:rsidRPr="00FE0CE7">
        <w:rPr>
          <w:rFonts w:ascii="Times New Roman" w:hAnsi="Times New Roman"/>
          <w:lang w:val="en-HK"/>
        </w:rPr>
        <w:t>:</w:t>
      </w:r>
    </w:p>
    <w:p w14:paraId="278685C1"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lastRenderedPageBreak/>
        <w:t>The court held that this constituted theft under Section 6(1), as the defendant’s intent was to assert ownership and treat the ring as their own.</w:t>
      </w:r>
    </w:p>
    <w:p w14:paraId="6EC6021F"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Steel’s Commentary</w:t>
      </w:r>
      <w:r w:rsidRPr="00FE0CE7">
        <w:rPr>
          <w:rFonts w:ascii="Times New Roman" w:hAnsi="Times New Roman"/>
          <w:lang w:val="en-HK"/>
        </w:rPr>
        <w:t>:</w:t>
      </w:r>
    </w:p>
    <w:p w14:paraId="3D4C4444"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“Thompson illustrates the expansive potential of Section 6 when applied to coercive retention, though its reasoning leaves the boundaries of 'disposing' unclear.”</w:t>
      </w:r>
    </w:p>
    <w:p w14:paraId="31E3B8D9" w14:textId="77777777" w:rsidR="00FE0CE7" w:rsidRPr="00FE0CE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65200BEC">
          <v:rect id="_x0000_i1047" alt="" style="width:451.3pt;height:.05pt;mso-width-percent:0;mso-height-percent:0;mso-width-percent:0;mso-height-percent:0" o:hralign="center" o:hrstd="t" o:hr="t" fillcolor="#a0a0a0" stroked="f"/>
        </w:pict>
      </w:r>
    </w:p>
    <w:p w14:paraId="08373600" w14:textId="77777777" w:rsidR="00FE0CE7" w:rsidRPr="00FE0CE7" w:rsidRDefault="00FE0CE7" w:rsidP="00613107">
      <w:pPr>
        <w:spacing w:before="100" w:beforeAutospacing="1" w:after="100" w:afterAutospacing="1" w:line="360" w:lineRule="auto"/>
        <w:outlineLvl w:val="3"/>
        <w:rPr>
          <w:rFonts w:ascii="Times New Roman" w:hAnsi="Times New Roman"/>
          <w:b/>
          <w:bCs/>
          <w:lang w:val="en-HK"/>
        </w:rPr>
      </w:pPr>
      <w:r w:rsidRPr="00FE0CE7">
        <w:rPr>
          <w:rFonts w:ascii="Times New Roman" w:hAnsi="Times New Roman"/>
          <w:b/>
          <w:bCs/>
          <w:lang w:val="en-HK"/>
        </w:rPr>
        <w:t>Scholarly Critique of "Disposing"</w:t>
      </w:r>
    </w:p>
    <w:p w14:paraId="491F5752"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Steel critiques the courts’ inconsistent definitions of "to dispose of":</w:t>
      </w:r>
    </w:p>
    <w:p w14:paraId="5265BCE7"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 xml:space="preserve">In </w:t>
      </w:r>
      <w:r w:rsidRPr="00FE0CE7">
        <w:rPr>
          <w:rFonts w:ascii="Times New Roman" w:hAnsi="Times New Roman"/>
          <w:b/>
          <w:bCs/>
          <w:lang w:val="en-HK"/>
        </w:rPr>
        <w:t>Cahill</w:t>
      </w:r>
      <w:r w:rsidRPr="00FE0CE7">
        <w:rPr>
          <w:rFonts w:ascii="Times New Roman" w:hAnsi="Times New Roman"/>
          <w:lang w:val="en-HK"/>
        </w:rPr>
        <w:t xml:space="preserve">, it required permanent alienation, while in </w:t>
      </w:r>
      <w:r w:rsidRPr="00FE0CE7">
        <w:rPr>
          <w:rFonts w:ascii="Times New Roman" w:hAnsi="Times New Roman"/>
          <w:b/>
          <w:bCs/>
          <w:lang w:val="en-HK"/>
        </w:rPr>
        <w:t>Thompson</w:t>
      </w:r>
      <w:r w:rsidRPr="00FE0CE7">
        <w:rPr>
          <w:rFonts w:ascii="Times New Roman" w:hAnsi="Times New Roman"/>
          <w:lang w:val="en-HK"/>
        </w:rPr>
        <w:t>, it encompassed acts of temporary dominion.</w:t>
      </w:r>
    </w:p>
    <w:p w14:paraId="240CDB23"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Steel</w:t>
      </w:r>
      <w:r w:rsidRPr="00FE0CE7">
        <w:rPr>
          <w:rFonts w:ascii="Times New Roman" w:hAnsi="Times New Roman"/>
          <w:lang w:val="en-HK"/>
        </w:rPr>
        <w:t xml:space="preserve"> argues:</w:t>
      </w:r>
    </w:p>
    <w:p w14:paraId="1C3F92CD" w14:textId="77777777" w:rsidR="00FE0CE7" w:rsidRPr="00FE0CE7" w:rsidRDefault="00FE0CE7" w:rsidP="00613107">
      <w:pPr>
        <w:spacing w:beforeAutospacing="1" w:afterAutospacing="1" w:line="360" w:lineRule="auto"/>
        <w:rPr>
          <w:rFonts w:ascii="Times New Roman" w:hAnsi="Times New Roman"/>
          <w:lang w:val="en-HK"/>
        </w:rPr>
      </w:pPr>
      <w:r w:rsidRPr="00FE0CE7">
        <w:rPr>
          <w:rFonts w:ascii="Times New Roman" w:hAnsi="Times New Roman"/>
          <w:lang w:val="en-HK"/>
        </w:rPr>
        <w:t xml:space="preserve">“The phrase 'to dispose of' must be redefined to include not just </w:t>
      </w:r>
      <w:r w:rsidRPr="00FE0CE7">
        <w:rPr>
          <w:rFonts w:ascii="Times New Roman" w:hAnsi="Times New Roman"/>
          <w:highlight w:val="yellow"/>
          <w:lang w:val="en-HK"/>
        </w:rPr>
        <w:t>outright disposal but also significant disruptions of the owner’s rights</w:t>
      </w:r>
      <w:r w:rsidRPr="00FE0CE7">
        <w:rPr>
          <w:rFonts w:ascii="Times New Roman" w:hAnsi="Times New Roman"/>
          <w:lang w:val="en-HK"/>
        </w:rPr>
        <w:t>.”</w:t>
      </w:r>
    </w:p>
    <w:p w14:paraId="4DEF8815" w14:textId="77777777" w:rsidR="00FE0CE7" w:rsidRPr="00FE0CE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197657D8">
          <v:rect id="_x0000_i1046" alt="" style="width:451.3pt;height:.05pt;mso-width-percent:0;mso-height-percent:0;mso-width-percent:0;mso-height-percent:0" o:hralign="center" o:hrstd="t" o:hr="t" fillcolor="#a0a0a0" stroked="f"/>
        </w:pict>
      </w:r>
    </w:p>
    <w:p w14:paraId="79445DA6" w14:textId="77777777" w:rsidR="00FE0CE7" w:rsidRPr="00FE0CE7" w:rsidRDefault="00FE0CE7" w:rsidP="00613107">
      <w:pPr>
        <w:spacing w:before="100" w:beforeAutospacing="1" w:after="100" w:afterAutospacing="1" w:line="360" w:lineRule="auto"/>
        <w:outlineLvl w:val="2"/>
        <w:rPr>
          <w:rFonts w:ascii="Times New Roman" w:hAnsi="Times New Roman"/>
          <w:b/>
          <w:bCs/>
          <w:lang w:val="en-HK"/>
        </w:rPr>
      </w:pPr>
      <w:r w:rsidRPr="00FE0CE7">
        <w:rPr>
          <w:rFonts w:ascii="Times New Roman" w:hAnsi="Times New Roman"/>
          <w:b/>
          <w:bCs/>
          <w:lang w:val="en-HK"/>
        </w:rPr>
        <w:t>Summary of Issues with the First Limb</w:t>
      </w:r>
    </w:p>
    <w:p w14:paraId="4EC9A935" w14:textId="77777777" w:rsidR="00FE0CE7" w:rsidRPr="00FE0CE7" w:rsidRDefault="00FE0CE7" w:rsidP="00613107">
      <w:pPr>
        <w:numPr>
          <w:ilvl w:val="0"/>
          <w:numId w:val="5"/>
        </w:num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Restrictive Interpretations</w:t>
      </w:r>
      <w:r w:rsidRPr="00FE0CE7">
        <w:rPr>
          <w:rFonts w:ascii="Times New Roman" w:hAnsi="Times New Roman"/>
          <w:lang w:val="en-HK"/>
        </w:rPr>
        <w:t>:</w:t>
      </w:r>
    </w:p>
    <w:p w14:paraId="296D327E"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 xml:space="preserve">Cases like </w:t>
      </w:r>
      <w:r w:rsidRPr="00FE0CE7">
        <w:rPr>
          <w:rFonts w:ascii="Times New Roman" w:hAnsi="Times New Roman"/>
          <w:b/>
          <w:bCs/>
          <w:lang w:val="en-HK"/>
        </w:rPr>
        <w:t>Cahill</w:t>
      </w:r>
      <w:r w:rsidRPr="00FE0CE7">
        <w:rPr>
          <w:rFonts w:ascii="Times New Roman" w:hAnsi="Times New Roman"/>
          <w:lang w:val="en-HK"/>
        </w:rPr>
        <w:t xml:space="preserve"> have limited the scope of "disposing" to acts of permanent alienation, excluding significant interferences with ownership.</w:t>
      </w:r>
    </w:p>
    <w:p w14:paraId="5D36D640" w14:textId="77777777" w:rsidR="00FE0CE7" w:rsidRPr="00FE0CE7" w:rsidRDefault="00FE0CE7" w:rsidP="00613107">
      <w:pPr>
        <w:numPr>
          <w:ilvl w:val="0"/>
          <w:numId w:val="5"/>
        </w:num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Overreliance on "Goodness or Virtue"</w:t>
      </w:r>
      <w:r w:rsidRPr="00FE0CE7">
        <w:rPr>
          <w:rFonts w:ascii="Times New Roman" w:hAnsi="Times New Roman"/>
          <w:lang w:val="en-HK"/>
        </w:rPr>
        <w:t>:</w:t>
      </w:r>
    </w:p>
    <w:p w14:paraId="1BC64439" w14:textId="77777777" w:rsidR="00FE0CE7" w:rsidRPr="00FE0CE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t>Lloyd’s test for borrowing excludes cases where the property is returned unchanged but the owner’s rights are severely disrupted.</w:t>
      </w:r>
    </w:p>
    <w:p w14:paraId="2033F28F" w14:textId="77777777" w:rsidR="00FE0CE7" w:rsidRPr="00FE0CE7" w:rsidRDefault="00FE0CE7" w:rsidP="00613107">
      <w:pPr>
        <w:numPr>
          <w:ilvl w:val="0"/>
          <w:numId w:val="5"/>
        </w:numPr>
        <w:spacing w:before="100" w:beforeAutospacing="1" w:after="100" w:afterAutospacing="1" w:line="360" w:lineRule="auto"/>
        <w:rPr>
          <w:rFonts w:ascii="Times New Roman" w:hAnsi="Times New Roman"/>
          <w:lang w:val="en-HK"/>
        </w:rPr>
      </w:pPr>
      <w:r w:rsidRPr="00FE0CE7">
        <w:rPr>
          <w:rFonts w:ascii="Times New Roman" w:hAnsi="Times New Roman"/>
          <w:b/>
          <w:bCs/>
          <w:lang w:val="en-HK"/>
        </w:rPr>
        <w:t>Inconsistent Application</w:t>
      </w:r>
      <w:r w:rsidRPr="00FE0CE7">
        <w:rPr>
          <w:rFonts w:ascii="Times New Roman" w:hAnsi="Times New Roman"/>
          <w:lang w:val="en-HK"/>
        </w:rPr>
        <w:t>:</w:t>
      </w:r>
    </w:p>
    <w:p w14:paraId="03ED261A" w14:textId="77777777" w:rsidR="00FE0CE7" w:rsidRPr="00613107" w:rsidRDefault="00FE0CE7" w:rsidP="00613107">
      <w:pPr>
        <w:spacing w:before="100" w:beforeAutospacing="1" w:after="100" w:afterAutospacing="1" w:line="360" w:lineRule="auto"/>
        <w:rPr>
          <w:rFonts w:ascii="Times New Roman" w:hAnsi="Times New Roman"/>
          <w:lang w:val="en-HK"/>
        </w:rPr>
      </w:pPr>
      <w:r w:rsidRPr="00FE0CE7">
        <w:rPr>
          <w:rFonts w:ascii="Times New Roman" w:hAnsi="Times New Roman"/>
          <w:lang w:val="en-HK"/>
        </w:rPr>
        <w:lastRenderedPageBreak/>
        <w:t xml:space="preserve">Cases like </w:t>
      </w:r>
      <w:r w:rsidRPr="00FE0CE7">
        <w:rPr>
          <w:rFonts w:ascii="Times New Roman" w:hAnsi="Times New Roman"/>
          <w:b/>
          <w:bCs/>
          <w:lang w:val="en-HK"/>
        </w:rPr>
        <w:t>Thompson</w:t>
      </w:r>
      <w:r w:rsidRPr="00FE0CE7">
        <w:rPr>
          <w:rFonts w:ascii="Times New Roman" w:hAnsi="Times New Roman"/>
          <w:lang w:val="en-HK"/>
        </w:rPr>
        <w:t xml:space="preserve"> demonstrate the expansive potential of Section 6 but highlight the lack of clear boundaries for what constitutes "disposing."</w:t>
      </w:r>
    </w:p>
    <w:p w14:paraId="2F4C368F" w14:textId="19D5E5F1" w:rsidR="00FE0CE7" w:rsidRPr="00FE0CE7" w:rsidRDefault="00004C29" w:rsidP="00613107">
      <w:pPr>
        <w:spacing w:before="100" w:beforeAutospacing="1" w:after="100" w:afterAutospacing="1" w:line="360" w:lineRule="auto"/>
        <w:rPr>
          <w:rFonts w:ascii="Times New Roman" w:hAnsi="Times New Roman"/>
          <w:lang w:val="en-HK"/>
        </w:rPr>
      </w:pPr>
      <w:r w:rsidRPr="00004C29">
        <w:rPr>
          <w:rFonts w:ascii="Times New Roman" w:hAnsi="Times New Roman"/>
          <w:noProof/>
          <w:lang w:val="en-HK"/>
          <w14:ligatures w14:val="standardContextual"/>
        </w:rPr>
        <w:pict w14:anchorId="3DE307CC">
          <v:rect id="_x0000_i1045" alt="" style="width:451.3pt;height:.05pt;mso-width-percent:0;mso-height-percent:0;mso-width-percent:0;mso-height-percent:0" o:hralign="center" o:hrstd="t" o:hr="t" fillcolor="#a0a0a0" stroked="f"/>
        </w:pict>
      </w:r>
    </w:p>
    <w:p w14:paraId="00FE7CC6" w14:textId="5C00D94D" w:rsidR="00CD7780" w:rsidRPr="00CD7780" w:rsidRDefault="00CD7780"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4</w:t>
      </w:r>
      <w:r w:rsidRPr="00CD7780">
        <w:rPr>
          <w:rFonts w:ascii="Times New Roman" w:hAnsi="Times New Roman"/>
          <w:b/>
          <w:bCs/>
          <w:lang w:val="en-HK"/>
        </w:rPr>
        <w:t>. The Second Limb of Section 6(1): Borrowing and Lending</w:t>
      </w:r>
    </w:p>
    <w:p w14:paraId="3E055E25"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Statutory Text</w:t>
      </w:r>
    </w:p>
    <w:p w14:paraId="6EF97D58"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The second limb of </w:t>
      </w:r>
      <w:r w:rsidRPr="00CD7780">
        <w:rPr>
          <w:rFonts w:ascii="Times New Roman" w:hAnsi="Times New Roman"/>
          <w:b/>
          <w:bCs/>
          <w:lang w:val="en-HK"/>
        </w:rPr>
        <w:t>Section 6(1)</w:t>
      </w:r>
      <w:r w:rsidRPr="00CD7780">
        <w:rPr>
          <w:rFonts w:ascii="Times New Roman" w:hAnsi="Times New Roman"/>
          <w:lang w:val="en-HK"/>
        </w:rPr>
        <w:t xml:space="preserve"> of the </w:t>
      </w:r>
      <w:r w:rsidRPr="00CD7780">
        <w:rPr>
          <w:rFonts w:ascii="Times New Roman" w:hAnsi="Times New Roman"/>
          <w:b/>
          <w:bCs/>
          <w:lang w:val="en-HK"/>
        </w:rPr>
        <w:t>Theft Act 1968</w:t>
      </w:r>
      <w:r w:rsidRPr="00CD7780">
        <w:rPr>
          <w:rFonts w:ascii="Times New Roman" w:hAnsi="Times New Roman"/>
          <w:lang w:val="en-HK"/>
        </w:rPr>
        <w:t xml:space="preserve"> states:</w:t>
      </w:r>
    </w:p>
    <w:p w14:paraId="744A7E58"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 a borrowing or lending of it may amount to so treating it if, but only if, the borrowing or lending is for a period and in circumstances making it equivalent to an outright taking or disposal.”</w:t>
      </w:r>
    </w:p>
    <w:p w14:paraId="68DDED0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This provision introduces the possibility that borrowing or lending property can constitute theft if it is done in a way that mirrors the effects of permanent deprivation.</w:t>
      </w:r>
    </w:p>
    <w:p w14:paraId="24DB1783"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70319DC9">
          <v:rect id="_x0000_i1044" alt="" style="width:451.3pt;height:.05pt;mso-width-percent:0;mso-height-percent:0;mso-width-percent:0;mso-height-percent:0" o:hralign="center" o:hrstd="t" o:hr="t" fillcolor="#a0a0a0" stroked="f"/>
        </w:pict>
      </w:r>
    </w:p>
    <w:p w14:paraId="0421BAA2"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Judicial Interpretation of Borrowing and Lending</w:t>
      </w:r>
    </w:p>
    <w:p w14:paraId="1D019B9D"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R v Lloyd [1985] QB 829</w:t>
      </w:r>
      <w:r w:rsidRPr="00CD7780">
        <w:rPr>
          <w:rFonts w:ascii="Times New Roman" w:hAnsi="Times New Roman"/>
          <w:lang w:val="en-HK"/>
        </w:rPr>
        <w:t>:</w:t>
      </w:r>
    </w:p>
    <w:p w14:paraId="61BBA9CE"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Facts</w:t>
      </w:r>
      <w:r w:rsidRPr="00613107">
        <w:rPr>
          <w:rFonts w:ascii="Times New Roman" w:hAnsi="Times New Roman"/>
          <w:lang w:val="en-HK"/>
        </w:rPr>
        <w:t>:</w:t>
      </w:r>
    </w:p>
    <w:p w14:paraId="776E2085"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A cinema projectionist borrowed films to make unauthorized copies before returning them undamaged.</w:t>
      </w:r>
    </w:p>
    <w:p w14:paraId="56E2829B"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Judgment</w:t>
      </w:r>
      <w:r w:rsidRPr="00613107">
        <w:rPr>
          <w:rFonts w:ascii="Times New Roman" w:hAnsi="Times New Roman"/>
          <w:lang w:val="en-HK"/>
        </w:rPr>
        <w:t>:</w:t>
      </w:r>
    </w:p>
    <w:p w14:paraId="4AB94A8D"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The Court of Appeal held that borrowing did not constitute theft because the films retained their "goodness or virtue."</w:t>
      </w:r>
    </w:p>
    <w:p w14:paraId="416DDFAF"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Lord Lane CJ’s Key Statement</w:t>
      </w:r>
      <w:r w:rsidRPr="00613107">
        <w:rPr>
          <w:rFonts w:ascii="Times New Roman" w:hAnsi="Times New Roman"/>
          <w:lang w:val="en-HK"/>
        </w:rPr>
        <w:t>:</w:t>
      </w:r>
    </w:p>
    <w:p w14:paraId="2F2B1BF6" w14:textId="77777777" w:rsidR="00CD7780" w:rsidRPr="00613107" w:rsidRDefault="00CD7780" w:rsidP="00613107">
      <w:pPr>
        <w:spacing w:beforeAutospacing="1" w:afterAutospacing="1" w:line="360" w:lineRule="auto"/>
        <w:rPr>
          <w:rFonts w:ascii="Times New Roman" w:hAnsi="Times New Roman"/>
          <w:b/>
          <w:bCs/>
          <w:lang w:val="en-HK"/>
        </w:rPr>
      </w:pPr>
      <w:r w:rsidRPr="00613107">
        <w:rPr>
          <w:rFonts w:ascii="Times New Roman" w:hAnsi="Times New Roman"/>
          <w:b/>
          <w:bCs/>
          <w:lang w:val="en-HK"/>
        </w:rPr>
        <w:t>“Borrowing is insufficient to establish theft unless the property is returned in a condition that all its goodness or virtue has gone.”</w:t>
      </w:r>
    </w:p>
    <w:p w14:paraId="23DC689D"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lastRenderedPageBreak/>
        <w:t>Critique by Alex Steel</w:t>
      </w:r>
      <w:r w:rsidRPr="00613107">
        <w:rPr>
          <w:rFonts w:ascii="Times New Roman" w:hAnsi="Times New Roman"/>
          <w:lang w:val="en-HK"/>
        </w:rPr>
        <w:t>:</w:t>
      </w:r>
    </w:p>
    <w:p w14:paraId="59A60402"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critiques this "goodness or virtue" standard as overly restrictive, arguing:</w:t>
      </w:r>
    </w:p>
    <w:p w14:paraId="50F4AAAD"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 xml:space="preserve">“Lloyd’s </w:t>
      </w:r>
      <w:r w:rsidRPr="00613107">
        <w:rPr>
          <w:rFonts w:ascii="Times New Roman" w:hAnsi="Times New Roman"/>
          <w:b/>
          <w:bCs/>
          <w:lang w:val="en-HK"/>
        </w:rPr>
        <w:t>focus on the physical condition of the property excludes cases where the owner’s rights are severely disrupted</w:t>
      </w:r>
      <w:r w:rsidRPr="00613107">
        <w:rPr>
          <w:rFonts w:ascii="Times New Roman" w:hAnsi="Times New Roman"/>
          <w:lang w:val="en-HK"/>
        </w:rPr>
        <w:t>, even without altering the property itself.”</w:t>
      </w:r>
    </w:p>
    <w:p w14:paraId="5544828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Example of Limitations</w:t>
      </w:r>
      <w:r w:rsidRPr="00CD7780">
        <w:rPr>
          <w:rFonts w:ascii="Times New Roman" w:hAnsi="Times New Roman"/>
          <w:lang w:val="en-HK"/>
        </w:rPr>
        <w:t>:</w:t>
      </w:r>
    </w:p>
    <w:p w14:paraId="4050E43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Borrowing an essential tool during a critical period (e.g., a student’s laptop before an exam) might cause significant harm to the owner but would not meet Lloyd’s standard.</w:t>
      </w:r>
    </w:p>
    <w:p w14:paraId="7A4FE40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DPP v Lavender [1994] Crim LR 297</w:t>
      </w:r>
      <w:r w:rsidRPr="00CD7780">
        <w:rPr>
          <w:rFonts w:ascii="Times New Roman" w:hAnsi="Times New Roman"/>
          <w:lang w:val="en-HK"/>
        </w:rPr>
        <w:t>:</w:t>
      </w:r>
    </w:p>
    <w:p w14:paraId="65EBB66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Facts</w:t>
      </w:r>
      <w:r w:rsidRPr="00CD7780">
        <w:rPr>
          <w:rFonts w:ascii="Times New Roman" w:hAnsi="Times New Roman"/>
          <w:lang w:val="en-HK"/>
        </w:rPr>
        <w:t>:</w:t>
      </w:r>
    </w:p>
    <w:p w14:paraId="1EC1BA21"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defendant removed council doors from one property to install them in another council-owned property.</w:t>
      </w:r>
    </w:p>
    <w:p w14:paraId="090E519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Judgment</w:t>
      </w:r>
      <w:r w:rsidRPr="00CD7780">
        <w:rPr>
          <w:rFonts w:ascii="Times New Roman" w:hAnsi="Times New Roman"/>
          <w:lang w:val="en-HK"/>
        </w:rPr>
        <w:t>:</w:t>
      </w:r>
    </w:p>
    <w:p w14:paraId="055DD4C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court found that the borrowing of the doors did not constitute theft because the doors retained their utility and were still under the council’s control.</w:t>
      </w:r>
    </w:p>
    <w:p w14:paraId="7BB85025"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Commentary by Steel</w:t>
      </w:r>
      <w:r w:rsidRPr="00CD7780">
        <w:rPr>
          <w:rFonts w:ascii="Times New Roman" w:hAnsi="Times New Roman"/>
          <w:lang w:val="en-HK"/>
        </w:rPr>
        <w:t>:</w:t>
      </w:r>
    </w:p>
    <w:p w14:paraId="68E79FB0"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observes that the case illustrates the difficulty of applying the second limb to non-obvious acts of borrowing:</w:t>
      </w:r>
    </w:p>
    <w:p w14:paraId="18E613B5"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“Lavender demonstrates how courts may exclude cases where the property retains its utility, even if the owner’s rights are undermined.”</w:t>
      </w:r>
    </w:p>
    <w:p w14:paraId="4D8EC864"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3A7F17F7">
          <v:rect id="_x0000_i1043" alt="" style="width:451.3pt;height:.05pt;mso-width-percent:0;mso-height-percent:0;mso-width-percent:0;mso-height-percent:0" o:hralign="center" o:hrstd="t" o:hr="t" fillcolor="#a0a0a0" stroked="f"/>
        </w:pict>
      </w:r>
    </w:p>
    <w:p w14:paraId="79AA82A9"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Scope and Challenges</w:t>
      </w:r>
    </w:p>
    <w:p w14:paraId="1D63818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Ambiguity of “Equivalent to Outright Taking or Disposal”</w:t>
      </w:r>
      <w:r w:rsidRPr="00CD7780">
        <w:rPr>
          <w:rFonts w:ascii="Times New Roman" w:hAnsi="Times New Roman"/>
          <w:lang w:val="en-HK"/>
        </w:rPr>
        <w:t>:</w:t>
      </w:r>
    </w:p>
    <w:p w14:paraId="0D6D2D14"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lastRenderedPageBreak/>
        <w:t>Steel notes that the phrase “equivalent to outright taking or disposal” lacks clear criteria, leading to inconsistent interpretations.</w:t>
      </w:r>
    </w:p>
    <w:p w14:paraId="3067169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He argues:</w:t>
      </w:r>
    </w:p>
    <w:p w14:paraId="7DDB16F1"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“Judicial reliance on subjective assessments of ‘goodness or virtue’ has failed to provide a robust framework for applying the second limb.”</w:t>
      </w:r>
    </w:p>
    <w:p w14:paraId="590C0533"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Objective and Subjective Factors</w:t>
      </w:r>
      <w:r w:rsidRPr="00CD7780">
        <w:rPr>
          <w:rFonts w:ascii="Times New Roman" w:hAnsi="Times New Roman"/>
          <w:lang w:val="en-HK"/>
        </w:rPr>
        <w:t>:</w:t>
      </w:r>
    </w:p>
    <w:p w14:paraId="3D3053B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Courts assess borrowing and lending based on:</w:t>
      </w:r>
    </w:p>
    <w:p w14:paraId="02085353"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Duration</w:t>
      </w:r>
      <w:r w:rsidRPr="00CD7780">
        <w:rPr>
          <w:rFonts w:ascii="Times New Roman" w:hAnsi="Times New Roman"/>
          <w:lang w:val="en-HK"/>
        </w:rPr>
        <w:t>: How long the property is kept from the owner.</w:t>
      </w:r>
    </w:p>
    <w:p w14:paraId="1471415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Circumstances</w:t>
      </w:r>
      <w:r w:rsidRPr="00CD7780">
        <w:rPr>
          <w:rFonts w:ascii="Times New Roman" w:hAnsi="Times New Roman"/>
          <w:lang w:val="en-HK"/>
        </w:rPr>
        <w:t>: Whether the borrowing causes harm equivalent to permanent deprivation.</w:t>
      </w:r>
    </w:p>
    <w:p w14:paraId="57E46433"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critiques this dual focus, stating:</w:t>
      </w:r>
    </w:p>
    <w:p w14:paraId="6FE4CED8"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“The lack of clarity on what constitutes ‘circumstances equivalent to outright taking’ leaves Section 6 vulnerable to judicial inconsistency.”</w:t>
      </w:r>
    </w:p>
    <w:p w14:paraId="37E017E6"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38C72071">
          <v:rect id="_x0000_i1042" alt="" style="width:451.3pt;height:.05pt;mso-width-percent:0;mso-height-percent:0;mso-width-percent:0;mso-height-percent:0" o:hralign="center" o:hrstd="t" o:hr="t" fillcolor="#a0a0a0" stroked="f"/>
        </w:pict>
      </w:r>
    </w:p>
    <w:p w14:paraId="2B01ADE5"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Steel’s Analysis</w:t>
      </w:r>
    </w:p>
    <w:p w14:paraId="7A78EDC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Steel proposes that borrowing or lending should be assessed based on the </w:t>
      </w:r>
      <w:r w:rsidRPr="00CD7780">
        <w:rPr>
          <w:rFonts w:ascii="Times New Roman" w:hAnsi="Times New Roman"/>
          <w:b/>
          <w:bCs/>
          <w:lang w:val="en-HK"/>
        </w:rPr>
        <w:t>degree of harm to the owner’s rights</w:t>
      </w:r>
      <w:r w:rsidRPr="00CD7780">
        <w:rPr>
          <w:rFonts w:ascii="Times New Roman" w:hAnsi="Times New Roman"/>
          <w:lang w:val="en-HK"/>
        </w:rPr>
        <w:t>, rather than the physical condition of the property:</w:t>
      </w:r>
    </w:p>
    <w:p w14:paraId="0C46BEFE"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“The focus should shift from the property’s goodness or virtue to the disruption of the owner’s ability to enjoy or use the property as intended.”</w:t>
      </w:r>
    </w:p>
    <w:p w14:paraId="1119C5B5"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4A34745B">
          <v:rect id="_x0000_i1041" alt="" style="width:451.3pt;height:.05pt;mso-width-percent:0;mso-height-percent:0;mso-width-percent:0;mso-height-percent:0" o:hralign="center" o:hrstd="t" o:hr="t" fillcolor="#a0a0a0" stroked="f"/>
        </w:pict>
      </w:r>
    </w:p>
    <w:p w14:paraId="24C26368" w14:textId="63995092" w:rsidR="00CD7780" w:rsidRPr="00613107" w:rsidRDefault="00CD7780"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 xml:space="preserve">5. </w:t>
      </w:r>
      <w:r w:rsidRPr="00613107">
        <w:rPr>
          <w:rFonts w:ascii="Times New Roman" w:hAnsi="Times New Roman"/>
          <w:b/>
          <w:bCs/>
          <w:lang w:val="en-HK"/>
        </w:rPr>
        <w:t>Section 6(2): Strict Liability for Pawning</w:t>
      </w:r>
    </w:p>
    <w:p w14:paraId="506C5E87"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Statutory Text</w:t>
      </w:r>
    </w:p>
    <w:p w14:paraId="68734166"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 xml:space="preserve">Section 6(2) of the </w:t>
      </w:r>
      <w:r w:rsidRPr="00613107">
        <w:rPr>
          <w:rFonts w:ascii="Times New Roman" w:hAnsi="Times New Roman"/>
          <w:b/>
          <w:bCs/>
          <w:lang w:val="en-HK"/>
        </w:rPr>
        <w:t>Theft Act 1968</w:t>
      </w:r>
      <w:r w:rsidRPr="00613107">
        <w:rPr>
          <w:rFonts w:ascii="Times New Roman" w:hAnsi="Times New Roman"/>
          <w:lang w:val="en-HK"/>
        </w:rPr>
        <w:t xml:space="preserve"> states:</w:t>
      </w:r>
    </w:p>
    <w:p w14:paraId="28A0D686"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lastRenderedPageBreak/>
        <w:t>“Where a person, having possession or control of property belonging to another, parts with the property under a condition as to its return which he may not be able to perform, this shall… be regarded as treating the property as his own to dispose of regardless of the other’s rights.”</w:t>
      </w:r>
    </w:p>
    <w:p w14:paraId="3D529ECF"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596090B6">
          <v:rect id="_x0000_i1040" alt="" style="width:451.3pt;height:.05pt;mso-width-percent:0;mso-height-percent:0;mso-width-percent:0;mso-height-percent:0" o:hralign="center" o:hrstd="t" o:hr="t" fillcolor="#a0a0a0" stroked="f"/>
        </w:pict>
      </w:r>
    </w:p>
    <w:p w14:paraId="25A333A8"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Key Judicial Interpretations</w:t>
      </w:r>
    </w:p>
    <w:p w14:paraId="01018050"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Scope of Section 6(2)</w:t>
      </w:r>
      <w:r w:rsidRPr="00CD7780">
        <w:rPr>
          <w:rFonts w:ascii="Times New Roman" w:hAnsi="Times New Roman"/>
          <w:lang w:val="en-HK"/>
        </w:rPr>
        <w:t>:</w:t>
      </w:r>
    </w:p>
    <w:p w14:paraId="31A42D18"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explains that this subsection primarily addresses pawning or pledging property as security for a loan, where the defendant cannot ensure its redemption.</w:t>
      </w:r>
    </w:p>
    <w:p w14:paraId="0262B5C2"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He notes:</w:t>
      </w:r>
    </w:p>
    <w:p w14:paraId="1FE38FC2"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w:t>
      </w:r>
      <w:r w:rsidRPr="00613107">
        <w:rPr>
          <w:rFonts w:ascii="Times New Roman" w:hAnsi="Times New Roman"/>
          <w:b/>
          <w:bCs/>
          <w:lang w:val="en-HK"/>
        </w:rPr>
        <w:t>Section 6(2) operates as a form of strict liability</w:t>
      </w:r>
      <w:r w:rsidRPr="00613107">
        <w:rPr>
          <w:rFonts w:ascii="Times New Roman" w:hAnsi="Times New Roman"/>
          <w:lang w:val="en-HK"/>
        </w:rPr>
        <w:t>, imputing intent to permanently deprive in cases of pawning, irrespective of the defendant’s subjective belief.”</w:t>
      </w:r>
    </w:p>
    <w:p w14:paraId="780ED11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Judicial Treatment of Pawning</w:t>
      </w:r>
      <w:r w:rsidRPr="00CD7780">
        <w:rPr>
          <w:rFonts w:ascii="Times New Roman" w:hAnsi="Times New Roman"/>
          <w:lang w:val="en-HK"/>
        </w:rPr>
        <w:t>:</w:t>
      </w:r>
    </w:p>
    <w:p w14:paraId="6B79579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While no leading cases directly test Section 6(2), Steel discusses its potential overreach:</w:t>
      </w:r>
    </w:p>
    <w:p w14:paraId="2922C68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Criticism</w:t>
      </w:r>
      <w:r w:rsidRPr="00CD7780">
        <w:rPr>
          <w:rFonts w:ascii="Times New Roman" w:hAnsi="Times New Roman"/>
          <w:lang w:val="en-HK"/>
        </w:rPr>
        <w:t>:</w:t>
      </w:r>
    </w:p>
    <w:p w14:paraId="3626EE34"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Section 6(2) criminalizes acts even when the defendant believes they can retrieve the property. Steel states:</w:t>
      </w:r>
    </w:p>
    <w:p w14:paraId="0E8D0D78"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“This provision disregards the defendant’s subjective intent, treating all acts of pawning as equivalent to permanent deprivation.”</w:t>
      </w:r>
    </w:p>
    <w:p w14:paraId="544A807F"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689C8529">
          <v:rect id="_x0000_i1039" alt="" style="width:451.3pt;height:.05pt;mso-width-percent:0;mso-height-percent:0;mso-width-percent:0;mso-height-percent:0" o:hralign="center" o:hrstd="t" o:hr="t" fillcolor="#a0a0a0" stroked="f"/>
        </w:pict>
      </w:r>
    </w:p>
    <w:p w14:paraId="4930620D"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Practical Issues with Section 6(2)</w:t>
      </w:r>
    </w:p>
    <w:p w14:paraId="602E655C"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Strict Liability Concerns</w:t>
      </w:r>
      <w:r w:rsidRPr="00CD7780">
        <w:rPr>
          <w:rFonts w:ascii="Times New Roman" w:hAnsi="Times New Roman"/>
          <w:lang w:val="en-HK"/>
        </w:rPr>
        <w:t>:</w:t>
      </w:r>
    </w:p>
    <w:p w14:paraId="6EF3760D"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By imposing strict liability, Section 6(2) criminalizes acts that may lack moral culpability.</w:t>
      </w:r>
    </w:p>
    <w:p w14:paraId="0D04C5B0"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lastRenderedPageBreak/>
        <w:t>Example: A defendant pawns an item believing they can redeem it but later fails due to unforeseen circumstances. Steel argues:</w:t>
      </w:r>
    </w:p>
    <w:p w14:paraId="0B20B93F"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“Criminalizing such actions under Section 6(2) risks overreach, penalizing defendants for unforeseen consequences rather than deliberate wrongdoing.”</w:t>
      </w:r>
    </w:p>
    <w:p w14:paraId="016F643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Conflict with Civil Law</w:t>
      </w:r>
      <w:r w:rsidRPr="00CD7780">
        <w:rPr>
          <w:rFonts w:ascii="Times New Roman" w:hAnsi="Times New Roman"/>
          <w:lang w:val="en-HK"/>
        </w:rPr>
        <w:t>:</w:t>
      </w:r>
    </w:p>
    <w:p w14:paraId="2964E3B5"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Section 6(2) interacts uneasily with principles of </w:t>
      </w:r>
      <w:r w:rsidRPr="00CD7780">
        <w:rPr>
          <w:rFonts w:ascii="Times New Roman" w:hAnsi="Times New Roman"/>
          <w:b/>
          <w:bCs/>
          <w:lang w:val="en-HK"/>
        </w:rPr>
        <w:t>contract and property law</w:t>
      </w:r>
      <w:r w:rsidRPr="00CD7780">
        <w:rPr>
          <w:rFonts w:ascii="Times New Roman" w:hAnsi="Times New Roman"/>
          <w:lang w:val="en-HK"/>
        </w:rPr>
        <w:t>, particularly regarding bona fide purchasers and the transfer of title.</w:t>
      </w:r>
    </w:p>
    <w:p w14:paraId="1E805A0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observes:</w:t>
      </w:r>
    </w:p>
    <w:p w14:paraId="3D0B1B52"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“The imposition of criminal liability under Section 6(2) complicates the relationship between criminal and civil doctrines of ownership and redemption.”</w:t>
      </w:r>
    </w:p>
    <w:p w14:paraId="6E23E746"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57AD5713">
          <v:rect id="_x0000_i1038" alt="" style="width:451.3pt;height:.05pt;mso-width-percent:0;mso-height-percent:0;mso-width-percent:0;mso-height-percent:0" o:hralign="center" o:hrstd="t" o:hr="t" fillcolor="#a0a0a0" stroked="f"/>
        </w:pict>
      </w:r>
    </w:p>
    <w:p w14:paraId="726C5FCA" w14:textId="77777777" w:rsidR="00CD7780" w:rsidRPr="00613107" w:rsidRDefault="00CD7780"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Critique and Recommendations for Sections 6(1) and 6(2)</w:t>
      </w:r>
    </w:p>
    <w:p w14:paraId="42A3AFDC"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Key Issues</w:t>
      </w:r>
    </w:p>
    <w:p w14:paraId="1C9E5EE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Ambiguity</w:t>
      </w:r>
      <w:r w:rsidRPr="00CD7780">
        <w:rPr>
          <w:rFonts w:ascii="Times New Roman" w:hAnsi="Times New Roman"/>
          <w:lang w:val="en-HK"/>
        </w:rPr>
        <w:t>:</w:t>
      </w:r>
    </w:p>
    <w:p w14:paraId="02AC289A"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language of Section 6(1) and 6(2) is broad and lacks precision, leading to inconsistent judicial applications.</w:t>
      </w:r>
    </w:p>
    <w:p w14:paraId="219E5D82"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Over-Reliance on "Goodness or Virtue"</w:t>
      </w:r>
      <w:r w:rsidRPr="00CD7780">
        <w:rPr>
          <w:rFonts w:ascii="Times New Roman" w:hAnsi="Times New Roman"/>
          <w:lang w:val="en-HK"/>
        </w:rPr>
        <w:t>:</w:t>
      </w:r>
    </w:p>
    <w:p w14:paraId="53761B98"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Lloyd standard excludes cases where borrowing causes significant harm without altering the property.</w:t>
      </w:r>
    </w:p>
    <w:p w14:paraId="750D7F1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Strict Liability in Section 6(2)</w:t>
      </w:r>
      <w:r w:rsidRPr="00CD7780">
        <w:rPr>
          <w:rFonts w:ascii="Times New Roman" w:hAnsi="Times New Roman"/>
          <w:lang w:val="en-HK"/>
        </w:rPr>
        <w:t>:</w:t>
      </w:r>
    </w:p>
    <w:p w14:paraId="21D28721"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By disregarding the defendant’s subjective intent, Section 6(2 risks unfairly criminalizing non-malicious acts.</w:t>
      </w:r>
    </w:p>
    <w:p w14:paraId="2496BFC0" w14:textId="77777777" w:rsidR="00CD7780" w:rsidRPr="00613107" w:rsidRDefault="00CD7780"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Proposed Reforms</w:t>
      </w:r>
    </w:p>
    <w:p w14:paraId="4646FC85"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lastRenderedPageBreak/>
        <w:t>Clarifying Borrowing and Lending</w:t>
      </w:r>
      <w:r w:rsidRPr="00CD7780">
        <w:rPr>
          <w:rFonts w:ascii="Times New Roman" w:hAnsi="Times New Roman"/>
          <w:lang w:val="en-HK"/>
        </w:rPr>
        <w:t>:</w:t>
      </w:r>
    </w:p>
    <w:p w14:paraId="2C525701"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Provide statutory criteria for when borrowing or lending amounts to outright taking or disposal, focusing on the harm caused to the owner’s rights.</w:t>
      </w:r>
    </w:p>
    <w:p w14:paraId="6DE08F4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Refining Section 6(2)</w:t>
      </w:r>
      <w:r w:rsidRPr="00CD7780">
        <w:rPr>
          <w:rFonts w:ascii="Times New Roman" w:hAnsi="Times New Roman"/>
          <w:lang w:val="en-HK"/>
        </w:rPr>
        <w:t>:</w:t>
      </w:r>
    </w:p>
    <w:p w14:paraId="5AE5E020"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Introduce a requirement for subjective intent to mitigate the strict liability effect of pawning cases.</w:t>
      </w:r>
    </w:p>
    <w:p w14:paraId="3FD4082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Reinterpreting “Goodness or Virtue”</w:t>
      </w:r>
      <w:r w:rsidRPr="00CD7780">
        <w:rPr>
          <w:rFonts w:ascii="Times New Roman" w:hAnsi="Times New Roman"/>
          <w:lang w:val="en-HK"/>
        </w:rPr>
        <w:t>:</w:t>
      </w:r>
    </w:p>
    <w:p w14:paraId="4449F33F"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Shift the focus from physical alteration to the impact on the owner’s ability to use or enjoy the property.</w:t>
      </w:r>
    </w:p>
    <w:p w14:paraId="6405965F" w14:textId="77777777" w:rsidR="00CD7780"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2FF2644C">
          <v:rect id="_x0000_i1037" alt="" style="width:451.3pt;height:.05pt;mso-width-percent:0;mso-height-percent:0;mso-width-percent:0;mso-height-percent:0" o:hralign="center" o:hrstd="t" o:hr="t" fillcolor="#a0a0a0" stroked="f"/>
        </w:pict>
      </w:r>
    </w:p>
    <w:p w14:paraId="0B9DEF23"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Steel concludes that Sections 6(1) and 6(2) require urgent reform to address their ambiguities and ensure that theft law targets only egregious misuse or misappropriation of property. He advocates for a more coherent framework that balances protecting property rights with ensuring proportionality and fairness in criminal liability. As Steel aptly states:</w:t>
      </w:r>
    </w:p>
    <w:p w14:paraId="44EBD0CE" w14:textId="77777777" w:rsidR="00CD7780" w:rsidRPr="00613107" w:rsidRDefault="00CD7780" w:rsidP="00613107">
      <w:pPr>
        <w:spacing w:beforeAutospacing="1" w:afterAutospacing="1" w:line="360" w:lineRule="auto"/>
        <w:rPr>
          <w:rFonts w:ascii="Times New Roman" w:hAnsi="Times New Roman"/>
          <w:lang w:val="en-HK"/>
        </w:rPr>
      </w:pPr>
      <w:r w:rsidRPr="00613107">
        <w:rPr>
          <w:rFonts w:ascii="Times New Roman" w:hAnsi="Times New Roman"/>
          <w:lang w:val="en-HK"/>
        </w:rPr>
        <w:t>“The law must adapt to reflect both the realities of property use and the principles of justice, ensuring that Section 6 achieves its intended purpose without overreach.”</w:t>
      </w:r>
    </w:p>
    <w:p w14:paraId="7D470019" w14:textId="27DBAE6D" w:rsidR="00CD7780" w:rsidRPr="00613107" w:rsidRDefault="00004C29" w:rsidP="00613107">
      <w:pPr>
        <w:spacing w:before="100" w:beforeAutospacing="1" w:after="100" w:afterAutospacing="1" w:line="360" w:lineRule="auto"/>
        <w:outlineLvl w:val="2"/>
        <w:rPr>
          <w:rFonts w:ascii="Times New Roman" w:hAnsi="Times New Roman"/>
          <w:b/>
          <w:bCs/>
          <w:lang w:val="en-HK"/>
        </w:rPr>
      </w:pPr>
      <w:r w:rsidRPr="00004C29">
        <w:rPr>
          <w:rFonts w:ascii="Times New Roman" w:hAnsi="Times New Roman"/>
          <w:noProof/>
          <w:lang w:val="en-HK"/>
          <w14:ligatures w14:val="standardContextual"/>
        </w:rPr>
        <w:pict w14:anchorId="31BF624A">
          <v:rect id="_x0000_i1036" alt="" style="width:451.3pt;height:.05pt;mso-width-percent:0;mso-height-percent:0;mso-width-percent:0;mso-height-percent:0" o:hralign="center" o:hrstd="t" o:hr="t" fillcolor="#a0a0a0" stroked="f"/>
        </w:pict>
      </w:r>
    </w:p>
    <w:p w14:paraId="5B2B0F38" w14:textId="40CE56B4" w:rsidR="00CD7780" w:rsidRPr="00CD7780" w:rsidRDefault="00CD7780"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6</w:t>
      </w:r>
      <w:r w:rsidRPr="00CD7780">
        <w:rPr>
          <w:rFonts w:ascii="Times New Roman" w:hAnsi="Times New Roman"/>
          <w:b/>
          <w:bCs/>
          <w:lang w:val="en-HK"/>
        </w:rPr>
        <w:t>. Ethical and Systemic Issues in Section 6 Theft Act 1968</w:t>
      </w:r>
    </w:p>
    <w:p w14:paraId="1DF3B262"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Statutory Framework</w:t>
      </w:r>
    </w:p>
    <w:p w14:paraId="290F27A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Section 6(1) of the </w:t>
      </w:r>
      <w:r w:rsidRPr="00CD7780">
        <w:rPr>
          <w:rFonts w:ascii="Times New Roman" w:hAnsi="Times New Roman"/>
          <w:b/>
          <w:bCs/>
          <w:lang w:val="en-HK"/>
        </w:rPr>
        <w:t>Theft Act 1968</w:t>
      </w:r>
      <w:r w:rsidRPr="00CD7780">
        <w:rPr>
          <w:rFonts w:ascii="Times New Roman" w:hAnsi="Times New Roman"/>
          <w:lang w:val="en-HK"/>
        </w:rPr>
        <w:t xml:space="preserve"> addresses cases where a defendant treats property as their own to dispose of, even if they do not intend the owner to permanently lose the property. Borrowing or lending may amount to such treatment if it is equivalent to outright taking or disposal. Section 6(2) further extends liability to cases where property is parted with under conditions that cannot be fulfilled.</w:t>
      </w:r>
    </w:p>
    <w:p w14:paraId="4571FC07"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56F941FE">
          <v:rect id="_x0000_i1035" alt="" style="width:451.3pt;height:.05pt;mso-width-percent:0;mso-height-percent:0;mso-width-percent:0;mso-height-percent:0" o:hralign="center" o:hrstd="t" o:hr="t" fillcolor="#a0a0a0" stroked="f"/>
        </w:pict>
      </w:r>
    </w:p>
    <w:p w14:paraId="40DE6CC3"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lastRenderedPageBreak/>
        <w:t>Ethical Concerns</w:t>
      </w:r>
    </w:p>
    <w:p w14:paraId="2FFF54F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identifies several ethical issues arising from the interpretation of Section 6:</w:t>
      </w:r>
    </w:p>
    <w:p w14:paraId="716BB004" w14:textId="77777777" w:rsidR="00CD7780" w:rsidRPr="00CD7780" w:rsidRDefault="00CD7780" w:rsidP="00613107">
      <w:pPr>
        <w:numPr>
          <w:ilvl w:val="0"/>
          <w:numId w:val="15"/>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Over-Criminalization</w:t>
      </w:r>
      <w:r w:rsidRPr="00CD7780">
        <w:rPr>
          <w:rFonts w:ascii="Times New Roman" w:hAnsi="Times New Roman"/>
          <w:lang w:val="en-HK"/>
        </w:rPr>
        <w:t>:</w:t>
      </w:r>
    </w:p>
    <w:p w14:paraId="4B4C884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broad language of Section 6(1) risks criminalizing trivial or morally neutral acts, particularly when borrowing or lending property. Steel notes:</w:t>
      </w:r>
    </w:p>
    <w:p w14:paraId="5216061B"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“Judicial interpretations of Section 6 have expanded its scope to encompass actions that lack genuine criminal culpability.”</w:t>
      </w:r>
    </w:p>
    <w:p w14:paraId="31F5179F"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Example</w:t>
      </w:r>
      <w:r w:rsidRPr="00CD7780">
        <w:rPr>
          <w:rFonts w:ascii="Times New Roman" w:hAnsi="Times New Roman"/>
          <w:lang w:val="en-HK"/>
        </w:rPr>
        <w:t xml:space="preserve">: In </w:t>
      </w:r>
      <w:r w:rsidRPr="00CD7780">
        <w:rPr>
          <w:rFonts w:ascii="Times New Roman" w:hAnsi="Times New Roman"/>
          <w:b/>
          <w:bCs/>
          <w:lang w:val="en-HK"/>
        </w:rPr>
        <w:t>R v Lloyd [1985] QB 829</w:t>
      </w:r>
      <w:r w:rsidRPr="00CD7780">
        <w:rPr>
          <w:rFonts w:ascii="Times New Roman" w:hAnsi="Times New Roman"/>
          <w:lang w:val="en-HK"/>
        </w:rPr>
        <w:t>, the temporary borrowing of cinema films for unauthorized copying was not deemed theft, as the films retained their "goodness or virtue." Steel critiques this case for setting an artificial threshold, arguing:</w:t>
      </w:r>
    </w:p>
    <w:p w14:paraId="2297F220"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“The focus on the property’s goodness or virtue ignores cases where the owner’s rights are significantly disrupted without physical damage to the property.”</w:t>
      </w:r>
    </w:p>
    <w:p w14:paraId="3A30746A" w14:textId="77777777" w:rsidR="00CD7780" w:rsidRPr="00CD7780" w:rsidRDefault="00CD7780" w:rsidP="00613107">
      <w:pPr>
        <w:numPr>
          <w:ilvl w:val="0"/>
          <w:numId w:val="15"/>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Reliance on Ambiguous Terms</w:t>
      </w:r>
      <w:r w:rsidRPr="00CD7780">
        <w:rPr>
          <w:rFonts w:ascii="Times New Roman" w:hAnsi="Times New Roman"/>
          <w:lang w:val="en-HK"/>
        </w:rPr>
        <w:t>:</w:t>
      </w:r>
    </w:p>
    <w:p w14:paraId="6FEEE89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Phrases such as "equivalent to outright taking or disposal" and "goodness or virtue" lack clear definitions, leading to inconsistent judicial applications. Steel warns:</w:t>
      </w:r>
    </w:p>
    <w:p w14:paraId="3B5DB9C7"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“The lack of precision in Section 6 invites overly expansive interpretations, undermining the principle of fair warning in criminal law.”</w:t>
      </w:r>
    </w:p>
    <w:p w14:paraId="15ACE7BB" w14:textId="77777777" w:rsidR="00CD7780" w:rsidRPr="00CD7780" w:rsidRDefault="00CD7780" w:rsidP="00613107">
      <w:pPr>
        <w:numPr>
          <w:ilvl w:val="0"/>
          <w:numId w:val="15"/>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Conflict with Fair Labelling</w:t>
      </w:r>
      <w:r w:rsidRPr="00CD7780">
        <w:rPr>
          <w:rFonts w:ascii="Times New Roman" w:hAnsi="Times New Roman"/>
          <w:lang w:val="en-HK"/>
        </w:rPr>
        <w:t>:</w:t>
      </w:r>
    </w:p>
    <w:p w14:paraId="25429BA5"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Section 6 conflates temporary misuse with outright theft, diluting the distinction between serious criminal acts and minor infractions. Steel states:</w:t>
      </w:r>
    </w:p>
    <w:p w14:paraId="0759D0F4"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“The criminalization of borrowing under Section 6 undermines fair labelling by equating acts of temporary interference with theft, a more stigmatized offense.”</w:t>
      </w:r>
    </w:p>
    <w:p w14:paraId="1BB1C31C"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336588D6">
          <v:rect id="_x0000_i1034" alt="" style="width:451.3pt;height:.05pt;mso-width-percent:0;mso-height-percent:0;mso-width-percent:0;mso-height-percent:0" o:hralign="center" o:hrstd="t" o:hr="t" fillcolor="#a0a0a0" stroked="f"/>
        </w:pict>
      </w:r>
    </w:p>
    <w:p w14:paraId="0D96D1EE"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Systemic Issues</w:t>
      </w:r>
    </w:p>
    <w:p w14:paraId="6E00593F" w14:textId="77777777" w:rsidR="00CD7780" w:rsidRPr="00CD7780" w:rsidRDefault="00CD7780" w:rsidP="00613107">
      <w:pPr>
        <w:numPr>
          <w:ilvl w:val="0"/>
          <w:numId w:val="16"/>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lastRenderedPageBreak/>
        <w:t>Judicial Inconsistencies</w:t>
      </w:r>
      <w:r w:rsidRPr="00CD7780">
        <w:rPr>
          <w:rFonts w:ascii="Times New Roman" w:hAnsi="Times New Roman"/>
          <w:lang w:val="en-HK"/>
        </w:rPr>
        <w:t>:</w:t>
      </w:r>
    </w:p>
    <w:p w14:paraId="1E6CB22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Courts </w:t>
      </w:r>
      <w:r w:rsidRPr="00CD7780">
        <w:rPr>
          <w:rFonts w:ascii="Times New Roman" w:hAnsi="Times New Roman"/>
          <w:b/>
          <w:bCs/>
          <w:lang w:val="en-HK"/>
        </w:rPr>
        <w:t>have applied Section 6 inconsistently</w:t>
      </w:r>
      <w:r w:rsidRPr="00CD7780">
        <w:rPr>
          <w:rFonts w:ascii="Times New Roman" w:hAnsi="Times New Roman"/>
          <w:lang w:val="en-HK"/>
        </w:rPr>
        <w:t>, leading to unpredictable outcomes. For instance:</w:t>
      </w:r>
    </w:p>
    <w:p w14:paraId="4AFB9481"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In </w:t>
      </w:r>
      <w:r w:rsidRPr="00CD7780">
        <w:rPr>
          <w:rFonts w:ascii="Times New Roman" w:hAnsi="Times New Roman"/>
          <w:b/>
          <w:bCs/>
          <w:lang w:val="en-HK"/>
        </w:rPr>
        <w:t>DPP v Lavender [1994] Crim LR 297</w:t>
      </w:r>
      <w:r w:rsidRPr="00CD7780">
        <w:rPr>
          <w:rFonts w:ascii="Times New Roman" w:hAnsi="Times New Roman"/>
          <w:lang w:val="en-HK"/>
        </w:rPr>
        <w:t>, relocating council doors between properties was not deemed theft, as the doors retained their utility.</w:t>
      </w:r>
    </w:p>
    <w:p w14:paraId="307CE8E3"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Conversely, in </w:t>
      </w:r>
      <w:r w:rsidRPr="00CD7780">
        <w:rPr>
          <w:rFonts w:ascii="Times New Roman" w:hAnsi="Times New Roman"/>
          <w:b/>
          <w:bCs/>
          <w:lang w:val="en-HK"/>
        </w:rPr>
        <w:t>R v Fernandes [1996] 1 Cr App R 175</w:t>
      </w:r>
      <w:r w:rsidRPr="00CD7780">
        <w:rPr>
          <w:rFonts w:ascii="Times New Roman" w:hAnsi="Times New Roman"/>
          <w:lang w:val="en-HK"/>
        </w:rPr>
        <w:t>, unauthorized use of funds for personal investments was deemed theft under Section 6.</w:t>
      </w:r>
    </w:p>
    <w:p w14:paraId="42FF2601"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critiques this disparity, noting:</w:t>
      </w:r>
    </w:p>
    <w:p w14:paraId="5161D086"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“Judicial reliance on subjective assessments of equivalence has led to outcomes that lack coherence or predictability.”</w:t>
      </w:r>
    </w:p>
    <w:p w14:paraId="30898E8E" w14:textId="77777777" w:rsidR="00CD7780" w:rsidRPr="00CD7780" w:rsidRDefault="00CD7780" w:rsidP="00613107">
      <w:pPr>
        <w:numPr>
          <w:ilvl w:val="0"/>
          <w:numId w:val="16"/>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Strict Liability in Section 6(2)</w:t>
      </w:r>
      <w:r w:rsidRPr="00CD7780">
        <w:rPr>
          <w:rFonts w:ascii="Times New Roman" w:hAnsi="Times New Roman"/>
          <w:lang w:val="en-HK"/>
        </w:rPr>
        <w:t>:</w:t>
      </w:r>
    </w:p>
    <w:p w14:paraId="19049F31"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Section 6(2) imposes liability for pawning property without considering the defendant’s intent to redeem it. Steel explains:</w:t>
      </w:r>
    </w:p>
    <w:p w14:paraId="214898E7" w14:textId="740FB0F5"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“By disregarding the defendant’s subjective belief, Section 6(2) risks criminalizing actions that lack moral blameworthiness.”</w:t>
      </w:r>
    </w:p>
    <w:p w14:paraId="791EA796" w14:textId="77777777" w:rsidR="00CD7780" w:rsidRPr="00CD7780" w:rsidRDefault="00CD7780" w:rsidP="00613107">
      <w:pPr>
        <w:numPr>
          <w:ilvl w:val="0"/>
          <w:numId w:val="16"/>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Conflict with Civil Law</w:t>
      </w:r>
      <w:r w:rsidRPr="00CD7780">
        <w:rPr>
          <w:rFonts w:ascii="Times New Roman" w:hAnsi="Times New Roman"/>
          <w:lang w:val="en-HK"/>
        </w:rPr>
        <w:t>:</w:t>
      </w:r>
    </w:p>
    <w:p w14:paraId="61AF61F0" w14:textId="77777777" w:rsidR="00CD7780" w:rsidRPr="00613107"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Section 6 interacts uneasily with civil doctrines of ownership and possession, particularly under the </w:t>
      </w:r>
      <w:r w:rsidRPr="00CD7780">
        <w:rPr>
          <w:rFonts w:ascii="Times New Roman" w:hAnsi="Times New Roman"/>
          <w:b/>
          <w:bCs/>
          <w:lang w:val="en-HK"/>
        </w:rPr>
        <w:t>Sale of Goods Act 1979</w:t>
      </w:r>
      <w:r w:rsidRPr="00CD7780">
        <w:rPr>
          <w:rFonts w:ascii="Times New Roman" w:hAnsi="Times New Roman"/>
          <w:lang w:val="en-HK"/>
        </w:rPr>
        <w:t>. Steel highlights:</w:t>
      </w:r>
    </w:p>
    <w:p w14:paraId="0E71B031" w14:textId="1C0AB430"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imposition of criminal liability in cases like Dobson undermines the principle of bona fide purchase, disrupting the relationship between civil and criminal law.”</w:t>
      </w:r>
    </w:p>
    <w:p w14:paraId="3A80F429"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593F523B">
          <v:rect id="_x0000_i1033" alt="" style="width:451.3pt;height:.05pt;mso-width-percent:0;mso-height-percent:0;mso-width-percent:0;mso-height-percent:0" o:hralign="center" o:hrstd="t" o:hr="t" fillcolor="#a0a0a0" stroked="f"/>
        </w:pict>
      </w:r>
    </w:p>
    <w:p w14:paraId="002390C1" w14:textId="40343A93" w:rsidR="00CD7780" w:rsidRPr="00613107" w:rsidRDefault="00CD7780"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7</w:t>
      </w:r>
      <w:r w:rsidRPr="00CD7780">
        <w:rPr>
          <w:rFonts w:ascii="Times New Roman" w:hAnsi="Times New Roman"/>
          <w:b/>
          <w:bCs/>
          <w:lang w:val="en-HK"/>
        </w:rPr>
        <w:t>. Recommendations for Reform</w:t>
      </w:r>
    </w:p>
    <w:p w14:paraId="6A2F33BC" w14:textId="77777777" w:rsidR="005A1888" w:rsidRPr="005A1888" w:rsidRDefault="005A1888" w:rsidP="00613107">
      <w:pPr>
        <w:spacing w:before="100" w:beforeAutospacing="1" w:after="100" w:afterAutospacing="1" w:line="360" w:lineRule="auto"/>
        <w:outlineLvl w:val="3"/>
        <w:rPr>
          <w:rFonts w:ascii="Times New Roman" w:hAnsi="Times New Roman"/>
          <w:b/>
          <w:bCs/>
          <w:lang w:val="en-HK"/>
        </w:rPr>
      </w:pPr>
      <w:r w:rsidRPr="005A1888">
        <w:rPr>
          <w:rFonts w:ascii="Times New Roman" w:hAnsi="Times New Roman"/>
          <w:b/>
          <w:bCs/>
          <w:lang w:val="en-HK"/>
        </w:rPr>
        <w:t>Key Issues with Section 6</w:t>
      </w:r>
    </w:p>
    <w:p w14:paraId="2FE09EE5" w14:textId="77777777" w:rsidR="005A1888" w:rsidRPr="005A1888" w:rsidRDefault="005A1888" w:rsidP="00613107">
      <w:pPr>
        <w:spacing w:before="100" w:beforeAutospacing="1" w:after="100" w:afterAutospacing="1" w:line="360" w:lineRule="auto"/>
        <w:rPr>
          <w:rFonts w:ascii="Times New Roman" w:hAnsi="Times New Roman"/>
          <w:lang w:val="en-HK"/>
        </w:rPr>
      </w:pPr>
      <w:r w:rsidRPr="005A1888">
        <w:rPr>
          <w:rFonts w:ascii="Times New Roman" w:hAnsi="Times New Roman"/>
          <w:lang w:val="en-HK"/>
        </w:rPr>
        <w:lastRenderedPageBreak/>
        <w:t>Steel identifies several fundamental flaws in the drafting and interpretation of Section 6:</w:t>
      </w:r>
    </w:p>
    <w:p w14:paraId="573C8ABC" w14:textId="77777777" w:rsidR="005A1888" w:rsidRPr="005A1888" w:rsidRDefault="005A1888" w:rsidP="00613107">
      <w:pPr>
        <w:numPr>
          <w:ilvl w:val="0"/>
          <w:numId w:val="25"/>
        </w:numPr>
        <w:spacing w:before="100" w:beforeAutospacing="1" w:after="100" w:afterAutospacing="1" w:line="360" w:lineRule="auto"/>
        <w:rPr>
          <w:rFonts w:ascii="Times New Roman" w:hAnsi="Times New Roman"/>
          <w:lang w:val="en-HK"/>
        </w:rPr>
      </w:pPr>
      <w:r w:rsidRPr="005A1888">
        <w:rPr>
          <w:rFonts w:ascii="Times New Roman" w:hAnsi="Times New Roman"/>
          <w:b/>
          <w:bCs/>
          <w:lang w:val="en-HK"/>
        </w:rPr>
        <w:t>Ambiguity in Key Phrases</w:t>
      </w:r>
      <w:r w:rsidRPr="005A1888">
        <w:rPr>
          <w:rFonts w:ascii="Times New Roman" w:hAnsi="Times New Roman"/>
          <w:lang w:val="en-HK"/>
        </w:rPr>
        <w:t>:</w:t>
      </w:r>
    </w:p>
    <w:p w14:paraId="48A33C71" w14:textId="77777777" w:rsidR="005A1888" w:rsidRPr="005A1888" w:rsidRDefault="005A1888" w:rsidP="00613107">
      <w:pPr>
        <w:spacing w:before="100" w:beforeAutospacing="1" w:after="100" w:afterAutospacing="1" w:line="360" w:lineRule="auto"/>
        <w:rPr>
          <w:rFonts w:ascii="Times New Roman" w:hAnsi="Times New Roman"/>
          <w:lang w:val="en-HK"/>
        </w:rPr>
      </w:pPr>
      <w:r w:rsidRPr="005A1888">
        <w:rPr>
          <w:rFonts w:ascii="Times New Roman" w:hAnsi="Times New Roman"/>
          <w:lang w:val="en-HK"/>
        </w:rPr>
        <w:t>Terms like “to dispose of” and “equivalent to outright taking” lack statutory definitions, leading to judicial inconsistency.</w:t>
      </w:r>
    </w:p>
    <w:p w14:paraId="39529557" w14:textId="77777777" w:rsidR="005A1888" w:rsidRPr="005A1888" w:rsidRDefault="005A1888" w:rsidP="00613107">
      <w:pPr>
        <w:numPr>
          <w:ilvl w:val="0"/>
          <w:numId w:val="25"/>
        </w:numPr>
        <w:spacing w:before="100" w:beforeAutospacing="1" w:after="100" w:afterAutospacing="1" w:line="360" w:lineRule="auto"/>
        <w:rPr>
          <w:rFonts w:ascii="Times New Roman" w:hAnsi="Times New Roman"/>
          <w:lang w:val="en-HK"/>
        </w:rPr>
      </w:pPr>
      <w:r w:rsidRPr="005A1888">
        <w:rPr>
          <w:rFonts w:ascii="Times New Roman" w:hAnsi="Times New Roman"/>
          <w:b/>
          <w:bCs/>
          <w:lang w:val="en-HK"/>
        </w:rPr>
        <w:t>Over-Criminalization</w:t>
      </w:r>
      <w:r w:rsidRPr="005A1888">
        <w:rPr>
          <w:rFonts w:ascii="Times New Roman" w:hAnsi="Times New Roman"/>
          <w:lang w:val="en-HK"/>
        </w:rPr>
        <w:t>:</w:t>
      </w:r>
    </w:p>
    <w:p w14:paraId="3037FFBA" w14:textId="77777777" w:rsidR="005A1888" w:rsidRPr="005A1888" w:rsidRDefault="005A1888" w:rsidP="00613107">
      <w:pPr>
        <w:spacing w:before="100" w:beforeAutospacing="1" w:after="100" w:afterAutospacing="1" w:line="360" w:lineRule="auto"/>
        <w:rPr>
          <w:rFonts w:ascii="Times New Roman" w:hAnsi="Times New Roman"/>
          <w:lang w:val="en-HK"/>
        </w:rPr>
      </w:pPr>
      <w:r w:rsidRPr="005A1888">
        <w:rPr>
          <w:rFonts w:ascii="Times New Roman" w:hAnsi="Times New Roman"/>
          <w:lang w:val="en-HK"/>
        </w:rPr>
        <w:t>The broad language risks criminalizing trivial acts of borrowing or lending, particularly when interpreted expansively.</w:t>
      </w:r>
    </w:p>
    <w:p w14:paraId="6F5A433B" w14:textId="77777777" w:rsidR="005A1888" w:rsidRPr="005A1888" w:rsidRDefault="005A1888" w:rsidP="00613107">
      <w:pPr>
        <w:numPr>
          <w:ilvl w:val="0"/>
          <w:numId w:val="25"/>
        </w:numPr>
        <w:spacing w:before="100" w:beforeAutospacing="1" w:after="100" w:afterAutospacing="1" w:line="360" w:lineRule="auto"/>
        <w:rPr>
          <w:rFonts w:ascii="Times New Roman" w:hAnsi="Times New Roman"/>
          <w:lang w:val="en-HK"/>
        </w:rPr>
      </w:pPr>
      <w:r w:rsidRPr="005A1888">
        <w:rPr>
          <w:rFonts w:ascii="Times New Roman" w:hAnsi="Times New Roman"/>
          <w:b/>
          <w:bCs/>
          <w:lang w:val="en-HK"/>
        </w:rPr>
        <w:t>Strict Liability in Section 6(2)</w:t>
      </w:r>
      <w:r w:rsidRPr="005A1888">
        <w:rPr>
          <w:rFonts w:ascii="Times New Roman" w:hAnsi="Times New Roman"/>
          <w:lang w:val="en-HK"/>
        </w:rPr>
        <w:t>:</w:t>
      </w:r>
    </w:p>
    <w:p w14:paraId="74D22544" w14:textId="77777777" w:rsidR="005A1888" w:rsidRPr="005A1888" w:rsidRDefault="005A1888" w:rsidP="00613107">
      <w:pPr>
        <w:spacing w:before="100" w:beforeAutospacing="1" w:after="100" w:afterAutospacing="1" w:line="360" w:lineRule="auto"/>
        <w:rPr>
          <w:rFonts w:ascii="Times New Roman" w:hAnsi="Times New Roman"/>
          <w:lang w:val="en-HK"/>
        </w:rPr>
      </w:pPr>
      <w:r w:rsidRPr="005A1888">
        <w:rPr>
          <w:rFonts w:ascii="Times New Roman" w:hAnsi="Times New Roman"/>
          <w:lang w:val="en-HK"/>
        </w:rPr>
        <w:t>Section 6(2) imposes liability for pawning property without considering the defendant’s intent or ability to redeem it, leading to unfair outcomes.</w:t>
      </w:r>
    </w:p>
    <w:p w14:paraId="3D8495BE" w14:textId="2836B20B" w:rsidR="005A1888" w:rsidRPr="00CD7780" w:rsidRDefault="005A1888" w:rsidP="00613107">
      <w:pPr>
        <w:spacing w:before="100" w:beforeAutospacing="1" w:after="100" w:afterAutospacing="1" w:line="360" w:lineRule="auto"/>
        <w:outlineLvl w:val="2"/>
        <w:rPr>
          <w:rFonts w:ascii="Times New Roman" w:hAnsi="Times New Roman"/>
          <w:b/>
          <w:bCs/>
          <w:lang w:val="en-HK"/>
        </w:rPr>
      </w:pPr>
      <w:r w:rsidRPr="00CD7780">
        <w:rPr>
          <w:rFonts w:ascii="Times New Roman" w:hAnsi="Times New Roman"/>
          <w:b/>
          <w:bCs/>
          <w:lang w:val="en-HK"/>
        </w:rPr>
        <w:t>Recommendations for Reform</w:t>
      </w:r>
    </w:p>
    <w:p w14:paraId="6F74F701"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1. Redefining Borrowing and Lending</w:t>
      </w:r>
    </w:p>
    <w:p w14:paraId="7534D8B9"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argues that the ambiguity of "borrowing or lending… equivalent to outright taking" in Section 6(1) requires clarification.</w:t>
      </w:r>
    </w:p>
    <w:p w14:paraId="076B26EC"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Proposed Redefinition</w:t>
      </w:r>
      <w:r w:rsidRPr="00CD7780">
        <w:rPr>
          <w:rFonts w:ascii="Times New Roman" w:hAnsi="Times New Roman"/>
          <w:lang w:val="en-HK"/>
        </w:rPr>
        <w:t>:</w:t>
      </w:r>
    </w:p>
    <w:p w14:paraId="34C0ECFF"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Borrowing or lending should be explicitly linked to:</w:t>
      </w:r>
    </w:p>
    <w:p w14:paraId="6850D47E" w14:textId="77777777" w:rsidR="00CD7780" w:rsidRPr="00CD7780" w:rsidRDefault="00CD7780" w:rsidP="00613107">
      <w:pPr>
        <w:numPr>
          <w:ilvl w:val="2"/>
          <w:numId w:val="17"/>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Duration</w:t>
      </w:r>
      <w:r w:rsidRPr="00CD7780">
        <w:rPr>
          <w:rFonts w:ascii="Times New Roman" w:hAnsi="Times New Roman"/>
          <w:lang w:val="en-HK"/>
        </w:rPr>
        <w:t>: A period that significantly disrupts the owner’s rights.</w:t>
      </w:r>
    </w:p>
    <w:p w14:paraId="7FF4C827" w14:textId="77777777" w:rsidR="00CD7780" w:rsidRPr="00CD7780" w:rsidRDefault="00CD7780" w:rsidP="00613107">
      <w:pPr>
        <w:numPr>
          <w:ilvl w:val="2"/>
          <w:numId w:val="17"/>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Circumstances</w:t>
      </w:r>
      <w:r w:rsidRPr="00CD7780">
        <w:rPr>
          <w:rFonts w:ascii="Times New Roman" w:hAnsi="Times New Roman"/>
          <w:lang w:val="en-HK"/>
        </w:rPr>
        <w:t>: Actions indicating an intention to undermine the owner’s ability to recover or use the property.</w:t>
      </w:r>
    </w:p>
    <w:p w14:paraId="6CAF6CF6"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highlight w:val="yellow"/>
          <w:lang w:val="en-HK"/>
        </w:rPr>
        <w:t>Steel emphasizes:</w:t>
      </w:r>
    </w:p>
    <w:p w14:paraId="20F40FAE"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 xml:space="preserve">“Reform </w:t>
      </w:r>
      <w:r w:rsidRPr="00CD7780">
        <w:rPr>
          <w:rFonts w:ascii="Times New Roman" w:hAnsi="Times New Roman"/>
          <w:b/>
          <w:bCs/>
          <w:lang w:val="en-HK"/>
        </w:rPr>
        <w:t xml:space="preserve">must focus on the </w:t>
      </w:r>
      <w:r w:rsidRPr="00CD7780">
        <w:rPr>
          <w:rFonts w:ascii="Times New Roman" w:hAnsi="Times New Roman"/>
          <w:b/>
          <w:bCs/>
          <w:highlight w:val="yellow"/>
          <w:lang w:val="en-HK"/>
        </w:rPr>
        <w:t>harm caused to the owner’s rights</w:t>
      </w:r>
      <w:r w:rsidRPr="00CD7780">
        <w:rPr>
          <w:rFonts w:ascii="Times New Roman" w:hAnsi="Times New Roman"/>
          <w:lang w:val="en-HK"/>
        </w:rPr>
        <w:t>, rather than arbitrary notions of physical change or ‘goodness or virtue.’”</w:t>
      </w:r>
    </w:p>
    <w:p w14:paraId="4E0A58DB"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Example</w:t>
      </w:r>
      <w:r w:rsidRPr="00CD7780">
        <w:rPr>
          <w:rFonts w:ascii="Times New Roman" w:hAnsi="Times New Roman"/>
          <w:lang w:val="en-HK"/>
        </w:rPr>
        <w:t>:</w:t>
      </w:r>
    </w:p>
    <w:p w14:paraId="7DFFB0C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lastRenderedPageBreak/>
        <w:t>Borrowing an essential tool during a critical period (e.g., a farmer’s tractor during harvest) should constitute theft, even if the property is returned undamaged.</w:t>
      </w:r>
    </w:p>
    <w:p w14:paraId="552EDA94"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6D428F20">
          <v:rect id="_x0000_i1032" alt="" style="width:451.3pt;height:.05pt;mso-width-percent:0;mso-height-percent:0;mso-width-percent:0;mso-height-percent:0" o:hralign="center" o:hrstd="t" o:hr="t" fillcolor="#a0a0a0" stroked="f"/>
        </w:pict>
      </w:r>
    </w:p>
    <w:p w14:paraId="01843078"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2. Clarifying "To Dispose Of"</w:t>
      </w:r>
    </w:p>
    <w:p w14:paraId="474410C2"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The first limb of Section 6(1), which addresses cases where the defendant treats property "as their own to dispose of," should be redefined to include a broader range of acts.</w:t>
      </w:r>
    </w:p>
    <w:p w14:paraId="1943BFEA"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Current Challenges</w:t>
      </w:r>
      <w:r w:rsidRPr="00CD7780">
        <w:rPr>
          <w:rFonts w:ascii="Times New Roman" w:hAnsi="Times New Roman"/>
          <w:lang w:val="en-HK"/>
        </w:rPr>
        <w:t>:</w:t>
      </w:r>
    </w:p>
    <w:p w14:paraId="5726465A"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Judicial interpretations, such as in </w:t>
      </w:r>
      <w:r w:rsidRPr="00CD7780">
        <w:rPr>
          <w:rFonts w:ascii="Times New Roman" w:hAnsi="Times New Roman"/>
          <w:b/>
          <w:bCs/>
          <w:lang w:val="en-HK"/>
        </w:rPr>
        <w:t>R v Cahill [1993] Crim LR 141</w:t>
      </w:r>
      <w:r w:rsidRPr="00CD7780">
        <w:rPr>
          <w:rFonts w:ascii="Times New Roman" w:hAnsi="Times New Roman"/>
          <w:lang w:val="en-HK"/>
        </w:rPr>
        <w:t>, narrowly define "disposing" as "getting rid of" property through sale, destruction, or abandonment.</w:t>
      </w:r>
    </w:p>
    <w:p w14:paraId="7265DC6F"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critiques this restrictive approach:</w:t>
      </w:r>
    </w:p>
    <w:p w14:paraId="48C68430"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“The Cahill interpretation excludes significant interferences with ownership that fall short of outright disposal.”</w:t>
      </w:r>
    </w:p>
    <w:p w14:paraId="02C9F4A4"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Proposed Expansion</w:t>
      </w:r>
      <w:r w:rsidRPr="00CD7780">
        <w:rPr>
          <w:rFonts w:ascii="Times New Roman" w:hAnsi="Times New Roman"/>
          <w:lang w:val="en-HK"/>
        </w:rPr>
        <w:t>:</w:t>
      </w:r>
    </w:p>
    <w:p w14:paraId="18BAEAD5"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"To dispose of" should encompass any act that significantly undermines the owner’s control or rights, including:</w:t>
      </w:r>
    </w:p>
    <w:p w14:paraId="55CFAA26" w14:textId="77777777" w:rsidR="00CD7780" w:rsidRPr="00CD7780" w:rsidRDefault="00CD7780" w:rsidP="00613107">
      <w:pPr>
        <w:numPr>
          <w:ilvl w:val="2"/>
          <w:numId w:val="18"/>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Using property </w:t>
      </w:r>
      <w:r w:rsidRPr="00CD7780">
        <w:rPr>
          <w:rFonts w:ascii="Times New Roman" w:hAnsi="Times New Roman"/>
          <w:b/>
          <w:bCs/>
          <w:lang w:val="en-HK"/>
        </w:rPr>
        <w:t>as collateral without consent.</w:t>
      </w:r>
    </w:p>
    <w:p w14:paraId="1ABF4A33" w14:textId="77777777" w:rsidR="00CD7780" w:rsidRPr="00CD7780" w:rsidRDefault="00CD7780" w:rsidP="00613107">
      <w:pPr>
        <w:numPr>
          <w:ilvl w:val="2"/>
          <w:numId w:val="18"/>
        </w:num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Preventing recovery of the property for a prolonged period</w:t>
      </w:r>
      <w:r w:rsidRPr="00CD7780">
        <w:rPr>
          <w:rFonts w:ascii="Times New Roman" w:hAnsi="Times New Roman"/>
          <w:lang w:val="en-HK"/>
        </w:rPr>
        <w:t>.</w:t>
      </w:r>
    </w:p>
    <w:p w14:paraId="378E4A90"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2D79BBD5">
          <v:rect id="_x0000_i1031" alt="" style="width:451.3pt;height:.05pt;mso-width-percent:0;mso-height-percent:0;mso-width-percent:0;mso-height-percent:0" o:hralign="center" o:hrstd="t" o:hr="t" fillcolor="#a0a0a0" stroked="f"/>
        </w:pict>
      </w:r>
    </w:p>
    <w:p w14:paraId="68CF4D74"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3. Refining Section 6(2)</w:t>
      </w:r>
    </w:p>
    <w:p w14:paraId="73DB3E7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calls for reforms to mitigate the strict liability effect of Section 6(2), which criminalizes pawning without regard to the defendant’s subjective intent.</w:t>
      </w:r>
    </w:p>
    <w:p w14:paraId="3CF9626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Proposed Changes</w:t>
      </w:r>
      <w:r w:rsidRPr="00CD7780">
        <w:rPr>
          <w:rFonts w:ascii="Times New Roman" w:hAnsi="Times New Roman"/>
          <w:lang w:val="en-HK"/>
        </w:rPr>
        <w:t>:</w:t>
      </w:r>
    </w:p>
    <w:p w14:paraId="4641FD23" w14:textId="77777777" w:rsidR="00CD7780" w:rsidRPr="00CD7780" w:rsidRDefault="00CD7780" w:rsidP="00613107">
      <w:pPr>
        <w:numPr>
          <w:ilvl w:val="1"/>
          <w:numId w:val="19"/>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lastRenderedPageBreak/>
        <w:t>Introduce a requirement for subjective intent, ensuring liability is limited to cases where the defendant knowingly or recklessly risks the owner’s rights.</w:t>
      </w:r>
    </w:p>
    <w:p w14:paraId="6C99061F" w14:textId="77777777" w:rsidR="00CD7780" w:rsidRPr="00CD7780" w:rsidRDefault="00CD7780" w:rsidP="00613107">
      <w:pPr>
        <w:numPr>
          <w:ilvl w:val="1"/>
          <w:numId w:val="19"/>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Provide statutory guidance on the meaning of "conditions as to return," addressing scenarios where redemption is uncertain but not impossible.</w:t>
      </w:r>
    </w:p>
    <w:p w14:paraId="458CCE5E"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argues:</w:t>
      </w:r>
    </w:p>
    <w:p w14:paraId="45D5D6C5" w14:textId="77777777" w:rsidR="00CD7780" w:rsidRPr="00CD7780"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“Section 6(2) should focus on culpable misuse of property, avoiding the criminalization of unforeseen or unintentional failures to redeem.”</w:t>
      </w:r>
    </w:p>
    <w:p w14:paraId="379D2F9D"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3227A1F0">
          <v:rect id="_x0000_i1030" alt="" style="width:451.3pt;height:.05pt;mso-width-percent:0;mso-height-percent:0;mso-width-percent:0;mso-height-percent:0" o:hralign="center" o:hrstd="t" o:hr="t" fillcolor="#a0a0a0" stroked="f"/>
        </w:pict>
      </w:r>
    </w:p>
    <w:p w14:paraId="24387107"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4. Enhancing Fair Labelling</w:t>
      </w:r>
    </w:p>
    <w:p w14:paraId="2454EEF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 xml:space="preserve">Steel advocates for restoring the principle of fair labelling by </w:t>
      </w:r>
      <w:r w:rsidRPr="00CD7780">
        <w:rPr>
          <w:rFonts w:ascii="Times New Roman" w:hAnsi="Times New Roman"/>
          <w:b/>
          <w:bCs/>
          <w:lang w:val="en-HK"/>
        </w:rPr>
        <w:t>distinguishing theft from temporary interference or misuse of property</w:t>
      </w:r>
      <w:r w:rsidRPr="00CD7780">
        <w:rPr>
          <w:rFonts w:ascii="Times New Roman" w:hAnsi="Times New Roman"/>
          <w:lang w:val="en-HK"/>
        </w:rPr>
        <w:t>.</w:t>
      </w:r>
    </w:p>
    <w:p w14:paraId="69602FE7"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Proposals</w:t>
      </w:r>
      <w:r w:rsidRPr="00CD7780">
        <w:rPr>
          <w:rFonts w:ascii="Times New Roman" w:hAnsi="Times New Roman"/>
          <w:lang w:val="en-HK"/>
        </w:rPr>
        <w:t>:</w:t>
      </w:r>
    </w:p>
    <w:p w14:paraId="2A1A9746" w14:textId="6CA59184" w:rsidR="00CD7780" w:rsidRPr="00613107" w:rsidRDefault="00CD7780"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 xml:space="preserve">1. </w:t>
      </w:r>
      <w:r w:rsidRPr="00CD7780">
        <w:rPr>
          <w:rFonts w:ascii="Times New Roman" w:hAnsi="Times New Roman"/>
          <w:lang w:val="en-HK"/>
        </w:rPr>
        <w:t xml:space="preserve">Introduce </w:t>
      </w:r>
      <w:r w:rsidRPr="00CD7780">
        <w:rPr>
          <w:rFonts w:ascii="Times New Roman" w:hAnsi="Times New Roman"/>
          <w:b/>
          <w:bCs/>
          <w:lang w:val="en-HK"/>
        </w:rPr>
        <w:t>intermediate offenses</w:t>
      </w:r>
      <w:r w:rsidRPr="00CD7780">
        <w:rPr>
          <w:rFonts w:ascii="Times New Roman" w:hAnsi="Times New Roman"/>
          <w:lang w:val="en-HK"/>
        </w:rPr>
        <w:t xml:space="preserve"> for borrowing or lending that </w:t>
      </w:r>
      <w:r w:rsidRPr="00CD7780">
        <w:rPr>
          <w:rFonts w:ascii="Times New Roman" w:hAnsi="Times New Roman"/>
          <w:b/>
          <w:bCs/>
          <w:lang w:val="en-HK"/>
        </w:rPr>
        <w:t>disrupt the owner’s rights</w:t>
      </w:r>
      <w:r w:rsidRPr="00CD7780">
        <w:rPr>
          <w:rFonts w:ascii="Times New Roman" w:hAnsi="Times New Roman"/>
          <w:lang w:val="en-HK"/>
        </w:rPr>
        <w:t xml:space="preserve"> but </w:t>
      </w:r>
      <w:r w:rsidRPr="00CD7780">
        <w:rPr>
          <w:rFonts w:ascii="Times New Roman" w:hAnsi="Times New Roman"/>
          <w:b/>
          <w:bCs/>
          <w:lang w:val="en-HK"/>
        </w:rPr>
        <w:t>do not amount to outright taking</w:t>
      </w:r>
      <w:r w:rsidRPr="00CD7780">
        <w:rPr>
          <w:rFonts w:ascii="Times New Roman" w:hAnsi="Times New Roman"/>
          <w:lang w:val="en-HK"/>
        </w:rPr>
        <w:t>.</w:t>
      </w:r>
    </w:p>
    <w:p w14:paraId="5839E7D5" w14:textId="77777777" w:rsidR="00043EDE" w:rsidRPr="00043EDE" w:rsidRDefault="00043EDE" w:rsidP="00613107">
      <w:pPr>
        <w:spacing w:before="100" w:beforeAutospacing="1" w:after="100" w:afterAutospacing="1" w:line="360" w:lineRule="auto"/>
        <w:rPr>
          <w:rFonts w:ascii="Times New Roman" w:hAnsi="Times New Roman"/>
          <w:lang w:val="en-HK"/>
        </w:rPr>
      </w:pPr>
      <w:r w:rsidRPr="00043EDE">
        <w:rPr>
          <w:rFonts w:ascii="Times New Roman" w:hAnsi="Times New Roman"/>
          <w:lang w:val="en-HK"/>
        </w:rPr>
        <w:t xml:space="preserve">Steel suggests creating </w:t>
      </w:r>
      <w:r w:rsidRPr="00043EDE">
        <w:rPr>
          <w:rFonts w:ascii="Times New Roman" w:hAnsi="Times New Roman"/>
          <w:b/>
          <w:bCs/>
          <w:lang w:val="en-HK"/>
        </w:rPr>
        <w:t>intermediate offenses</w:t>
      </w:r>
      <w:r w:rsidRPr="00043EDE">
        <w:rPr>
          <w:rFonts w:ascii="Times New Roman" w:hAnsi="Times New Roman"/>
          <w:lang w:val="en-HK"/>
        </w:rPr>
        <w:t xml:space="preserve"> to address situations where borrowing or lending property disrupts the owner’s rights but does not meet the threshold of outright taking or disposal under </w:t>
      </w:r>
      <w:r w:rsidRPr="00043EDE">
        <w:rPr>
          <w:rFonts w:ascii="Times New Roman" w:hAnsi="Times New Roman"/>
          <w:b/>
          <w:bCs/>
          <w:lang w:val="en-HK"/>
        </w:rPr>
        <w:t>Section 6 of the Theft Act 1968</w:t>
      </w:r>
      <w:r w:rsidRPr="00043EDE">
        <w:rPr>
          <w:rFonts w:ascii="Times New Roman" w:hAnsi="Times New Roman"/>
          <w:lang w:val="en-HK"/>
        </w:rPr>
        <w:t>.</w:t>
      </w:r>
    </w:p>
    <w:p w14:paraId="407FBF0E" w14:textId="77777777" w:rsidR="00043EDE" w:rsidRPr="00043EDE" w:rsidRDefault="00043EDE" w:rsidP="00613107">
      <w:pPr>
        <w:spacing w:before="100" w:beforeAutospacing="1" w:after="100" w:afterAutospacing="1" w:line="360" w:lineRule="auto"/>
        <w:outlineLvl w:val="3"/>
        <w:rPr>
          <w:rFonts w:ascii="Times New Roman" w:hAnsi="Times New Roman"/>
          <w:b/>
          <w:bCs/>
          <w:lang w:val="en-HK"/>
        </w:rPr>
      </w:pPr>
      <w:r w:rsidRPr="00043EDE">
        <w:rPr>
          <w:rFonts w:ascii="Times New Roman" w:hAnsi="Times New Roman"/>
          <w:b/>
          <w:bCs/>
          <w:lang w:val="en-HK"/>
        </w:rPr>
        <w:t>Purpose of Intermediate Offenses</w:t>
      </w:r>
    </w:p>
    <w:p w14:paraId="7FD14C68" w14:textId="77777777" w:rsidR="00043EDE" w:rsidRPr="00043EDE" w:rsidRDefault="00043EDE" w:rsidP="00613107">
      <w:pPr>
        <w:numPr>
          <w:ilvl w:val="0"/>
          <w:numId w:val="26"/>
        </w:numPr>
        <w:spacing w:before="100" w:beforeAutospacing="1" w:after="100" w:afterAutospacing="1" w:line="360" w:lineRule="auto"/>
        <w:rPr>
          <w:rFonts w:ascii="Times New Roman" w:hAnsi="Times New Roman"/>
          <w:lang w:val="en-HK"/>
        </w:rPr>
      </w:pPr>
      <w:r w:rsidRPr="00043EDE">
        <w:rPr>
          <w:rFonts w:ascii="Times New Roman" w:hAnsi="Times New Roman"/>
          <w:lang w:val="en-HK"/>
        </w:rPr>
        <w:t>Recognize the difference between temporary interference and outright theft.</w:t>
      </w:r>
    </w:p>
    <w:p w14:paraId="458574EB" w14:textId="15862592" w:rsidR="00043EDE" w:rsidRPr="00043EDE" w:rsidRDefault="00043EDE" w:rsidP="00613107">
      <w:pPr>
        <w:numPr>
          <w:ilvl w:val="0"/>
          <w:numId w:val="26"/>
        </w:numPr>
        <w:spacing w:before="100" w:beforeAutospacing="1" w:after="100" w:afterAutospacing="1" w:line="360" w:lineRule="auto"/>
        <w:rPr>
          <w:rFonts w:ascii="Times New Roman" w:hAnsi="Times New Roman"/>
          <w:lang w:val="en-HK"/>
        </w:rPr>
      </w:pPr>
      <w:r w:rsidRPr="00043EDE">
        <w:rPr>
          <w:rFonts w:ascii="Times New Roman" w:hAnsi="Times New Roman"/>
          <w:lang w:val="en-HK"/>
        </w:rPr>
        <w:t xml:space="preserve">Ensure proportionality in </w:t>
      </w:r>
      <w:proofErr w:type="spellStart"/>
      <w:r w:rsidRPr="00043EDE">
        <w:rPr>
          <w:rFonts w:ascii="Times New Roman" w:hAnsi="Times New Roman"/>
          <w:lang w:val="en-HK"/>
        </w:rPr>
        <w:t>labeling</w:t>
      </w:r>
      <w:proofErr w:type="spellEnd"/>
      <w:r w:rsidRPr="00043EDE">
        <w:rPr>
          <w:rFonts w:ascii="Times New Roman" w:hAnsi="Times New Roman"/>
          <w:lang w:val="en-HK"/>
        </w:rPr>
        <w:t xml:space="preserve"> and punishment by distinguishing minor disruptions from serious property offenses.</w:t>
      </w:r>
    </w:p>
    <w:p w14:paraId="2BE3275A" w14:textId="77777777" w:rsidR="00043EDE" w:rsidRPr="00043EDE" w:rsidRDefault="00043EDE" w:rsidP="00613107">
      <w:pPr>
        <w:spacing w:before="100" w:beforeAutospacing="1" w:after="100" w:afterAutospacing="1" w:line="360" w:lineRule="auto"/>
        <w:outlineLvl w:val="3"/>
        <w:rPr>
          <w:rFonts w:ascii="Times New Roman" w:hAnsi="Times New Roman"/>
          <w:b/>
          <w:bCs/>
          <w:lang w:val="en-HK"/>
        </w:rPr>
      </w:pPr>
      <w:r w:rsidRPr="00043EDE">
        <w:rPr>
          <w:rFonts w:ascii="Times New Roman" w:hAnsi="Times New Roman"/>
          <w:b/>
          <w:bCs/>
          <w:lang w:val="en-HK"/>
        </w:rPr>
        <w:t>Examples of Intermediate Offenses</w:t>
      </w:r>
    </w:p>
    <w:p w14:paraId="44696237" w14:textId="77777777" w:rsidR="00043EDE" w:rsidRPr="00043EDE" w:rsidRDefault="00043EDE" w:rsidP="00613107">
      <w:pPr>
        <w:numPr>
          <w:ilvl w:val="0"/>
          <w:numId w:val="27"/>
        </w:numPr>
        <w:spacing w:before="100" w:beforeAutospacing="1" w:after="100" w:afterAutospacing="1" w:line="360" w:lineRule="auto"/>
        <w:rPr>
          <w:rFonts w:ascii="Times New Roman" w:hAnsi="Times New Roman"/>
          <w:lang w:val="en-HK"/>
        </w:rPr>
      </w:pPr>
      <w:r w:rsidRPr="00043EDE">
        <w:rPr>
          <w:rFonts w:ascii="Times New Roman" w:hAnsi="Times New Roman"/>
          <w:b/>
          <w:bCs/>
          <w:lang w:val="en-HK"/>
        </w:rPr>
        <w:t>Prolonged Borrowing</w:t>
      </w:r>
      <w:r w:rsidRPr="00043EDE">
        <w:rPr>
          <w:rFonts w:ascii="Times New Roman" w:hAnsi="Times New Roman"/>
          <w:lang w:val="en-HK"/>
        </w:rPr>
        <w:t>:</w:t>
      </w:r>
    </w:p>
    <w:p w14:paraId="19E9AC81" w14:textId="77777777" w:rsidR="00043EDE" w:rsidRPr="00043EDE" w:rsidRDefault="00043EDE" w:rsidP="00613107">
      <w:pPr>
        <w:spacing w:before="100" w:beforeAutospacing="1" w:after="100" w:afterAutospacing="1" w:line="360" w:lineRule="auto"/>
        <w:rPr>
          <w:rFonts w:ascii="Times New Roman" w:hAnsi="Times New Roman"/>
          <w:lang w:val="en-HK"/>
        </w:rPr>
      </w:pPr>
      <w:r w:rsidRPr="00043EDE">
        <w:rPr>
          <w:rFonts w:ascii="Times New Roman" w:hAnsi="Times New Roman"/>
          <w:lang w:val="en-HK"/>
        </w:rPr>
        <w:t xml:space="preserve">Borrowing property for an </w:t>
      </w:r>
      <w:r w:rsidRPr="00043EDE">
        <w:rPr>
          <w:rFonts w:ascii="Times New Roman" w:hAnsi="Times New Roman"/>
          <w:b/>
          <w:bCs/>
          <w:lang w:val="en-HK"/>
        </w:rPr>
        <w:t>extended period without the owner's consent</w:t>
      </w:r>
      <w:r w:rsidRPr="00043EDE">
        <w:rPr>
          <w:rFonts w:ascii="Times New Roman" w:hAnsi="Times New Roman"/>
          <w:lang w:val="en-HK"/>
        </w:rPr>
        <w:t xml:space="preserve"> (e.g., keeping a tool during a critical project).</w:t>
      </w:r>
    </w:p>
    <w:p w14:paraId="348B8025" w14:textId="77777777" w:rsidR="00043EDE" w:rsidRPr="00043EDE" w:rsidRDefault="00043EDE" w:rsidP="00613107">
      <w:pPr>
        <w:spacing w:before="100" w:beforeAutospacing="1" w:after="100" w:afterAutospacing="1" w:line="360" w:lineRule="auto"/>
        <w:rPr>
          <w:rFonts w:ascii="Times New Roman" w:hAnsi="Times New Roman"/>
          <w:b/>
          <w:bCs/>
          <w:lang w:val="en-HK"/>
        </w:rPr>
      </w:pPr>
      <w:r w:rsidRPr="00043EDE">
        <w:rPr>
          <w:rFonts w:ascii="Times New Roman" w:hAnsi="Times New Roman"/>
          <w:b/>
          <w:bCs/>
          <w:lang w:val="en-HK"/>
        </w:rPr>
        <w:lastRenderedPageBreak/>
        <w:t>Proposed Offense</w:t>
      </w:r>
      <w:r w:rsidRPr="00043EDE">
        <w:rPr>
          <w:rFonts w:ascii="Times New Roman" w:hAnsi="Times New Roman"/>
          <w:lang w:val="en-HK"/>
        </w:rPr>
        <w:t xml:space="preserve">: </w:t>
      </w:r>
      <w:r w:rsidRPr="00043EDE">
        <w:rPr>
          <w:rFonts w:ascii="Times New Roman" w:hAnsi="Times New Roman"/>
          <w:b/>
          <w:bCs/>
          <w:lang w:val="en-HK"/>
        </w:rPr>
        <w:t>"Unlawful interference with property."</w:t>
      </w:r>
    </w:p>
    <w:p w14:paraId="66BFD684" w14:textId="77777777" w:rsidR="00043EDE" w:rsidRPr="00043EDE" w:rsidRDefault="00043EDE" w:rsidP="00613107">
      <w:pPr>
        <w:numPr>
          <w:ilvl w:val="0"/>
          <w:numId w:val="27"/>
        </w:numPr>
        <w:spacing w:before="100" w:beforeAutospacing="1" w:after="100" w:afterAutospacing="1" w:line="360" w:lineRule="auto"/>
        <w:rPr>
          <w:rFonts w:ascii="Times New Roman" w:hAnsi="Times New Roman"/>
          <w:lang w:val="en-HK"/>
        </w:rPr>
      </w:pPr>
      <w:r w:rsidRPr="00043EDE">
        <w:rPr>
          <w:rFonts w:ascii="Times New Roman" w:hAnsi="Times New Roman"/>
          <w:b/>
          <w:bCs/>
          <w:lang w:val="en-HK"/>
        </w:rPr>
        <w:t>Disruptive Lending</w:t>
      </w:r>
      <w:r w:rsidRPr="00043EDE">
        <w:rPr>
          <w:rFonts w:ascii="Times New Roman" w:hAnsi="Times New Roman"/>
          <w:lang w:val="en-HK"/>
        </w:rPr>
        <w:t>:</w:t>
      </w:r>
    </w:p>
    <w:p w14:paraId="6895864E" w14:textId="77777777" w:rsidR="00043EDE" w:rsidRPr="00043EDE" w:rsidRDefault="00043EDE" w:rsidP="00613107">
      <w:pPr>
        <w:spacing w:before="100" w:beforeAutospacing="1" w:after="100" w:afterAutospacing="1" w:line="360" w:lineRule="auto"/>
        <w:rPr>
          <w:rFonts w:ascii="Times New Roman" w:hAnsi="Times New Roman"/>
          <w:lang w:val="en-HK"/>
        </w:rPr>
      </w:pPr>
      <w:r w:rsidRPr="00043EDE">
        <w:rPr>
          <w:rFonts w:ascii="Times New Roman" w:hAnsi="Times New Roman"/>
          <w:lang w:val="en-HK"/>
        </w:rPr>
        <w:t xml:space="preserve">Lending property to a </w:t>
      </w:r>
      <w:r w:rsidRPr="00043EDE">
        <w:rPr>
          <w:rFonts w:ascii="Times New Roman" w:hAnsi="Times New Roman"/>
          <w:b/>
          <w:bCs/>
          <w:lang w:val="en-HK"/>
        </w:rPr>
        <w:t>third party without the owner's knowledge</w:t>
      </w:r>
      <w:r w:rsidRPr="00043EDE">
        <w:rPr>
          <w:rFonts w:ascii="Times New Roman" w:hAnsi="Times New Roman"/>
          <w:lang w:val="en-HK"/>
        </w:rPr>
        <w:t>, causing significant inconvenience or harm (e.g., lending a car without permission).</w:t>
      </w:r>
    </w:p>
    <w:p w14:paraId="13AB3E10" w14:textId="0335A12C" w:rsidR="00043EDE" w:rsidRPr="00043EDE" w:rsidRDefault="00043EDE" w:rsidP="00613107">
      <w:pPr>
        <w:spacing w:before="100" w:beforeAutospacing="1" w:after="100" w:afterAutospacing="1" w:line="360" w:lineRule="auto"/>
        <w:rPr>
          <w:rFonts w:ascii="Times New Roman" w:hAnsi="Times New Roman"/>
          <w:lang w:val="en-HK"/>
        </w:rPr>
      </w:pPr>
      <w:r w:rsidRPr="00043EDE">
        <w:rPr>
          <w:rFonts w:ascii="Times New Roman" w:hAnsi="Times New Roman"/>
          <w:b/>
          <w:bCs/>
          <w:lang w:val="en-HK"/>
        </w:rPr>
        <w:t>Proposed Offense</w:t>
      </w:r>
      <w:r w:rsidRPr="00043EDE">
        <w:rPr>
          <w:rFonts w:ascii="Times New Roman" w:hAnsi="Times New Roman"/>
          <w:lang w:val="en-HK"/>
        </w:rPr>
        <w:t>: "Unauthorized lending of property."</w:t>
      </w:r>
    </w:p>
    <w:p w14:paraId="2B78BACA" w14:textId="77777777" w:rsidR="00043EDE" w:rsidRPr="00043EDE" w:rsidRDefault="00043EDE" w:rsidP="00613107">
      <w:pPr>
        <w:spacing w:before="100" w:beforeAutospacing="1" w:after="100" w:afterAutospacing="1" w:line="360" w:lineRule="auto"/>
        <w:outlineLvl w:val="3"/>
        <w:rPr>
          <w:rFonts w:ascii="Times New Roman" w:hAnsi="Times New Roman"/>
          <w:b/>
          <w:bCs/>
          <w:lang w:val="en-HK"/>
        </w:rPr>
      </w:pPr>
      <w:r w:rsidRPr="00043EDE">
        <w:rPr>
          <w:rFonts w:ascii="Times New Roman" w:hAnsi="Times New Roman"/>
          <w:b/>
          <w:bCs/>
          <w:lang w:val="en-HK"/>
        </w:rPr>
        <w:t>Criteria for Intermediate Offenses</w:t>
      </w:r>
    </w:p>
    <w:p w14:paraId="51A29C17" w14:textId="77777777" w:rsidR="00043EDE" w:rsidRPr="00043EDE" w:rsidRDefault="00043EDE" w:rsidP="00613107">
      <w:pPr>
        <w:spacing w:before="100" w:beforeAutospacing="1" w:after="100" w:afterAutospacing="1" w:line="360" w:lineRule="auto"/>
        <w:rPr>
          <w:rFonts w:ascii="Times New Roman" w:hAnsi="Times New Roman"/>
          <w:lang w:val="en-HK"/>
        </w:rPr>
      </w:pPr>
      <w:r w:rsidRPr="00043EDE">
        <w:rPr>
          <w:rFonts w:ascii="Times New Roman" w:hAnsi="Times New Roman"/>
          <w:lang w:val="en-HK"/>
        </w:rPr>
        <w:t>Steel suggests evaluating borrowing or lending based on:</w:t>
      </w:r>
    </w:p>
    <w:p w14:paraId="664B0DD9" w14:textId="77777777" w:rsidR="00043EDE" w:rsidRPr="00043EDE" w:rsidRDefault="00043EDE" w:rsidP="00613107">
      <w:pPr>
        <w:numPr>
          <w:ilvl w:val="0"/>
          <w:numId w:val="28"/>
        </w:numPr>
        <w:spacing w:before="100" w:beforeAutospacing="1" w:after="100" w:afterAutospacing="1" w:line="360" w:lineRule="auto"/>
        <w:rPr>
          <w:rFonts w:ascii="Times New Roman" w:hAnsi="Times New Roman"/>
          <w:lang w:val="en-HK"/>
        </w:rPr>
      </w:pPr>
      <w:r w:rsidRPr="00043EDE">
        <w:rPr>
          <w:rFonts w:ascii="Times New Roman" w:hAnsi="Times New Roman"/>
          <w:b/>
          <w:bCs/>
          <w:lang w:val="en-HK"/>
        </w:rPr>
        <w:t>Duration</w:t>
      </w:r>
      <w:r w:rsidRPr="00043EDE">
        <w:rPr>
          <w:rFonts w:ascii="Times New Roman" w:hAnsi="Times New Roman"/>
          <w:lang w:val="en-HK"/>
        </w:rPr>
        <w:t>: Whether the interference significantly delays the owner’s ability to use the property.</w:t>
      </w:r>
    </w:p>
    <w:p w14:paraId="685F2275" w14:textId="77777777" w:rsidR="00043EDE" w:rsidRPr="00043EDE" w:rsidRDefault="00043EDE" w:rsidP="00613107">
      <w:pPr>
        <w:numPr>
          <w:ilvl w:val="0"/>
          <w:numId w:val="28"/>
        </w:numPr>
        <w:spacing w:before="100" w:beforeAutospacing="1" w:after="100" w:afterAutospacing="1" w:line="360" w:lineRule="auto"/>
        <w:rPr>
          <w:rFonts w:ascii="Times New Roman" w:hAnsi="Times New Roman"/>
          <w:lang w:val="en-HK"/>
        </w:rPr>
      </w:pPr>
      <w:r w:rsidRPr="00043EDE">
        <w:rPr>
          <w:rFonts w:ascii="Times New Roman" w:hAnsi="Times New Roman"/>
          <w:b/>
          <w:bCs/>
          <w:lang w:val="en-HK"/>
        </w:rPr>
        <w:t>Harm to Rights</w:t>
      </w:r>
      <w:r w:rsidRPr="00043EDE">
        <w:rPr>
          <w:rFonts w:ascii="Times New Roman" w:hAnsi="Times New Roman"/>
          <w:lang w:val="en-HK"/>
        </w:rPr>
        <w:t>: Whether the act disrupts the owner’s enjoyment or intended use of the property.</w:t>
      </w:r>
    </w:p>
    <w:p w14:paraId="09E7AF2E" w14:textId="7F31A913" w:rsidR="00043EDE" w:rsidRPr="00043EDE" w:rsidRDefault="00043EDE" w:rsidP="00613107">
      <w:pPr>
        <w:numPr>
          <w:ilvl w:val="0"/>
          <w:numId w:val="28"/>
        </w:numPr>
        <w:spacing w:before="100" w:beforeAutospacing="1" w:after="100" w:afterAutospacing="1" w:line="360" w:lineRule="auto"/>
        <w:rPr>
          <w:rFonts w:ascii="Times New Roman" w:hAnsi="Times New Roman"/>
          <w:lang w:val="en-HK"/>
        </w:rPr>
      </w:pPr>
      <w:r w:rsidRPr="00043EDE">
        <w:rPr>
          <w:rFonts w:ascii="Times New Roman" w:hAnsi="Times New Roman"/>
          <w:b/>
          <w:bCs/>
          <w:lang w:val="en-HK"/>
        </w:rPr>
        <w:t>Owner’s Recovery</w:t>
      </w:r>
      <w:r w:rsidRPr="00043EDE">
        <w:rPr>
          <w:rFonts w:ascii="Times New Roman" w:hAnsi="Times New Roman"/>
          <w:lang w:val="en-HK"/>
        </w:rPr>
        <w:t>: Whether the property was returned in its original state and without undue delay.</w:t>
      </w:r>
    </w:p>
    <w:p w14:paraId="18382F29" w14:textId="77777777" w:rsidR="00043EDE" w:rsidRPr="00043EDE" w:rsidRDefault="00043EDE" w:rsidP="00613107">
      <w:pPr>
        <w:spacing w:before="100" w:beforeAutospacing="1" w:after="100" w:afterAutospacing="1" w:line="360" w:lineRule="auto"/>
        <w:outlineLvl w:val="3"/>
        <w:rPr>
          <w:rFonts w:ascii="Times New Roman" w:hAnsi="Times New Roman"/>
          <w:b/>
          <w:bCs/>
          <w:lang w:val="en-HK"/>
        </w:rPr>
      </w:pPr>
      <w:r w:rsidRPr="00043EDE">
        <w:rPr>
          <w:rFonts w:ascii="Times New Roman" w:hAnsi="Times New Roman"/>
          <w:b/>
          <w:bCs/>
          <w:lang w:val="en-HK"/>
        </w:rPr>
        <w:t>Advantages of Intermediate Offenses</w:t>
      </w:r>
    </w:p>
    <w:p w14:paraId="3E75FB41" w14:textId="77777777" w:rsidR="00043EDE" w:rsidRPr="00043EDE" w:rsidRDefault="00043EDE" w:rsidP="00613107">
      <w:pPr>
        <w:numPr>
          <w:ilvl w:val="0"/>
          <w:numId w:val="29"/>
        </w:numPr>
        <w:spacing w:before="100" w:beforeAutospacing="1" w:after="100" w:afterAutospacing="1" w:line="360" w:lineRule="auto"/>
        <w:rPr>
          <w:rFonts w:ascii="Times New Roman" w:hAnsi="Times New Roman"/>
          <w:lang w:val="en-HK"/>
        </w:rPr>
      </w:pPr>
      <w:r w:rsidRPr="00043EDE">
        <w:rPr>
          <w:rFonts w:ascii="Times New Roman" w:hAnsi="Times New Roman"/>
          <w:lang w:val="en-HK"/>
        </w:rPr>
        <w:t>Protect property rights while avoiding the over-criminalization of minor acts.</w:t>
      </w:r>
    </w:p>
    <w:p w14:paraId="4F34D1C4" w14:textId="77777777" w:rsidR="00043EDE" w:rsidRPr="00043EDE" w:rsidRDefault="00043EDE" w:rsidP="00613107">
      <w:pPr>
        <w:numPr>
          <w:ilvl w:val="0"/>
          <w:numId w:val="29"/>
        </w:numPr>
        <w:spacing w:before="100" w:beforeAutospacing="1" w:after="100" w:afterAutospacing="1" w:line="360" w:lineRule="auto"/>
        <w:rPr>
          <w:rFonts w:ascii="Times New Roman" w:hAnsi="Times New Roman"/>
          <w:lang w:val="en-HK"/>
        </w:rPr>
      </w:pPr>
      <w:r w:rsidRPr="00043EDE">
        <w:rPr>
          <w:rFonts w:ascii="Times New Roman" w:hAnsi="Times New Roman"/>
          <w:lang w:val="en-HK"/>
        </w:rPr>
        <w:t xml:space="preserve">Restore </w:t>
      </w:r>
      <w:r w:rsidRPr="00043EDE">
        <w:rPr>
          <w:rFonts w:ascii="Times New Roman" w:hAnsi="Times New Roman"/>
          <w:b/>
          <w:bCs/>
          <w:lang w:val="en-HK"/>
        </w:rPr>
        <w:t>fair labelling</w:t>
      </w:r>
      <w:r w:rsidRPr="00043EDE">
        <w:rPr>
          <w:rFonts w:ascii="Times New Roman" w:hAnsi="Times New Roman"/>
          <w:lang w:val="en-HK"/>
        </w:rPr>
        <w:t xml:space="preserve"> by reserving theft for cases involving clear intent to permanently deprive the owner.</w:t>
      </w:r>
    </w:p>
    <w:p w14:paraId="38602E49" w14:textId="77777777" w:rsidR="00043EDE" w:rsidRPr="00043EDE" w:rsidRDefault="00043EDE" w:rsidP="00613107">
      <w:pPr>
        <w:numPr>
          <w:ilvl w:val="0"/>
          <w:numId w:val="29"/>
        </w:numPr>
        <w:spacing w:before="100" w:beforeAutospacing="1" w:after="100" w:afterAutospacing="1" w:line="360" w:lineRule="auto"/>
        <w:rPr>
          <w:rFonts w:ascii="Times New Roman" w:hAnsi="Times New Roman"/>
          <w:lang w:val="en-HK"/>
        </w:rPr>
      </w:pPr>
      <w:r w:rsidRPr="00043EDE">
        <w:rPr>
          <w:rFonts w:ascii="Times New Roman" w:hAnsi="Times New Roman"/>
          <w:lang w:val="en-HK"/>
        </w:rPr>
        <w:t xml:space="preserve">Provide clear guidance to courts and defendants, reducing ambiguity in the application of </w:t>
      </w:r>
      <w:r w:rsidRPr="00043EDE">
        <w:rPr>
          <w:rFonts w:ascii="Times New Roman" w:hAnsi="Times New Roman"/>
          <w:b/>
          <w:bCs/>
          <w:lang w:val="en-HK"/>
        </w:rPr>
        <w:t>Section 6</w:t>
      </w:r>
      <w:r w:rsidRPr="00043EDE">
        <w:rPr>
          <w:rFonts w:ascii="Times New Roman" w:hAnsi="Times New Roman"/>
          <w:lang w:val="en-HK"/>
        </w:rPr>
        <w:t>.</w:t>
      </w:r>
    </w:p>
    <w:p w14:paraId="5CDC7771" w14:textId="77777777" w:rsidR="00043EDE" w:rsidRPr="00043EDE" w:rsidRDefault="00043EDE" w:rsidP="00613107">
      <w:pPr>
        <w:spacing w:before="100" w:beforeAutospacing="1" w:after="100" w:afterAutospacing="1" w:line="360" w:lineRule="auto"/>
        <w:rPr>
          <w:rFonts w:ascii="Times New Roman" w:hAnsi="Times New Roman"/>
          <w:lang w:val="en-HK"/>
        </w:rPr>
      </w:pPr>
      <w:r w:rsidRPr="00043EDE">
        <w:rPr>
          <w:rFonts w:ascii="Times New Roman" w:hAnsi="Times New Roman"/>
          <w:lang w:val="en-HK"/>
        </w:rPr>
        <w:t>Steel concludes:</w:t>
      </w:r>
    </w:p>
    <w:p w14:paraId="4C81BC7B" w14:textId="2F304C6B" w:rsidR="00043EDE" w:rsidRPr="00CD7780" w:rsidRDefault="00043EDE" w:rsidP="00613107">
      <w:pPr>
        <w:spacing w:beforeAutospacing="1" w:afterAutospacing="1" w:line="360" w:lineRule="auto"/>
        <w:rPr>
          <w:rFonts w:ascii="Times New Roman" w:hAnsi="Times New Roman"/>
          <w:lang w:val="en-HK"/>
        </w:rPr>
      </w:pPr>
      <w:r w:rsidRPr="00043EDE">
        <w:rPr>
          <w:rFonts w:ascii="Times New Roman" w:hAnsi="Times New Roman"/>
          <w:lang w:val="en-HK"/>
        </w:rPr>
        <w:t>"Intermediate offenses offer a principled solution for addressing significant but non-criminal disruptions of property rights, ensuring theft law remains fair, proportionate, and focused on true misappropriation."</w:t>
      </w:r>
    </w:p>
    <w:p w14:paraId="592A108D" w14:textId="48913A0A" w:rsidR="00CD7780" w:rsidRPr="00613107" w:rsidRDefault="00CD7780" w:rsidP="00613107">
      <w:pPr>
        <w:spacing w:before="100" w:beforeAutospacing="1" w:after="100" w:afterAutospacing="1" w:line="360" w:lineRule="auto"/>
        <w:rPr>
          <w:rFonts w:ascii="Times New Roman" w:hAnsi="Times New Roman"/>
          <w:b/>
          <w:bCs/>
          <w:lang w:val="en-HK"/>
        </w:rPr>
      </w:pPr>
      <w:r w:rsidRPr="00613107">
        <w:rPr>
          <w:rFonts w:ascii="Times New Roman" w:hAnsi="Times New Roman"/>
          <w:lang w:val="en-HK"/>
        </w:rPr>
        <w:t xml:space="preserve">2. </w:t>
      </w:r>
      <w:r w:rsidRPr="00CD7780">
        <w:rPr>
          <w:rFonts w:ascii="Times New Roman" w:hAnsi="Times New Roman"/>
          <w:lang w:val="en-HK"/>
        </w:rPr>
        <w:t xml:space="preserve">Ensure theft is reserved for cases involving </w:t>
      </w:r>
      <w:r w:rsidRPr="00CD7780">
        <w:rPr>
          <w:rFonts w:ascii="Times New Roman" w:hAnsi="Times New Roman"/>
          <w:b/>
          <w:bCs/>
          <w:lang w:val="en-HK"/>
        </w:rPr>
        <w:t>clear intent to permanently deprive or significantly harm the owner.</w:t>
      </w:r>
    </w:p>
    <w:p w14:paraId="4A4A95C4" w14:textId="52DE7531"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lastRenderedPageBreak/>
        <w:t xml:space="preserve">Alex Steel emphasizes that </w:t>
      </w:r>
      <w:r w:rsidRPr="00613107">
        <w:rPr>
          <w:rFonts w:ascii="Times New Roman" w:hAnsi="Times New Roman"/>
          <w:b/>
          <w:bCs/>
          <w:lang w:val="en-HK"/>
        </w:rPr>
        <w:t>theft law must focus on cases where there is clear intent to permanently deprive or significantly harm the owner</w:t>
      </w:r>
      <w:r w:rsidRPr="00613107">
        <w:rPr>
          <w:rFonts w:ascii="Times New Roman" w:hAnsi="Times New Roman"/>
          <w:lang w:val="en-HK"/>
        </w:rPr>
        <w:t xml:space="preserve">, aligning criminal liability with the principles of fairness and proportionality. </w:t>
      </w:r>
    </w:p>
    <w:p w14:paraId="2A604D02" w14:textId="77777777" w:rsidR="00613107" w:rsidRPr="00613107" w:rsidRDefault="00613107"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Statutory Basis</w:t>
      </w:r>
    </w:p>
    <w:p w14:paraId="4B77002C"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 xml:space="preserve">The </w:t>
      </w:r>
      <w:r w:rsidRPr="00613107">
        <w:rPr>
          <w:rFonts w:ascii="Times New Roman" w:hAnsi="Times New Roman"/>
          <w:b/>
          <w:bCs/>
          <w:lang w:val="en-HK"/>
        </w:rPr>
        <w:t>Theft Act 1968</w:t>
      </w:r>
      <w:r w:rsidRPr="00613107">
        <w:rPr>
          <w:rFonts w:ascii="Times New Roman" w:hAnsi="Times New Roman"/>
          <w:lang w:val="en-HK"/>
        </w:rPr>
        <w:t xml:space="preserve"> defines theft in Section 1(1):</w:t>
      </w:r>
    </w:p>
    <w:p w14:paraId="2F4E6589" w14:textId="77777777" w:rsidR="00613107" w:rsidRPr="00613107" w:rsidRDefault="00613107" w:rsidP="00613107">
      <w:pPr>
        <w:spacing w:beforeAutospacing="1" w:afterAutospacing="1" w:line="360" w:lineRule="auto"/>
        <w:rPr>
          <w:rFonts w:ascii="Times New Roman" w:hAnsi="Times New Roman"/>
          <w:lang w:val="en-HK"/>
        </w:rPr>
      </w:pPr>
      <w:r w:rsidRPr="00613107">
        <w:rPr>
          <w:rFonts w:ascii="Times New Roman" w:hAnsi="Times New Roman"/>
          <w:lang w:val="en-HK"/>
        </w:rPr>
        <w:t>“A person is guilty of theft if he dishonestly appropriates property belonging to another with the intention of permanently depriving the other of it.”</w:t>
      </w:r>
    </w:p>
    <w:p w14:paraId="6D9A1288"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Section 6(1) extends liability to cases where the defendant:</w:t>
      </w:r>
    </w:p>
    <w:p w14:paraId="4F5AB6EC" w14:textId="47812CA6" w:rsidR="00613107" w:rsidRPr="00613107" w:rsidRDefault="00613107" w:rsidP="00613107">
      <w:pPr>
        <w:spacing w:beforeAutospacing="1" w:afterAutospacing="1" w:line="360" w:lineRule="auto"/>
        <w:rPr>
          <w:rFonts w:ascii="Times New Roman" w:hAnsi="Times New Roman"/>
          <w:lang w:val="en-HK"/>
        </w:rPr>
      </w:pPr>
      <w:r w:rsidRPr="00613107">
        <w:rPr>
          <w:rFonts w:ascii="Times New Roman" w:hAnsi="Times New Roman"/>
          <w:lang w:val="en-HK"/>
        </w:rPr>
        <w:t>“… treats the thing as his own to dispose of regardless of the other's rights… or where borrowing or lending is equivalent to outright taking or disposal.”</w:t>
      </w:r>
    </w:p>
    <w:p w14:paraId="662868D4" w14:textId="77777777" w:rsidR="00613107" w:rsidRPr="00613107" w:rsidRDefault="00613107"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Overreach in Borrowing and Lending</w:t>
      </w:r>
    </w:p>
    <w:p w14:paraId="374A78D7"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Steel critiques the inclusion of borrowing and lending in Section 6(1), warning that overly broad interpretations risk criminalizing trivial acts.</w:t>
      </w:r>
    </w:p>
    <w:p w14:paraId="3F0A9231" w14:textId="77777777" w:rsidR="00613107" w:rsidRPr="00613107" w:rsidRDefault="00613107" w:rsidP="00613107">
      <w:pPr>
        <w:numPr>
          <w:ilvl w:val="0"/>
          <w:numId w:val="31"/>
        </w:num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Ambiguities in “Equivalent to Outright Taking or Disposal”</w:t>
      </w:r>
      <w:r w:rsidRPr="00613107">
        <w:rPr>
          <w:rFonts w:ascii="Times New Roman" w:hAnsi="Times New Roman"/>
          <w:lang w:val="en-HK"/>
        </w:rPr>
        <w:t>:</w:t>
      </w:r>
    </w:p>
    <w:p w14:paraId="39A72660"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Steel observes that courts have struggled to define when borrowing or lending meets this threshold:</w:t>
      </w:r>
    </w:p>
    <w:p w14:paraId="2D08868B" w14:textId="5067D019"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“The lack of clarity in Section 6 invites judicial inconsistency, with outcomes depending on subjective assessments of equivalence.”</w:t>
      </w:r>
    </w:p>
    <w:p w14:paraId="3B1E4D0D" w14:textId="77777777" w:rsidR="00613107" w:rsidRPr="00613107" w:rsidRDefault="00613107" w:rsidP="00613107">
      <w:pPr>
        <w:numPr>
          <w:ilvl w:val="0"/>
          <w:numId w:val="31"/>
        </w:num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DPP v Lavender [1994] Crim LR 297</w:t>
      </w:r>
      <w:r w:rsidRPr="00613107">
        <w:rPr>
          <w:rFonts w:ascii="Times New Roman" w:hAnsi="Times New Roman"/>
          <w:lang w:val="en-HK"/>
        </w:rPr>
        <w:t>:</w:t>
      </w:r>
    </w:p>
    <w:p w14:paraId="147EBB4D"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Facts</w:t>
      </w:r>
      <w:r w:rsidRPr="00613107">
        <w:rPr>
          <w:rFonts w:ascii="Times New Roman" w:hAnsi="Times New Roman"/>
          <w:lang w:val="en-HK"/>
        </w:rPr>
        <w:t>: A defendant relocated council doors from one property to another without consent.</w:t>
      </w:r>
    </w:p>
    <w:p w14:paraId="5CE428B3"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Judgment</w:t>
      </w:r>
      <w:r w:rsidRPr="00613107">
        <w:rPr>
          <w:rFonts w:ascii="Times New Roman" w:hAnsi="Times New Roman"/>
          <w:lang w:val="en-HK"/>
        </w:rPr>
        <w:t>: The court found no theft, as the doors remained usable and under council control.</w:t>
      </w:r>
    </w:p>
    <w:p w14:paraId="37FA4FEB"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Steel’s Commentary</w:t>
      </w:r>
      <w:r w:rsidRPr="00613107">
        <w:rPr>
          <w:rFonts w:ascii="Times New Roman" w:hAnsi="Times New Roman"/>
          <w:lang w:val="en-HK"/>
        </w:rPr>
        <w:t>:</w:t>
      </w:r>
    </w:p>
    <w:p w14:paraId="4B3D47B5" w14:textId="0203D9E4" w:rsidR="00613107" w:rsidRPr="00613107" w:rsidRDefault="00613107" w:rsidP="00613107">
      <w:pPr>
        <w:spacing w:beforeAutospacing="1" w:afterAutospacing="1" w:line="360" w:lineRule="auto"/>
        <w:rPr>
          <w:rFonts w:ascii="Times New Roman" w:hAnsi="Times New Roman"/>
          <w:lang w:val="en-HK"/>
        </w:rPr>
      </w:pPr>
      <w:r w:rsidRPr="00613107">
        <w:rPr>
          <w:rFonts w:ascii="Times New Roman" w:hAnsi="Times New Roman"/>
          <w:lang w:val="en-HK"/>
        </w:rPr>
        <w:lastRenderedPageBreak/>
        <w:t>“Lavender illustrates how courts may exclude cases of significant interference simply because the property retains its utility.”</w:t>
      </w:r>
    </w:p>
    <w:p w14:paraId="08F4CD23" w14:textId="77777777" w:rsidR="00613107" w:rsidRPr="00613107" w:rsidRDefault="00613107" w:rsidP="00613107">
      <w:pPr>
        <w:spacing w:before="100" w:beforeAutospacing="1" w:after="100" w:afterAutospacing="1" w:line="360" w:lineRule="auto"/>
        <w:outlineLvl w:val="2"/>
        <w:rPr>
          <w:rFonts w:ascii="Times New Roman" w:hAnsi="Times New Roman"/>
          <w:b/>
          <w:bCs/>
          <w:lang w:val="en-HK"/>
        </w:rPr>
      </w:pPr>
      <w:r w:rsidRPr="00613107">
        <w:rPr>
          <w:rFonts w:ascii="Times New Roman" w:hAnsi="Times New Roman"/>
          <w:b/>
          <w:bCs/>
          <w:lang w:val="en-HK"/>
        </w:rPr>
        <w:t>Fair Labelling and Proportionality</w:t>
      </w:r>
    </w:p>
    <w:p w14:paraId="326E7E26" w14:textId="77777777" w:rsidR="00613107" w:rsidRPr="00613107" w:rsidRDefault="00613107"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Restoring Theft’s Moral Boundaries</w:t>
      </w:r>
    </w:p>
    <w:p w14:paraId="53EA47C1"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 xml:space="preserve">Steel argues that theft law should target only cases involving </w:t>
      </w:r>
      <w:r w:rsidRPr="00613107">
        <w:rPr>
          <w:rFonts w:ascii="Times New Roman" w:hAnsi="Times New Roman"/>
          <w:b/>
          <w:bCs/>
          <w:lang w:val="en-HK"/>
        </w:rPr>
        <w:t>clear intent to permanently deprive</w:t>
      </w:r>
      <w:r w:rsidRPr="00613107">
        <w:rPr>
          <w:rFonts w:ascii="Times New Roman" w:hAnsi="Times New Roman"/>
          <w:lang w:val="en-HK"/>
        </w:rPr>
        <w:t xml:space="preserve"> or </w:t>
      </w:r>
      <w:r w:rsidRPr="00613107">
        <w:rPr>
          <w:rFonts w:ascii="Times New Roman" w:hAnsi="Times New Roman"/>
          <w:b/>
          <w:bCs/>
          <w:lang w:val="en-HK"/>
        </w:rPr>
        <w:t>significant harm to ownership rights</w:t>
      </w:r>
      <w:r w:rsidRPr="00613107">
        <w:rPr>
          <w:rFonts w:ascii="Times New Roman" w:hAnsi="Times New Roman"/>
          <w:lang w:val="en-HK"/>
        </w:rPr>
        <w:t>, ensuring fair labelling and proportionality.</w:t>
      </w:r>
    </w:p>
    <w:p w14:paraId="5DCF89AF" w14:textId="77777777" w:rsidR="00613107" w:rsidRPr="00613107" w:rsidRDefault="00613107" w:rsidP="00613107">
      <w:pPr>
        <w:numPr>
          <w:ilvl w:val="0"/>
          <w:numId w:val="32"/>
        </w:num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Criminalization of Trivial Acts</w:t>
      </w:r>
      <w:r w:rsidRPr="00613107">
        <w:rPr>
          <w:rFonts w:ascii="Times New Roman" w:hAnsi="Times New Roman"/>
          <w:lang w:val="en-HK"/>
        </w:rPr>
        <w:t>:</w:t>
      </w:r>
    </w:p>
    <w:p w14:paraId="7DE1DEDB"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Borrowing or lending minor items, even with temporary disruption, should not amount to theft unless the harm is equivalent to outright taking.</w:t>
      </w:r>
    </w:p>
    <w:p w14:paraId="5D2F610E"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Steel notes:</w:t>
      </w:r>
    </w:p>
    <w:p w14:paraId="7DAB4CB2" w14:textId="77777777" w:rsidR="00613107" w:rsidRPr="00613107" w:rsidRDefault="00613107" w:rsidP="00613107">
      <w:pPr>
        <w:spacing w:beforeAutospacing="1" w:afterAutospacing="1" w:line="360" w:lineRule="auto"/>
        <w:rPr>
          <w:rFonts w:ascii="Times New Roman" w:hAnsi="Times New Roman"/>
          <w:lang w:val="en-HK"/>
        </w:rPr>
      </w:pPr>
      <w:r w:rsidRPr="00613107">
        <w:rPr>
          <w:rFonts w:ascii="Times New Roman" w:hAnsi="Times New Roman"/>
          <w:lang w:val="en-HK"/>
        </w:rPr>
        <w:t>“The broad language of Section 6 risks equating trivial acts of interference with serious criminal wrongdoing.”</w:t>
      </w:r>
    </w:p>
    <w:p w14:paraId="2FAA371C" w14:textId="77777777" w:rsidR="00613107" w:rsidRPr="00613107" w:rsidRDefault="00613107" w:rsidP="00613107">
      <w:pPr>
        <w:numPr>
          <w:ilvl w:val="0"/>
          <w:numId w:val="32"/>
        </w:num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Distinguishing Theft from Other Offenses</w:t>
      </w:r>
      <w:r w:rsidRPr="00613107">
        <w:rPr>
          <w:rFonts w:ascii="Times New Roman" w:hAnsi="Times New Roman"/>
          <w:lang w:val="en-HK"/>
        </w:rPr>
        <w:t>:</w:t>
      </w:r>
    </w:p>
    <w:p w14:paraId="67CBD3E7"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Theft should remain distinct from lesser offenses, such as unauthorized borrowing or misuse. Steel calls for intermediate offenses to address cases that fall short of permanent deprivation:</w:t>
      </w:r>
    </w:p>
    <w:p w14:paraId="16C5A118" w14:textId="648BF1E5"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“Fair labelling requires that theft be reserved for egregious acts of misappropriation, while lesser acts are categorized appropriately.”</w:t>
      </w:r>
    </w:p>
    <w:p w14:paraId="6FEFD27B" w14:textId="33BA97D5" w:rsidR="00613107" w:rsidRPr="00613107" w:rsidRDefault="00613107" w:rsidP="00613107">
      <w:pPr>
        <w:spacing w:before="100" w:beforeAutospacing="1" w:after="100" w:afterAutospacing="1" w:line="360" w:lineRule="auto"/>
        <w:rPr>
          <w:rFonts w:ascii="Times New Roman" w:hAnsi="Times New Roman"/>
          <w:lang w:val="en-US"/>
        </w:rPr>
      </w:pPr>
      <w:r w:rsidRPr="00613107">
        <w:rPr>
          <w:rFonts w:ascii="Microsoft JhengHei" w:eastAsia="Microsoft JhengHei" w:hAnsi="Microsoft JhengHei" w:hint="eastAsia"/>
          <w:color w:val="000000"/>
          <w:shd w:val="clear" w:color="auto" w:fill="EFF6FF"/>
        </w:rPr>
        <w:t>“公平標籤要求將盜竊留給惡劣的盜用行為，而較輕的行為則被適當地分類</w:t>
      </w:r>
    </w:p>
    <w:p w14:paraId="36C1D7E2" w14:textId="77777777" w:rsidR="00613107"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74AE1AE7">
          <v:rect id="_x0000_i1029" alt="" style="width:451.3pt;height:.05pt;mso-width-percent:0;mso-height-percent:0;mso-width-percent:0;mso-height-percent:0" o:hralign="center" o:hrstd="t" o:hr="t" fillcolor="#a0a0a0" stroked="f"/>
        </w:pict>
      </w:r>
    </w:p>
    <w:p w14:paraId="4583BB7D" w14:textId="77777777" w:rsidR="00613107" w:rsidRPr="00613107" w:rsidRDefault="00613107" w:rsidP="00613107">
      <w:pPr>
        <w:spacing w:before="100" w:beforeAutospacing="1" w:after="100" w:afterAutospacing="1" w:line="360" w:lineRule="auto"/>
        <w:outlineLvl w:val="2"/>
        <w:rPr>
          <w:rFonts w:ascii="Times New Roman" w:hAnsi="Times New Roman"/>
          <w:b/>
          <w:bCs/>
          <w:color w:val="FF0000"/>
          <w:lang w:val="en-HK"/>
        </w:rPr>
      </w:pPr>
      <w:r w:rsidRPr="00613107">
        <w:rPr>
          <w:rFonts w:ascii="Times New Roman" w:hAnsi="Times New Roman"/>
          <w:b/>
          <w:bCs/>
          <w:color w:val="FF0000"/>
          <w:lang w:val="en-HK"/>
        </w:rPr>
        <w:t>Recommendations for Reform</w:t>
      </w:r>
    </w:p>
    <w:p w14:paraId="69BC81B3"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Steel proposes reforms to ensure that theft law focuses on cases involving significant harm or permanent deprivation, aligning liability with principles of fairness and justice.</w:t>
      </w:r>
    </w:p>
    <w:p w14:paraId="7FC8A151" w14:textId="77777777" w:rsidR="00613107" w:rsidRPr="00613107" w:rsidRDefault="00613107"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lastRenderedPageBreak/>
        <w:t>1. Redefining Borrowing and Lending</w:t>
      </w:r>
    </w:p>
    <w:p w14:paraId="4EE192D7"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Section 6(1) should explicitly define when borrowing or lending constitutes theft, focusing on:</w:t>
      </w:r>
    </w:p>
    <w:p w14:paraId="3ECB2A08"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Harm to the Owner’s Rights</w:t>
      </w:r>
      <w:r w:rsidRPr="00613107">
        <w:rPr>
          <w:rFonts w:ascii="Times New Roman" w:hAnsi="Times New Roman"/>
          <w:lang w:val="en-HK"/>
        </w:rPr>
        <w:t>: The extent to which the owner’s ability to use or recover the property is disrupted.</w:t>
      </w:r>
    </w:p>
    <w:p w14:paraId="13184C47"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b/>
          <w:bCs/>
          <w:lang w:val="en-HK"/>
        </w:rPr>
        <w:t>Objective Criteria</w:t>
      </w:r>
      <w:r w:rsidRPr="00613107">
        <w:rPr>
          <w:rFonts w:ascii="Times New Roman" w:hAnsi="Times New Roman"/>
          <w:lang w:val="en-HK"/>
        </w:rPr>
        <w:t>: Duration and circumstances, rather than subjective notions like "goodness or virtue."</w:t>
      </w:r>
    </w:p>
    <w:p w14:paraId="2632EB54" w14:textId="77777777" w:rsidR="00613107" w:rsidRPr="00613107" w:rsidRDefault="00613107"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2. Clarifying “To Dispose Of”</w:t>
      </w:r>
    </w:p>
    <w:p w14:paraId="0A7ABD73"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“To dispose of” should be expanded to include acts that significantly interfere with the owner’s control or recovery of property, even if the interference is temporary.</w:t>
      </w:r>
    </w:p>
    <w:p w14:paraId="21C2A6A4" w14:textId="77777777" w:rsidR="00613107" w:rsidRPr="00613107" w:rsidRDefault="00613107" w:rsidP="00613107">
      <w:pPr>
        <w:spacing w:before="100" w:beforeAutospacing="1" w:after="100" w:afterAutospacing="1" w:line="360" w:lineRule="auto"/>
        <w:outlineLvl w:val="3"/>
        <w:rPr>
          <w:rFonts w:ascii="Times New Roman" w:hAnsi="Times New Roman"/>
          <w:b/>
          <w:bCs/>
          <w:lang w:val="en-HK"/>
        </w:rPr>
      </w:pPr>
      <w:r w:rsidRPr="00613107">
        <w:rPr>
          <w:rFonts w:ascii="Times New Roman" w:hAnsi="Times New Roman"/>
          <w:b/>
          <w:bCs/>
          <w:lang w:val="en-HK"/>
        </w:rPr>
        <w:t>3. Addressing Overreach in Section 6(2)</w:t>
      </w:r>
    </w:p>
    <w:p w14:paraId="437FAE74" w14:textId="77777777" w:rsidR="00613107" w:rsidRPr="00613107" w:rsidRDefault="00613107" w:rsidP="00613107">
      <w:pPr>
        <w:spacing w:before="100" w:beforeAutospacing="1" w:after="100" w:afterAutospacing="1" w:line="360" w:lineRule="auto"/>
        <w:rPr>
          <w:rFonts w:ascii="Times New Roman" w:hAnsi="Times New Roman"/>
          <w:lang w:val="en-HK"/>
        </w:rPr>
      </w:pPr>
      <w:r w:rsidRPr="00613107">
        <w:rPr>
          <w:rFonts w:ascii="Times New Roman" w:hAnsi="Times New Roman"/>
          <w:lang w:val="en-HK"/>
        </w:rPr>
        <w:t xml:space="preserve">Introduce a requirement of </w:t>
      </w:r>
      <w:r w:rsidRPr="00613107">
        <w:rPr>
          <w:rFonts w:ascii="Times New Roman" w:hAnsi="Times New Roman"/>
          <w:b/>
          <w:bCs/>
          <w:lang w:val="en-HK"/>
        </w:rPr>
        <w:t>subjective intent</w:t>
      </w:r>
      <w:r w:rsidRPr="00613107">
        <w:rPr>
          <w:rFonts w:ascii="Times New Roman" w:hAnsi="Times New Roman"/>
          <w:lang w:val="en-HK"/>
        </w:rPr>
        <w:t xml:space="preserve"> for pawning cases, limiting liability to defendants who knowingly or recklessly risk the owner’s ability to recover the property.</w:t>
      </w:r>
    </w:p>
    <w:p w14:paraId="2B7D10B7" w14:textId="77777777" w:rsidR="00613107" w:rsidRPr="00613107"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564B0721">
          <v:rect id="_x0000_i1028" alt="" style="width:451.3pt;height:.05pt;mso-width-percent:0;mso-height-percent:0;mso-width-percent:0;mso-height-percent:0" o:hralign="center" o:hrstd="t" o:hr="t" fillcolor="#a0a0a0" stroked="f"/>
        </w:pict>
      </w:r>
    </w:p>
    <w:p w14:paraId="5C905FED" w14:textId="77777777" w:rsidR="00613107" w:rsidRPr="00613107" w:rsidRDefault="00613107" w:rsidP="00613107">
      <w:pPr>
        <w:spacing w:line="360" w:lineRule="auto"/>
        <w:rPr>
          <w:rFonts w:ascii="Times New Roman" w:hAnsi="Times New Roman"/>
          <w:lang w:val="en-HK"/>
        </w:rPr>
      </w:pPr>
    </w:p>
    <w:p w14:paraId="34B6499D" w14:textId="77F71292" w:rsidR="00613107" w:rsidRPr="00613107" w:rsidRDefault="00613107" w:rsidP="00613107">
      <w:pPr>
        <w:spacing w:line="360" w:lineRule="auto"/>
        <w:rPr>
          <w:rFonts w:ascii="Times New Roman" w:hAnsi="Times New Roman"/>
          <w:lang w:val="en-HK"/>
        </w:rPr>
      </w:pPr>
      <w:r w:rsidRPr="00613107">
        <w:rPr>
          <w:rFonts w:ascii="Times New Roman" w:hAnsi="Times New Roman"/>
          <w:lang w:val="en-HK"/>
        </w:rPr>
        <w:t>Steel emphasizes that theft law must reflect its original purpose: to address serious acts of misappropriation involving clear intent to permanently deprive or significantly harm ownership rights. By reserving theft for egregious cases and introducing intermediate offenses for lesser acts, the law can maintain fairness, proportionality, and public confidence. As Steel aptly states:</w:t>
      </w:r>
    </w:p>
    <w:p w14:paraId="6D5D4E66" w14:textId="5CE47561" w:rsidR="00613107" w:rsidRPr="00CD7780" w:rsidRDefault="00613107" w:rsidP="00613107">
      <w:pPr>
        <w:spacing w:beforeAutospacing="1" w:afterAutospacing="1" w:line="360" w:lineRule="auto"/>
        <w:rPr>
          <w:rFonts w:ascii="Times New Roman" w:hAnsi="Times New Roman"/>
          <w:lang w:val="en-HK"/>
        </w:rPr>
      </w:pPr>
      <w:r w:rsidRPr="00613107">
        <w:rPr>
          <w:rFonts w:ascii="Times New Roman" w:hAnsi="Times New Roman"/>
          <w:lang w:val="en-HK"/>
        </w:rPr>
        <w:t>“Theft must remain a principled offense, targeting genuine acts of misappropriation while preserving the integrity of property rights and the moral boundaries of criminal liability.”</w:t>
      </w:r>
    </w:p>
    <w:p w14:paraId="3DC9CCEF"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357C3992">
          <v:rect id="_x0000_i1027" alt="" style="width:451.3pt;height:.05pt;mso-width-percent:0;mso-height-percent:0;mso-width-percent:0;mso-height-percent:0" o:hralign="center" o:hrstd="t" o:hr="t" fillcolor="#a0a0a0" stroked="f"/>
        </w:pict>
      </w:r>
    </w:p>
    <w:p w14:paraId="01C7D341" w14:textId="77777777" w:rsidR="00CD7780" w:rsidRPr="00CD7780" w:rsidRDefault="00CD7780" w:rsidP="00613107">
      <w:pPr>
        <w:spacing w:before="100" w:beforeAutospacing="1" w:after="100" w:afterAutospacing="1" w:line="360" w:lineRule="auto"/>
        <w:outlineLvl w:val="3"/>
        <w:rPr>
          <w:rFonts w:ascii="Times New Roman" w:hAnsi="Times New Roman"/>
          <w:b/>
          <w:bCs/>
          <w:lang w:val="en-HK"/>
        </w:rPr>
      </w:pPr>
      <w:r w:rsidRPr="00CD7780">
        <w:rPr>
          <w:rFonts w:ascii="Times New Roman" w:hAnsi="Times New Roman"/>
          <w:b/>
          <w:bCs/>
          <w:lang w:val="en-HK"/>
        </w:rPr>
        <w:t>5. Legislative Amendments</w:t>
      </w:r>
    </w:p>
    <w:p w14:paraId="6A0023B3"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lastRenderedPageBreak/>
        <w:t xml:space="preserve">Steel calls for comprehensive amendments to the </w:t>
      </w:r>
      <w:r w:rsidRPr="00CD7780">
        <w:rPr>
          <w:rFonts w:ascii="Times New Roman" w:hAnsi="Times New Roman"/>
          <w:b/>
          <w:bCs/>
          <w:lang w:val="en-HK"/>
        </w:rPr>
        <w:t>Theft Act 1968</w:t>
      </w:r>
      <w:r w:rsidRPr="00CD7780">
        <w:rPr>
          <w:rFonts w:ascii="Times New Roman" w:hAnsi="Times New Roman"/>
          <w:lang w:val="en-HK"/>
        </w:rPr>
        <w:t xml:space="preserve"> to provide clearer definitions and resolve ambiguities in Section 6.</w:t>
      </w:r>
    </w:p>
    <w:p w14:paraId="226687FC"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b/>
          <w:bCs/>
          <w:lang w:val="en-HK"/>
        </w:rPr>
        <w:t>Key Areas for Reform</w:t>
      </w:r>
      <w:r w:rsidRPr="00CD7780">
        <w:rPr>
          <w:rFonts w:ascii="Times New Roman" w:hAnsi="Times New Roman"/>
          <w:lang w:val="en-HK"/>
        </w:rPr>
        <w:t>:</w:t>
      </w:r>
    </w:p>
    <w:p w14:paraId="527BA5FD" w14:textId="77777777" w:rsidR="00CD7780" w:rsidRPr="00CD7780" w:rsidRDefault="00CD7780" w:rsidP="00613107">
      <w:pPr>
        <w:numPr>
          <w:ilvl w:val="1"/>
          <w:numId w:val="22"/>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Define "equivalence to outright taking or disposal" with objective criteria.</w:t>
      </w:r>
    </w:p>
    <w:p w14:paraId="6C9BB3C6" w14:textId="77777777" w:rsidR="00CD7780" w:rsidRPr="00CD7780" w:rsidRDefault="00CD7780" w:rsidP="00613107">
      <w:pPr>
        <w:numPr>
          <w:ilvl w:val="1"/>
          <w:numId w:val="22"/>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Clarify the meaning of "goodness or virtue" to focus on the impact on ownership rights.</w:t>
      </w:r>
    </w:p>
    <w:p w14:paraId="2C4C9D1B" w14:textId="77777777" w:rsidR="00CD7780" w:rsidRPr="00CD7780" w:rsidRDefault="00CD7780" w:rsidP="00613107">
      <w:pPr>
        <w:numPr>
          <w:ilvl w:val="1"/>
          <w:numId w:val="22"/>
        </w:numPr>
        <w:spacing w:before="100" w:beforeAutospacing="1" w:after="100" w:afterAutospacing="1" w:line="360" w:lineRule="auto"/>
        <w:rPr>
          <w:rFonts w:ascii="Times New Roman" w:hAnsi="Times New Roman"/>
          <w:lang w:val="en-HK"/>
        </w:rPr>
      </w:pPr>
      <w:r w:rsidRPr="00CD7780">
        <w:rPr>
          <w:rFonts w:ascii="Times New Roman" w:hAnsi="Times New Roman"/>
          <w:lang w:val="en-HK"/>
        </w:rPr>
        <w:t>Reconcile Section 6 with civil law principles to avoid conflicts over ownership and possession.</w:t>
      </w:r>
    </w:p>
    <w:p w14:paraId="1233D720" w14:textId="77777777" w:rsidR="00CD7780" w:rsidRPr="00CD7780" w:rsidRDefault="00004C29" w:rsidP="00613107">
      <w:pPr>
        <w:spacing w:line="360" w:lineRule="auto"/>
        <w:rPr>
          <w:rFonts w:ascii="Times New Roman" w:hAnsi="Times New Roman"/>
          <w:lang w:val="en-HK"/>
        </w:rPr>
      </w:pPr>
      <w:r w:rsidRPr="00004C29">
        <w:rPr>
          <w:rFonts w:ascii="Times New Roman" w:hAnsi="Times New Roman"/>
          <w:noProof/>
          <w:lang w:val="en-HK"/>
          <w14:ligatures w14:val="standardContextual"/>
        </w:rPr>
        <w:pict w14:anchorId="79B97784">
          <v:rect id="_x0000_i1026" alt="" style="width:451.3pt;height:.05pt;mso-width-percent:0;mso-height-percent:0;mso-width-percent:0;mso-height-percent:0" o:hralign="center" o:hrstd="t" o:hr="t" fillcolor="#a0a0a0" stroked="f"/>
        </w:pict>
      </w:r>
    </w:p>
    <w:p w14:paraId="0147998C" w14:textId="77777777" w:rsidR="00CD7780" w:rsidRPr="00CD7780" w:rsidRDefault="00CD7780" w:rsidP="00613107">
      <w:pPr>
        <w:spacing w:before="100" w:beforeAutospacing="1" w:after="100" w:afterAutospacing="1" w:line="360" w:lineRule="auto"/>
        <w:rPr>
          <w:rFonts w:ascii="Times New Roman" w:hAnsi="Times New Roman"/>
          <w:lang w:val="en-HK"/>
        </w:rPr>
      </w:pPr>
      <w:r w:rsidRPr="00CD7780">
        <w:rPr>
          <w:rFonts w:ascii="Times New Roman" w:hAnsi="Times New Roman"/>
          <w:lang w:val="en-HK"/>
        </w:rPr>
        <w:t>Steel concludes that the ambiguities and inconsistencies in Section 6 undermine the coherence and fairness of theft law. He emphasizes the need for reforms to restore clarity, proportionality, and alignment with the principles of justice. As Steel succinctly states:</w:t>
      </w:r>
    </w:p>
    <w:p w14:paraId="32DA352D" w14:textId="77777777" w:rsidR="00CD7780" w:rsidRPr="00613107" w:rsidRDefault="00CD7780" w:rsidP="00613107">
      <w:pPr>
        <w:spacing w:beforeAutospacing="1" w:afterAutospacing="1" w:line="360" w:lineRule="auto"/>
        <w:rPr>
          <w:rFonts w:ascii="Times New Roman" w:hAnsi="Times New Roman"/>
          <w:lang w:val="en-HK"/>
        </w:rPr>
      </w:pPr>
      <w:r w:rsidRPr="00CD7780">
        <w:rPr>
          <w:rFonts w:ascii="Times New Roman" w:hAnsi="Times New Roman"/>
          <w:lang w:val="en-HK"/>
        </w:rPr>
        <w:t xml:space="preserve">“The success of theft law depends on </w:t>
      </w:r>
      <w:r w:rsidRPr="00CD7780">
        <w:rPr>
          <w:rFonts w:ascii="Times New Roman" w:hAnsi="Times New Roman"/>
          <w:b/>
          <w:bCs/>
          <w:lang w:val="en-HK"/>
        </w:rPr>
        <w:t>its ability to distinguish between acts of temporary interference and genuine misappropriation</w:t>
      </w:r>
      <w:r w:rsidRPr="00CD7780">
        <w:rPr>
          <w:rFonts w:ascii="Times New Roman" w:hAnsi="Times New Roman"/>
          <w:lang w:val="en-HK"/>
        </w:rPr>
        <w:t>, ensuring that criminal liability reflects both the harm caused and the moral culpability of the defendant.”</w:t>
      </w:r>
    </w:p>
    <w:p w14:paraId="25252E41" w14:textId="1E6C327B" w:rsidR="00CD7780" w:rsidRPr="00CD7780" w:rsidRDefault="00004C29" w:rsidP="00613107">
      <w:pPr>
        <w:spacing w:beforeAutospacing="1" w:afterAutospacing="1" w:line="360" w:lineRule="auto"/>
        <w:rPr>
          <w:rFonts w:ascii="Times New Roman" w:hAnsi="Times New Roman"/>
          <w:lang w:val="en-HK"/>
        </w:rPr>
      </w:pPr>
      <w:r w:rsidRPr="00004C29">
        <w:rPr>
          <w:rFonts w:ascii="Times New Roman" w:hAnsi="Times New Roman"/>
          <w:noProof/>
          <w:lang w:val="en-HK"/>
          <w14:ligatures w14:val="standardContextual"/>
        </w:rPr>
        <w:pict w14:anchorId="37D95B5F">
          <v:rect id="_x0000_i1025" alt="" style="width:451.3pt;height:.05pt;mso-width-percent:0;mso-height-percent:0;mso-width-percent:0;mso-height-percent:0" o:hralign="center" o:hrstd="t" o:hr="t" fillcolor="#a0a0a0" stroked="f"/>
        </w:pict>
      </w:r>
    </w:p>
    <w:p w14:paraId="293EBDA8" w14:textId="77777777" w:rsidR="00CD39F1" w:rsidRPr="00613107" w:rsidRDefault="00CD39F1" w:rsidP="00613107">
      <w:pPr>
        <w:spacing w:line="360" w:lineRule="auto"/>
        <w:rPr>
          <w:rFonts w:ascii="Times New Roman" w:hAnsi="Times New Roman"/>
        </w:rPr>
      </w:pPr>
    </w:p>
    <w:sectPr w:rsidR="00CD39F1" w:rsidRPr="00613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7985"/>
    <w:multiLevelType w:val="multilevel"/>
    <w:tmpl w:val="057A6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003F"/>
    <w:multiLevelType w:val="multilevel"/>
    <w:tmpl w:val="56766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36003"/>
    <w:multiLevelType w:val="multilevel"/>
    <w:tmpl w:val="20FA7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75CC3"/>
    <w:multiLevelType w:val="multilevel"/>
    <w:tmpl w:val="012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B394E"/>
    <w:multiLevelType w:val="multilevel"/>
    <w:tmpl w:val="4C4092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981D12"/>
    <w:multiLevelType w:val="multilevel"/>
    <w:tmpl w:val="E656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A47D5"/>
    <w:multiLevelType w:val="multilevel"/>
    <w:tmpl w:val="EEF23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75EB6"/>
    <w:multiLevelType w:val="hybridMultilevel"/>
    <w:tmpl w:val="700AA0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221E3B"/>
    <w:multiLevelType w:val="multilevel"/>
    <w:tmpl w:val="091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6246C"/>
    <w:multiLevelType w:val="multilevel"/>
    <w:tmpl w:val="F072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A5C47"/>
    <w:multiLevelType w:val="multilevel"/>
    <w:tmpl w:val="AA925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55491"/>
    <w:multiLevelType w:val="multilevel"/>
    <w:tmpl w:val="EE6674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FF62D9B"/>
    <w:multiLevelType w:val="multilevel"/>
    <w:tmpl w:val="A484DB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1B93B00"/>
    <w:multiLevelType w:val="multilevel"/>
    <w:tmpl w:val="5590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37449"/>
    <w:multiLevelType w:val="multilevel"/>
    <w:tmpl w:val="D69CDA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7CF46AA"/>
    <w:multiLevelType w:val="multilevel"/>
    <w:tmpl w:val="5B2898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C34550D"/>
    <w:multiLevelType w:val="multilevel"/>
    <w:tmpl w:val="59406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A00EB"/>
    <w:multiLevelType w:val="multilevel"/>
    <w:tmpl w:val="C4B620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37823EA"/>
    <w:multiLevelType w:val="multilevel"/>
    <w:tmpl w:val="1038B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A081F"/>
    <w:multiLevelType w:val="multilevel"/>
    <w:tmpl w:val="08EA635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88B4F67"/>
    <w:multiLevelType w:val="multilevel"/>
    <w:tmpl w:val="2A74F2CC"/>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E53B8"/>
    <w:multiLevelType w:val="multilevel"/>
    <w:tmpl w:val="1040BD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853331E"/>
    <w:multiLevelType w:val="multilevel"/>
    <w:tmpl w:val="6F1281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BA63CB8"/>
    <w:multiLevelType w:val="multilevel"/>
    <w:tmpl w:val="5FA22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40F6D"/>
    <w:multiLevelType w:val="multilevel"/>
    <w:tmpl w:val="F7CA97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2CF5BE5"/>
    <w:multiLevelType w:val="multilevel"/>
    <w:tmpl w:val="39B0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20760"/>
    <w:multiLevelType w:val="multilevel"/>
    <w:tmpl w:val="50346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6668A"/>
    <w:multiLevelType w:val="multilevel"/>
    <w:tmpl w:val="F5986C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3C21901"/>
    <w:multiLevelType w:val="multilevel"/>
    <w:tmpl w:val="EA52D9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65E51ED"/>
    <w:multiLevelType w:val="multilevel"/>
    <w:tmpl w:val="740EBA0A"/>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90FE9"/>
    <w:multiLevelType w:val="multilevel"/>
    <w:tmpl w:val="3D8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4510E"/>
    <w:multiLevelType w:val="hybridMultilevel"/>
    <w:tmpl w:val="AD587D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737667"/>
    <w:multiLevelType w:val="multilevel"/>
    <w:tmpl w:val="1AF0A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C47496"/>
    <w:multiLevelType w:val="multilevel"/>
    <w:tmpl w:val="D7649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924032">
    <w:abstractNumId w:val="10"/>
  </w:num>
  <w:num w:numId="2" w16cid:durableId="220988846">
    <w:abstractNumId w:val="5"/>
  </w:num>
  <w:num w:numId="3" w16cid:durableId="403188876">
    <w:abstractNumId w:val="17"/>
  </w:num>
  <w:num w:numId="4" w16cid:durableId="2135825449">
    <w:abstractNumId w:val="13"/>
  </w:num>
  <w:num w:numId="5" w16cid:durableId="1500536873">
    <w:abstractNumId w:val="22"/>
  </w:num>
  <w:num w:numId="6" w16cid:durableId="675351494">
    <w:abstractNumId w:val="4"/>
  </w:num>
  <w:num w:numId="7" w16cid:durableId="1519853617">
    <w:abstractNumId w:val="32"/>
  </w:num>
  <w:num w:numId="8" w16cid:durableId="1448348390">
    <w:abstractNumId w:val="30"/>
  </w:num>
  <w:num w:numId="9" w16cid:durableId="1497960449">
    <w:abstractNumId w:val="2"/>
  </w:num>
  <w:num w:numId="10" w16cid:durableId="1244026597">
    <w:abstractNumId w:val="6"/>
  </w:num>
  <w:num w:numId="11" w16cid:durableId="1741826924">
    <w:abstractNumId w:val="23"/>
  </w:num>
  <w:num w:numId="12" w16cid:durableId="1600600593">
    <w:abstractNumId w:val="1"/>
  </w:num>
  <w:num w:numId="13" w16cid:durableId="1286619333">
    <w:abstractNumId w:val="7"/>
  </w:num>
  <w:num w:numId="14" w16cid:durableId="1469473451">
    <w:abstractNumId w:val="31"/>
  </w:num>
  <w:num w:numId="15" w16cid:durableId="1629698650">
    <w:abstractNumId w:val="21"/>
  </w:num>
  <w:num w:numId="16" w16cid:durableId="797189639">
    <w:abstractNumId w:val="28"/>
  </w:num>
  <w:num w:numId="17" w16cid:durableId="1051345526">
    <w:abstractNumId w:val="9"/>
  </w:num>
  <w:num w:numId="18" w16cid:durableId="182474757">
    <w:abstractNumId w:val="18"/>
  </w:num>
  <w:num w:numId="19" w16cid:durableId="312417490">
    <w:abstractNumId w:val="33"/>
  </w:num>
  <w:num w:numId="20" w16cid:durableId="1601142058">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333188614">
    <w:abstractNumId w:val="26"/>
  </w:num>
  <w:num w:numId="22" w16cid:durableId="411437470">
    <w:abstractNumId w:val="16"/>
  </w:num>
  <w:num w:numId="23" w16cid:durableId="1282422663">
    <w:abstractNumId w:val="0"/>
  </w:num>
  <w:num w:numId="24" w16cid:durableId="1901743120">
    <w:abstractNumId w:val="19"/>
  </w:num>
  <w:num w:numId="25" w16cid:durableId="1450007241">
    <w:abstractNumId w:val="14"/>
  </w:num>
  <w:num w:numId="26" w16cid:durableId="1360663013">
    <w:abstractNumId w:val="29"/>
  </w:num>
  <w:num w:numId="27" w16cid:durableId="1838308280">
    <w:abstractNumId w:val="12"/>
  </w:num>
  <w:num w:numId="28" w16cid:durableId="738014696">
    <w:abstractNumId w:val="24"/>
  </w:num>
  <w:num w:numId="29" w16cid:durableId="425347919">
    <w:abstractNumId w:val="20"/>
  </w:num>
  <w:num w:numId="30" w16cid:durableId="757405735">
    <w:abstractNumId w:val="27"/>
  </w:num>
  <w:num w:numId="31" w16cid:durableId="292713627">
    <w:abstractNumId w:val="15"/>
  </w:num>
  <w:num w:numId="32" w16cid:durableId="7603440">
    <w:abstractNumId w:val="11"/>
  </w:num>
  <w:num w:numId="33" w16cid:durableId="1231769668">
    <w:abstractNumId w:val="25"/>
  </w:num>
  <w:num w:numId="34" w16cid:durableId="85999183">
    <w:abstractNumId w:val="3"/>
  </w:num>
  <w:num w:numId="35" w16cid:durableId="18588086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05"/>
    <w:rsid w:val="00004C29"/>
    <w:rsid w:val="00012117"/>
    <w:rsid w:val="000147A9"/>
    <w:rsid w:val="000413D8"/>
    <w:rsid w:val="00042755"/>
    <w:rsid w:val="00043EDE"/>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888"/>
    <w:rsid w:val="005A1930"/>
    <w:rsid w:val="005A6EEA"/>
    <w:rsid w:val="005B34ED"/>
    <w:rsid w:val="005B61CD"/>
    <w:rsid w:val="005C4FF3"/>
    <w:rsid w:val="005C50B3"/>
    <w:rsid w:val="005C6B83"/>
    <w:rsid w:val="005D57DA"/>
    <w:rsid w:val="005E7702"/>
    <w:rsid w:val="005F33FC"/>
    <w:rsid w:val="00605F8E"/>
    <w:rsid w:val="00613107"/>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8B1"/>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42DE"/>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D7780"/>
    <w:rsid w:val="00CE1439"/>
    <w:rsid w:val="00CF74EF"/>
    <w:rsid w:val="00D02AC8"/>
    <w:rsid w:val="00D0623C"/>
    <w:rsid w:val="00D07271"/>
    <w:rsid w:val="00D16917"/>
    <w:rsid w:val="00D33F05"/>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0CE7"/>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B107"/>
  <w15:chartTrackingRefBased/>
  <w15:docId w15:val="{0B75F7E0-517D-F945-B75E-4DD6F08BF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33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3F0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3F0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3F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3F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F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F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F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0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33F0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33F0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33F0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33F0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33F0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33F0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33F0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33F0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33F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0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33F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F0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33F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F0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33F05"/>
    <w:pPr>
      <w:ind w:left="720"/>
      <w:contextualSpacing/>
    </w:pPr>
  </w:style>
  <w:style w:type="character" w:styleId="IntenseEmphasis">
    <w:name w:val="Intense Emphasis"/>
    <w:basedOn w:val="DefaultParagraphFont"/>
    <w:uiPriority w:val="21"/>
    <w:qFormat/>
    <w:rsid w:val="00D33F05"/>
    <w:rPr>
      <w:i/>
      <w:iCs/>
      <w:color w:val="2F5496" w:themeColor="accent1" w:themeShade="BF"/>
    </w:rPr>
  </w:style>
  <w:style w:type="paragraph" w:styleId="IntenseQuote">
    <w:name w:val="Intense Quote"/>
    <w:basedOn w:val="Normal"/>
    <w:next w:val="Normal"/>
    <w:link w:val="IntenseQuoteChar"/>
    <w:uiPriority w:val="30"/>
    <w:qFormat/>
    <w:rsid w:val="00D33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F0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33F05"/>
    <w:rPr>
      <w:b/>
      <w:bCs/>
      <w:smallCaps/>
      <w:color w:val="2F5496" w:themeColor="accent1" w:themeShade="BF"/>
      <w:spacing w:val="5"/>
    </w:rPr>
  </w:style>
  <w:style w:type="character" w:styleId="Strong">
    <w:name w:val="Strong"/>
    <w:basedOn w:val="DefaultParagraphFont"/>
    <w:uiPriority w:val="22"/>
    <w:qFormat/>
    <w:rsid w:val="00FE0CE7"/>
    <w:rPr>
      <w:b/>
      <w:bCs/>
    </w:rPr>
  </w:style>
  <w:style w:type="paragraph" w:styleId="NormalWeb">
    <w:name w:val="Normal (Web)"/>
    <w:basedOn w:val="Normal"/>
    <w:uiPriority w:val="99"/>
    <w:semiHidden/>
    <w:unhideWhenUsed/>
    <w:rsid w:val="00FE0CE7"/>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346926">
      <w:bodyDiv w:val="1"/>
      <w:marLeft w:val="0"/>
      <w:marRight w:val="0"/>
      <w:marTop w:val="0"/>
      <w:marBottom w:val="0"/>
      <w:divBdr>
        <w:top w:val="none" w:sz="0" w:space="0" w:color="auto"/>
        <w:left w:val="none" w:sz="0" w:space="0" w:color="auto"/>
        <w:bottom w:val="none" w:sz="0" w:space="0" w:color="auto"/>
        <w:right w:val="none" w:sz="0" w:space="0" w:color="auto"/>
      </w:divBdr>
    </w:div>
    <w:div w:id="892544341">
      <w:bodyDiv w:val="1"/>
      <w:marLeft w:val="0"/>
      <w:marRight w:val="0"/>
      <w:marTop w:val="0"/>
      <w:marBottom w:val="0"/>
      <w:divBdr>
        <w:top w:val="none" w:sz="0" w:space="0" w:color="auto"/>
        <w:left w:val="none" w:sz="0" w:space="0" w:color="auto"/>
        <w:bottom w:val="none" w:sz="0" w:space="0" w:color="auto"/>
        <w:right w:val="none" w:sz="0" w:space="0" w:color="auto"/>
      </w:divBdr>
      <w:divsChild>
        <w:div w:id="96989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96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365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627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885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114607">
      <w:bodyDiv w:val="1"/>
      <w:marLeft w:val="0"/>
      <w:marRight w:val="0"/>
      <w:marTop w:val="0"/>
      <w:marBottom w:val="0"/>
      <w:divBdr>
        <w:top w:val="none" w:sz="0" w:space="0" w:color="auto"/>
        <w:left w:val="none" w:sz="0" w:space="0" w:color="auto"/>
        <w:bottom w:val="none" w:sz="0" w:space="0" w:color="auto"/>
        <w:right w:val="none" w:sz="0" w:space="0" w:color="auto"/>
      </w:divBdr>
      <w:divsChild>
        <w:div w:id="164076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553833">
      <w:bodyDiv w:val="1"/>
      <w:marLeft w:val="0"/>
      <w:marRight w:val="0"/>
      <w:marTop w:val="0"/>
      <w:marBottom w:val="0"/>
      <w:divBdr>
        <w:top w:val="none" w:sz="0" w:space="0" w:color="auto"/>
        <w:left w:val="none" w:sz="0" w:space="0" w:color="auto"/>
        <w:bottom w:val="none" w:sz="0" w:space="0" w:color="auto"/>
        <w:right w:val="none" w:sz="0" w:space="0" w:color="auto"/>
      </w:divBdr>
      <w:divsChild>
        <w:div w:id="1615475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31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40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638608418">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21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71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95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7566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68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93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384061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497100">
      <w:bodyDiv w:val="1"/>
      <w:marLeft w:val="0"/>
      <w:marRight w:val="0"/>
      <w:marTop w:val="0"/>
      <w:marBottom w:val="0"/>
      <w:divBdr>
        <w:top w:val="none" w:sz="0" w:space="0" w:color="auto"/>
        <w:left w:val="none" w:sz="0" w:space="0" w:color="auto"/>
        <w:bottom w:val="none" w:sz="0" w:space="0" w:color="auto"/>
        <w:right w:val="none" w:sz="0" w:space="0" w:color="auto"/>
      </w:divBdr>
      <w:divsChild>
        <w:div w:id="1190141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70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96273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96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28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687492021">
          <w:blockQuote w:val="1"/>
          <w:marLeft w:val="720"/>
          <w:marRight w:val="720"/>
          <w:marTop w:val="100"/>
          <w:marBottom w:val="100"/>
          <w:divBdr>
            <w:top w:val="none" w:sz="0" w:space="0" w:color="auto"/>
            <w:left w:val="none" w:sz="0" w:space="0" w:color="auto"/>
            <w:bottom w:val="none" w:sz="0" w:space="0" w:color="auto"/>
            <w:right w:val="none" w:sz="0" w:space="0" w:color="auto"/>
          </w:divBdr>
        </w:div>
        <w:div w:id="49304590">
          <w:blockQuote w:val="1"/>
          <w:marLeft w:val="720"/>
          <w:marRight w:val="720"/>
          <w:marTop w:val="100"/>
          <w:marBottom w:val="100"/>
          <w:divBdr>
            <w:top w:val="none" w:sz="0" w:space="0" w:color="auto"/>
            <w:left w:val="none" w:sz="0" w:space="0" w:color="auto"/>
            <w:bottom w:val="none" w:sz="0" w:space="0" w:color="auto"/>
            <w:right w:val="none" w:sz="0" w:space="0" w:color="auto"/>
          </w:divBdr>
        </w:div>
        <w:div w:id="708384400">
          <w:blockQuote w:val="1"/>
          <w:marLeft w:val="720"/>
          <w:marRight w:val="720"/>
          <w:marTop w:val="100"/>
          <w:marBottom w:val="100"/>
          <w:divBdr>
            <w:top w:val="none" w:sz="0" w:space="0" w:color="auto"/>
            <w:left w:val="none" w:sz="0" w:space="0" w:color="auto"/>
            <w:bottom w:val="none" w:sz="0" w:space="0" w:color="auto"/>
            <w:right w:val="none" w:sz="0" w:space="0" w:color="auto"/>
          </w:divBdr>
        </w:div>
        <w:div w:id="557135912">
          <w:blockQuote w:val="1"/>
          <w:marLeft w:val="720"/>
          <w:marRight w:val="720"/>
          <w:marTop w:val="100"/>
          <w:marBottom w:val="100"/>
          <w:divBdr>
            <w:top w:val="none" w:sz="0" w:space="0" w:color="auto"/>
            <w:left w:val="none" w:sz="0" w:space="0" w:color="auto"/>
            <w:bottom w:val="none" w:sz="0" w:space="0" w:color="auto"/>
            <w:right w:val="none" w:sz="0" w:space="0" w:color="auto"/>
          </w:divBdr>
        </w:div>
        <w:div w:id="823470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545801">
      <w:bodyDiv w:val="1"/>
      <w:marLeft w:val="0"/>
      <w:marRight w:val="0"/>
      <w:marTop w:val="0"/>
      <w:marBottom w:val="0"/>
      <w:divBdr>
        <w:top w:val="none" w:sz="0" w:space="0" w:color="auto"/>
        <w:left w:val="none" w:sz="0" w:space="0" w:color="auto"/>
        <w:bottom w:val="none" w:sz="0" w:space="0" w:color="auto"/>
        <w:right w:val="none" w:sz="0" w:space="0" w:color="auto"/>
      </w:divBdr>
      <w:divsChild>
        <w:div w:id="67804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954221">
          <w:blockQuote w:val="1"/>
          <w:marLeft w:val="720"/>
          <w:marRight w:val="720"/>
          <w:marTop w:val="100"/>
          <w:marBottom w:val="100"/>
          <w:divBdr>
            <w:top w:val="none" w:sz="0" w:space="0" w:color="auto"/>
            <w:left w:val="none" w:sz="0" w:space="0" w:color="auto"/>
            <w:bottom w:val="none" w:sz="0" w:space="0" w:color="auto"/>
            <w:right w:val="none" w:sz="0" w:space="0" w:color="auto"/>
          </w:divBdr>
        </w:div>
        <w:div w:id="863058568">
          <w:blockQuote w:val="1"/>
          <w:marLeft w:val="720"/>
          <w:marRight w:val="720"/>
          <w:marTop w:val="100"/>
          <w:marBottom w:val="100"/>
          <w:divBdr>
            <w:top w:val="none" w:sz="0" w:space="0" w:color="auto"/>
            <w:left w:val="none" w:sz="0" w:space="0" w:color="auto"/>
            <w:bottom w:val="none" w:sz="0" w:space="0" w:color="auto"/>
            <w:right w:val="none" w:sz="0" w:space="0" w:color="auto"/>
          </w:divBdr>
        </w:div>
        <w:div w:id="240910993">
          <w:blockQuote w:val="1"/>
          <w:marLeft w:val="720"/>
          <w:marRight w:val="720"/>
          <w:marTop w:val="100"/>
          <w:marBottom w:val="100"/>
          <w:divBdr>
            <w:top w:val="none" w:sz="0" w:space="0" w:color="auto"/>
            <w:left w:val="none" w:sz="0" w:space="0" w:color="auto"/>
            <w:bottom w:val="none" w:sz="0" w:space="0" w:color="auto"/>
            <w:right w:val="none" w:sz="0" w:space="0" w:color="auto"/>
          </w:divBdr>
        </w:div>
        <w:div w:id="72280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500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492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841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16212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3930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643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4747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14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82949">
      <w:bodyDiv w:val="1"/>
      <w:marLeft w:val="0"/>
      <w:marRight w:val="0"/>
      <w:marTop w:val="0"/>
      <w:marBottom w:val="0"/>
      <w:divBdr>
        <w:top w:val="none" w:sz="0" w:space="0" w:color="auto"/>
        <w:left w:val="none" w:sz="0" w:space="0" w:color="auto"/>
        <w:bottom w:val="none" w:sz="0" w:space="0" w:color="auto"/>
        <w:right w:val="none" w:sz="0" w:space="0" w:color="auto"/>
      </w:divBdr>
      <w:divsChild>
        <w:div w:id="132608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97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97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27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8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83842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9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482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51434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4189</Words>
  <Characters>23879</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2025-01-14T15:58:00Z</dcterms:created>
  <dcterms:modified xsi:type="dcterms:W3CDTF">2025-01-14T16:33:00Z</dcterms:modified>
</cp:coreProperties>
</file>