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E3EB9" w14:textId="387D682B" w:rsidR="00312A05" w:rsidRPr="00B4539E" w:rsidRDefault="004601F9" w:rsidP="00B4539E">
      <w:pPr>
        <w:spacing w:before="100" w:beforeAutospacing="1" w:after="100" w:afterAutospacing="1" w:line="360" w:lineRule="auto"/>
        <w:outlineLvl w:val="2"/>
        <w:rPr>
          <w:rFonts w:ascii="Times New Roman" w:hAnsi="Times New Roman"/>
          <w:b/>
          <w:bCs/>
          <w:lang w:val="en-HK"/>
        </w:rPr>
      </w:pPr>
      <w:r w:rsidRPr="00B4539E">
        <w:rPr>
          <w:rFonts w:ascii="Times New Roman" w:hAnsi="Times New Roman" w:hint="eastAsia"/>
          <w:b/>
          <w:bCs/>
          <w:lang w:val="en-HK"/>
        </w:rPr>
        <w:t xml:space="preserve">1. </w:t>
      </w:r>
      <w:r w:rsidR="00312A05" w:rsidRPr="00B4539E">
        <w:rPr>
          <w:rFonts w:ascii="Times New Roman" w:hAnsi="Times New Roman"/>
          <w:b/>
          <w:bCs/>
          <w:lang w:val="en-HK"/>
        </w:rPr>
        <w:t>The Concept of Appropriation in the Theft Act 1968</w:t>
      </w:r>
    </w:p>
    <w:p w14:paraId="5FF9129A"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Statutory Framework</w:t>
      </w:r>
    </w:p>
    <w:p w14:paraId="714B7E27"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The </w:t>
      </w:r>
      <w:r w:rsidRPr="00B4539E">
        <w:rPr>
          <w:rFonts w:ascii="Times New Roman" w:hAnsi="Times New Roman"/>
          <w:b/>
          <w:bCs/>
          <w:lang w:val="en-HK"/>
        </w:rPr>
        <w:t>Theft Act 1968</w:t>
      </w:r>
      <w:r w:rsidRPr="00B4539E">
        <w:rPr>
          <w:rFonts w:ascii="Times New Roman" w:hAnsi="Times New Roman"/>
          <w:lang w:val="en-HK"/>
        </w:rPr>
        <w:t xml:space="preserve"> redefined the actus reus of theft by replacing the Larceny Act 1916’s requirement of "taking and carrying away" with </w:t>
      </w:r>
      <w:r w:rsidRPr="00B4539E">
        <w:rPr>
          <w:rFonts w:ascii="Times New Roman" w:hAnsi="Times New Roman"/>
          <w:b/>
          <w:bCs/>
          <w:lang w:val="en-HK"/>
        </w:rPr>
        <w:t>appropriation</w:t>
      </w:r>
      <w:r w:rsidRPr="00B4539E">
        <w:rPr>
          <w:rFonts w:ascii="Times New Roman" w:hAnsi="Times New Roman"/>
          <w:lang w:val="en-HK"/>
        </w:rPr>
        <w:t>. Section 1(1) of the Theft Act states:</w:t>
      </w:r>
    </w:p>
    <w:p w14:paraId="783380B2"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 person is guilty of theft if he dishonestly appropriates property belonging to another with the intention of permanently depriving the other of it."</w:t>
      </w:r>
    </w:p>
    <w:p w14:paraId="6ADD277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Section 3(1) further defines appropriation as:</w:t>
      </w:r>
    </w:p>
    <w:p w14:paraId="41401BB5"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"Any assumption by a person of the rights of an owner… including any later assumption of a right to it by keeping or dealing with it as owner."</w:t>
      </w:r>
    </w:p>
    <w:p w14:paraId="5373C4FF"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This seemingly straightforward shift introduced ambiguities. As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argues:</w:t>
      </w:r>
    </w:p>
    <w:p w14:paraId="1B59471A"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inclusion of appropriation as a central element in theft, rather than simpler removal, has generated confusion and inconsistency in judicial interpretation."</w:t>
      </w:r>
    </w:p>
    <w:p w14:paraId="4B096977" w14:textId="77777777" w:rsidR="00312A05" w:rsidRPr="00B4539E" w:rsidRDefault="00CC6BD9" w:rsidP="00B4539E">
      <w:pPr>
        <w:spacing w:line="360" w:lineRule="auto"/>
        <w:rPr>
          <w:rFonts w:ascii="Times New Roman" w:hAnsi="Times New Roman"/>
          <w:lang w:val="en-HK"/>
        </w:rPr>
      </w:pPr>
      <w:r w:rsidRPr="00CC6BD9">
        <w:rPr>
          <w:noProof/>
          <w:lang w:val="en-HK"/>
          <w14:ligatures w14:val="standardContextual"/>
        </w:rPr>
        <w:pict w14:anchorId="56916EAB">
          <v:rect id="_x0000_i1038" alt="" style="width:451.3pt;height:.05pt;mso-width-percent:0;mso-height-percent:0;mso-width-percent:0;mso-height-percent:0" o:hralign="center" o:hrstd="t" o:hr="t" fillcolor="#a0a0a0" stroked="f"/>
        </w:pict>
      </w:r>
    </w:p>
    <w:p w14:paraId="431FDCD6"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Judicial Development of Appropriation</w:t>
      </w:r>
    </w:p>
    <w:p w14:paraId="3867D915"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 v Lawrence [1972] AC 626</w:t>
      </w:r>
    </w:p>
    <w:p w14:paraId="02FFBE3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Facts</w:t>
      </w:r>
      <w:r w:rsidRPr="00B4539E">
        <w:rPr>
          <w:rFonts w:ascii="Times New Roman" w:hAnsi="Times New Roman"/>
          <w:lang w:val="en-HK"/>
        </w:rPr>
        <w:t>: An Italian student visiting London gave his wallet to a taxi driver, who took an excessive fare.</w:t>
      </w:r>
    </w:p>
    <w:p w14:paraId="283117AD"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Holding</w:t>
      </w:r>
      <w:r w:rsidRPr="00B4539E">
        <w:rPr>
          <w:rFonts w:ascii="Times New Roman" w:hAnsi="Times New Roman"/>
          <w:lang w:val="en-HK"/>
        </w:rPr>
        <w:t>: The House of Lords held that appropriation can occur even with the owner’s consent. Lord Keith stated:</w:t>
      </w:r>
    </w:p>
    <w:p w14:paraId="7E661D91"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"Appropriation is a neutral act, and consent is irrelevant to its occurrence."</w:t>
      </w:r>
    </w:p>
    <w:p w14:paraId="2E892CBA"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Impact</w:t>
      </w:r>
      <w:r w:rsidRPr="00B4539E">
        <w:rPr>
          <w:rFonts w:ascii="Times New Roman" w:hAnsi="Times New Roman"/>
          <w:lang w:val="en-HK"/>
        </w:rPr>
        <w:t>: This decision rejected the Larceny Act’s absence-of-consent requirement, broadening the concept of appropriation to include consensual transactions.</w:t>
      </w:r>
    </w:p>
    <w:p w14:paraId="5F85A85F"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lastRenderedPageBreak/>
        <w:t>R v Gomez [1993] AC 442</w:t>
      </w:r>
    </w:p>
    <w:p w14:paraId="25992552"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Facts</w:t>
      </w:r>
      <w:r w:rsidRPr="00B4539E">
        <w:rPr>
          <w:rFonts w:ascii="Times New Roman" w:hAnsi="Times New Roman"/>
          <w:lang w:val="en-HK"/>
        </w:rPr>
        <w:t>: A shop assistant deceived his manager into accepting stolen cheques as payment for goods. The manager consented, unaware of the fraud.</w:t>
      </w:r>
    </w:p>
    <w:p w14:paraId="7F398856"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Holding</w:t>
      </w:r>
      <w:r w:rsidRPr="00B4539E">
        <w:rPr>
          <w:rFonts w:ascii="Times New Roman" w:hAnsi="Times New Roman"/>
          <w:lang w:val="en-HK"/>
        </w:rPr>
        <w:t>: The House of Lords reaffirmed Lawrence, emphasizing that consent does not negate appropriation. Lord Keith explained:</w:t>
      </w:r>
    </w:p>
    <w:p w14:paraId="5D304B5E"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Theft Act 1968 does not require an adverse interference with or usurpation of the owner’s rights for appropriation to occur."</w:t>
      </w:r>
    </w:p>
    <w:p w14:paraId="20C8463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Critique</w:t>
      </w:r>
      <w:r w:rsidRPr="00B4539E">
        <w:rPr>
          <w:rFonts w:ascii="Times New Roman" w:hAnsi="Times New Roman"/>
          <w:lang w:val="en-HK"/>
        </w:rPr>
        <w:t xml:space="preserve">: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observes that Gomez marks the erosion of a "meaningful actus reus," leaving dishonesty as the primary determinant of theft.</w:t>
      </w:r>
    </w:p>
    <w:p w14:paraId="3E3A897E"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 v Hinks [2001] 4 All ER 833</w:t>
      </w:r>
    </w:p>
    <w:p w14:paraId="66B9749F"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Facts</w:t>
      </w:r>
      <w:r w:rsidRPr="00B4539E">
        <w:rPr>
          <w:rFonts w:ascii="Times New Roman" w:hAnsi="Times New Roman"/>
          <w:lang w:val="en-HK"/>
        </w:rPr>
        <w:t>: The defendant received substantial gifts from a man with learning disabilities.</w:t>
      </w:r>
    </w:p>
    <w:p w14:paraId="73BBED65" w14:textId="4AD9DC0C"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Holding</w:t>
      </w:r>
      <w:r w:rsidRPr="00B4539E">
        <w:rPr>
          <w:rFonts w:ascii="Times New Roman" w:hAnsi="Times New Roman"/>
          <w:lang w:val="en-HK"/>
        </w:rPr>
        <w:t xml:space="preserve">: The House of Lords ruled that valid civil gifts could still amount to appropriation if dishonesty </w:t>
      </w:r>
      <w:r w:rsidR="004601F9" w:rsidRPr="00B4539E">
        <w:rPr>
          <w:rFonts w:ascii="Times New Roman" w:hAnsi="Times New Roman" w:hint="eastAsia"/>
          <w:lang w:val="en-HK"/>
        </w:rPr>
        <w:t>existed</w:t>
      </w:r>
      <w:r w:rsidRPr="00B4539E">
        <w:rPr>
          <w:rFonts w:ascii="Times New Roman" w:hAnsi="Times New Roman"/>
          <w:lang w:val="en-HK"/>
        </w:rPr>
        <w:t>. Lord Steyn remarked:</w:t>
      </w:r>
    </w:p>
    <w:p w14:paraId="0B8F42A4"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"Civil validity of the transaction does not preclude criminal liability for theft."</w:t>
      </w:r>
    </w:p>
    <w:p w14:paraId="11FC464D"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Scholarly Criticism</w:t>
      </w:r>
      <w:r w:rsidRPr="00B4539E">
        <w:rPr>
          <w:rFonts w:ascii="Times New Roman" w:hAnsi="Times New Roman"/>
          <w:lang w:val="en-HK"/>
        </w:rPr>
        <w:t>:</w:t>
      </w:r>
    </w:p>
    <w:p w14:paraId="1621BEB5"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Lord Hobhouse dissented, describing the concept of appropriation as “wholly </w:t>
      </w:r>
      <w:proofErr w:type="spellStart"/>
      <w:r w:rsidRPr="00B4539E">
        <w:rPr>
          <w:rFonts w:ascii="Times New Roman" w:hAnsi="Times New Roman"/>
          <w:lang w:val="en-HK"/>
        </w:rPr>
        <w:t>colorless</w:t>
      </w:r>
      <w:proofErr w:type="spellEnd"/>
      <w:r w:rsidRPr="00B4539E">
        <w:rPr>
          <w:rFonts w:ascii="Times New Roman" w:hAnsi="Times New Roman"/>
          <w:lang w:val="en-HK"/>
        </w:rPr>
        <w:t>.”</w:t>
      </w:r>
    </w:p>
    <w:p w14:paraId="279DEB37" w14:textId="5C5C4202"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Clarkson and Keating criticized Hinks for creating a stark divide between civil</w:t>
      </w:r>
      <w:r w:rsidR="004601F9" w:rsidRPr="00B4539E">
        <w:rPr>
          <w:rFonts w:ascii="Times New Roman" w:hAnsi="Times New Roman" w:hint="eastAsia"/>
          <w:lang w:val="en-HK"/>
        </w:rPr>
        <w:t xml:space="preserve"> </w:t>
      </w:r>
      <w:r w:rsidRPr="00B4539E">
        <w:rPr>
          <w:rFonts w:ascii="Times New Roman" w:hAnsi="Times New Roman"/>
          <w:lang w:val="en-HK"/>
        </w:rPr>
        <w:t>and criminal law, arguing:</w:t>
      </w:r>
    </w:p>
    <w:p w14:paraId="70555F11"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 coherent legal system should not permit valid gifts in civil law to be deemed criminal appropriations."</w:t>
      </w:r>
    </w:p>
    <w:p w14:paraId="162CF0F6"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 xml:space="preserve">R v </w:t>
      </w:r>
      <w:proofErr w:type="spellStart"/>
      <w:r w:rsidRPr="00B4539E">
        <w:rPr>
          <w:rFonts w:ascii="Times New Roman" w:hAnsi="Times New Roman"/>
          <w:b/>
          <w:bCs/>
          <w:lang w:val="en-HK"/>
        </w:rPr>
        <w:t>Gallasso</w:t>
      </w:r>
      <w:proofErr w:type="spellEnd"/>
      <w:r w:rsidRPr="00B4539E">
        <w:rPr>
          <w:rFonts w:ascii="Times New Roman" w:hAnsi="Times New Roman"/>
          <w:b/>
          <w:bCs/>
          <w:lang w:val="en-HK"/>
        </w:rPr>
        <w:t xml:space="preserve"> [1994] 98 Cr App R 284</w:t>
      </w:r>
    </w:p>
    <w:p w14:paraId="5524C27E"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Facts</w:t>
      </w:r>
      <w:r w:rsidRPr="00B4539E">
        <w:rPr>
          <w:rFonts w:ascii="Times New Roman" w:hAnsi="Times New Roman"/>
          <w:lang w:val="en-HK"/>
        </w:rPr>
        <w:t>: A nurse deposited cheques into a disabled patient’s account without exploiting them for personal gain.</w:t>
      </w:r>
    </w:p>
    <w:p w14:paraId="7E462D4B"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lastRenderedPageBreak/>
        <w:t>Holding</w:t>
      </w:r>
      <w:r w:rsidRPr="00B4539E">
        <w:rPr>
          <w:rFonts w:ascii="Times New Roman" w:hAnsi="Times New Roman"/>
          <w:lang w:val="en-HK"/>
        </w:rPr>
        <w:t>: The Court of Appeal emphasized that appropriation must involve conduct inconsistent with the owner’s rights. Lloyd LJ explained:</w:t>
      </w:r>
    </w:p>
    <w:p w14:paraId="6544880F"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defendant’s actions did not constitute appropriation as they affirmed rather than usurped the owner’s rights."</w:t>
      </w:r>
    </w:p>
    <w:p w14:paraId="1124A45C" w14:textId="77777777" w:rsidR="00312A05" w:rsidRPr="00B4539E" w:rsidRDefault="00CC6BD9" w:rsidP="00B4539E">
      <w:pPr>
        <w:spacing w:line="360" w:lineRule="auto"/>
        <w:rPr>
          <w:rFonts w:ascii="Times New Roman" w:hAnsi="Times New Roman"/>
          <w:lang w:val="en-HK"/>
        </w:rPr>
      </w:pPr>
      <w:r>
        <w:pict w14:anchorId="049BD20D">
          <v:rect id="Horizontal Line 5"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C20908"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Key Problems with Appropriation</w:t>
      </w:r>
    </w:p>
    <w:p w14:paraId="3FE146CE"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Trivialization of Theft</w:t>
      </w:r>
      <w:r w:rsidRPr="00B4539E">
        <w:rPr>
          <w:rFonts w:ascii="Times New Roman" w:hAnsi="Times New Roman"/>
          <w:lang w:val="en-HK"/>
        </w:rPr>
        <w:t>:</w:t>
      </w:r>
    </w:p>
    <w:p w14:paraId="406630F1"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The expansive definition of appropriation risks criminalizing everyday acts. For example:</w:t>
      </w:r>
    </w:p>
    <w:p w14:paraId="2B705ACE"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In </w:t>
      </w:r>
      <w:r w:rsidRPr="00B4539E">
        <w:rPr>
          <w:rFonts w:ascii="Times New Roman" w:hAnsi="Times New Roman"/>
          <w:b/>
          <w:bCs/>
          <w:lang w:val="en-HK"/>
        </w:rPr>
        <w:t xml:space="preserve">Eddy v </w:t>
      </w:r>
      <w:proofErr w:type="spellStart"/>
      <w:r w:rsidRPr="00B4539E">
        <w:rPr>
          <w:rFonts w:ascii="Times New Roman" w:hAnsi="Times New Roman"/>
          <w:b/>
          <w:bCs/>
          <w:lang w:val="en-HK"/>
        </w:rPr>
        <w:t>Niman</w:t>
      </w:r>
      <w:proofErr w:type="spellEnd"/>
      <w:r w:rsidRPr="00B4539E">
        <w:rPr>
          <w:rFonts w:ascii="Times New Roman" w:hAnsi="Times New Roman"/>
          <w:b/>
          <w:bCs/>
          <w:lang w:val="en-HK"/>
        </w:rPr>
        <w:t xml:space="preserve"> [1981] 73 Cr App R 237</w:t>
      </w:r>
      <w:r w:rsidRPr="00B4539E">
        <w:rPr>
          <w:rFonts w:ascii="Times New Roman" w:hAnsi="Times New Roman"/>
          <w:lang w:val="en-HK"/>
        </w:rPr>
        <w:t>, the defendant abandoned goods in a trolley before paying. The court found no appropriation, as there was no interference with the owner’s rights.</w:t>
      </w:r>
    </w:p>
    <w:p w14:paraId="10584EBB"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Reliance on Dishonesty</w:t>
      </w:r>
      <w:r w:rsidRPr="00B4539E">
        <w:rPr>
          <w:rFonts w:ascii="Times New Roman" w:hAnsi="Times New Roman"/>
          <w:lang w:val="en-HK"/>
        </w:rPr>
        <w:t>:</w:t>
      </w:r>
    </w:p>
    <w:p w14:paraId="26D110C3"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Removing subjectivity from appropriation shifts focus to dishonesty. However, the </w:t>
      </w:r>
      <w:r w:rsidRPr="00B4539E">
        <w:rPr>
          <w:rFonts w:ascii="Times New Roman" w:hAnsi="Times New Roman"/>
          <w:b/>
          <w:bCs/>
          <w:lang w:val="en-HK"/>
        </w:rPr>
        <w:t>Ghosh test</w:t>
      </w:r>
      <w:r w:rsidRPr="00B4539E">
        <w:rPr>
          <w:rFonts w:ascii="Times New Roman" w:hAnsi="Times New Roman"/>
          <w:lang w:val="en-HK"/>
        </w:rPr>
        <w:t xml:space="preserve"> for dishonesty has been criticized for its vagueness:</w:t>
      </w:r>
    </w:p>
    <w:p w14:paraId="3D7CBE7D"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"Dishonesty as defined in Ghosh is overly subjective and dependent on juror interpretation, undermining legal certainty" (</w:t>
      </w:r>
      <w:proofErr w:type="spellStart"/>
      <w:r w:rsidRPr="00B4539E">
        <w:rPr>
          <w:rFonts w:ascii="Times New Roman" w:hAnsi="Times New Roman"/>
          <w:lang w:val="en-HK"/>
        </w:rPr>
        <w:t>Melissaris</w:t>
      </w:r>
      <w:proofErr w:type="spellEnd"/>
      <w:r w:rsidRPr="00B4539E">
        <w:rPr>
          <w:rFonts w:ascii="Times New Roman" w:hAnsi="Times New Roman"/>
          <w:lang w:val="en-HK"/>
        </w:rPr>
        <w:t>).</w:t>
      </w:r>
    </w:p>
    <w:p w14:paraId="75A49D5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Collapse of Theft and Deception</w:t>
      </w:r>
      <w:r w:rsidRPr="00B4539E">
        <w:rPr>
          <w:rFonts w:ascii="Times New Roman" w:hAnsi="Times New Roman"/>
          <w:lang w:val="en-HK"/>
        </w:rPr>
        <w:t>:</w:t>
      </w:r>
    </w:p>
    <w:p w14:paraId="4735344D"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Gomez and Hinks blur the lines between theft and deception offenses.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notes:</w:t>
      </w:r>
    </w:p>
    <w:p w14:paraId="5F244710"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concept of appropriation now encompasses acts traditionally associated with deception, eroding the moral and legal distinction between these offenses."</w:t>
      </w:r>
    </w:p>
    <w:p w14:paraId="0DC70988" w14:textId="77777777" w:rsidR="00312A05" w:rsidRPr="00B4539E" w:rsidRDefault="00CC6BD9" w:rsidP="00B4539E">
      <w:pPr>
        <w:spacing w:line="360" w:lineRule="auto"/>
        <w:rPr>
          <w:rFonts w:ascii="Times New Roman" w:hAnsi="Times New Roman"/>
          <w:lang w:val="en-HK"/>
        </w:rPr>
      </w:pPr>
      <w:r>
        <w:pict w14:anchorId="6B67E65F">
          <v:rect id="Horizontal Line 6"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F1A7B5" w14:textId="77777777" w:rsidR="00B4539E" w:rsidRPr="00B4539E" w:rsidRDefault="00B4539E" w:rsidP="00B4539E">
      <w:pPr>
        <w:spacing w:before="100" w:beforeAutospacing="1" w:after="100" w:afterAutospacing="1" w:line="360" w:lineRule="auto"/>
        <w:outlineLvl w:val="2"/>
        <w:rPr>
          <w:rFonts w:ascii="Times New Roman" w:hAnsi="Times New Roman"/>
          <w:b/>
          <w:bCs/>
          <w:lang w:val="en-HK"/>
        </w:rPr>
      </w:pPr>
      <w:r w:rsidRPr="00B4539E">
        <w:rPr>
          <w:rFonts w:ascii="Times New Roman" w:hAnsi="Times New Roman"/>
          <w:b/>
          <w:bCs/>
          <w:lang w:val="en-HK"/>
        </w:rPr>
        <w:t>2. Appropriation: Objective vs. Subjective</w:t>
      </w:r>
    </w:p>
    <w:p w14:paraId="69BBC423" w14:textId="77777777" w:rsidR="00B4539E" w:rsidRPr="00B4539E" w:rsidRDefault="00B4539E"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Objective Conception of Appropriation</w:t>
      </w:r>
    </w:p>
    <w:p w14:paraId="63605671"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lastRenderedPageBreak/>
        <w:t xml:space="preserve">The objective approach to appropriation emerged prominently in </w:t>
      </w:r>
      <w:r w:rsidRPr="00B4539E">
        <w:rPr>
          <w:rFonts w:ascii="Times New Roman" w:hAnsi="Times New Roman"/>
          <w:b/>
          <w:bCs/>
          <w:lang w:val="en-HK"/>
        </w:rPr>
        <w:t>R v Gomez [1993] AC 442</w:t>
      </w:r>
      <w:r w:rsidRPr="00B4539E">
        <w:rPr>
          <w:rFonts w:ascii="Times New Roman" w:hAnsi="Times New Roman"/>
          <w:lang w:val="en-HK"/>
        </w:rPr>
        <w:t>. This approach focuses solely on the physical assumption of the owner’s rights, treating appropriation as an act that can occur independently of the defendant’s intention or mental state. It prioritizes the defendant’s actions over subjective factors, such as intent or consent, creating a definition where appropriation occurs irrespective of whether the act was lawful, consensual, or trivial.</w:t>
      </w:r>
    </w:p>
    <w:p w14:paraId="01E12431"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Section 3(1) of the </w:t>
      </w:r>
      <w:r w:rsidRPr="00B4539E">
        <w:rPr>
          <w:rFonts w:ascii="Times New Roman" w:hAnsi="Times New Roman"/>
          <w:b/>
          <w:bCs/>
          <w:lang w:val="en-HK"/>
        </w:rPr>
        <w:t>Theft Act 1968</w:t>
      </w:r>
      <w:r w:rsidRPr="00B4539E">
        <w:rPr>
          <w:rFonts w:ascii="Times New Roman" w:hAnsi="Times New Roman"/>
          <w:lang w:val="en-HK"/>
        </w:rPr>
        <w:t xml:space="preserve"> defines appropriation as:</w:t>
      </w:r>
    </w:p>
    <w:p w14:paraId="353617EF"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"Any assumption of the rights of the owner… including any later assumption of a right to it by keeping or dealing with it as owner."</w:t>
      </w:r>
    </w:p>
    <w:p w14:paraId="77410523"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Under this approach, appropriation does not require any adverse interference or wrongful intent. Instead, it focuses on whether the defendant physically handled or controlled the property in a manner consistent with the owner’s rights.</w:t>
      </w:r>
    </w:p>
    <w:p w14:paraId="146F1457" w14:textId="77777777" w:rsidR="00B4539E" w:rsidRPr="00B4539E" w:rsidRDefault="00B4539E"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Judicial Evolution</w:t>
      </w:r>
    </w:p>
    <w:p w14:paraId="046C146B" w14:textId="77777777" w:rsidR="00B4539E" w:rsidRPr="00B4539E" w:rsidRDefault="00B4539E" w:rsidP="00B4539E">
      <w:pPr>
        <w:numPr>
          <w:ilvl w:val="0"/>
          <w:numId w:val="34"/>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 v Lawrence [1972] AC 626</w:t>
      </w:r>
      <w:r w:rsidRPr="00B4539E">
        <w:rPr>
          <w:rFonts w:ascii="Times New Roman" w:hAnsi="Times New Roman"/>
          <w:lang w:val="en-HK"/>
        </w:rPr>
        <w:t>:</w:t>
      </w:r>
    </w:p>
    <w:p w14:paraId="4157F2EF"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Facts</w:t>
      </w:r>
      <w:r w:rsidRPr="00B4539E">
        <w:rPr>
          <w:rFonts w:ascii="Times New Roman" w:hAnsi="Times New Roman"/>
          <w:lang w:val="en-HK"/>
        </w:rPr>
        <w:t>: A taxi driver deceived an Italian student into overpaying for a ride by taking an excessive amount from his wallet.</w:t>
      </w:r>
    </w:p>
    <w:p w14:paraId="660F9F27"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Holding</w:t>
      </w:r>
      <w:r w:rsidRPr="00B4539E">
        <w:rPr>
          <w:rFonts w:ascii="Times New Roman" w:hAnsi="Times New Roman"/>
          <w:lang w:val="en-HK"/>
        </w:rPr>
        <w:t>: The House of Lords ruled that appropriation could occur even with the owner’s consent, rejecting the necessity for absence of consent.</w:t>
      </w:r>
    </w:p>
    <w:p w14:paraId="00597D54"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Lord Keith emphasized:</w:t>
      </w:r>
    </w:p>
    <w:p w14:paraId="0429B10C"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"Appropriation is a neutral act, and it is immaterial whether the owner consents."</w:t>
      </w:r>
    </w:p>
    <w:p w14:paraId="4E79CF4F"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Impact</w:t>
      </w:r>
      <w:r w:rsidRPr="00B4539E">
        <w:rPr>
          <w:rFonts w:ascii="Times New Roman" w:hAnsi="Times New Roman"/>
          <w:lang w:val="en-HK"/>
        </w:rPr>
        <w:t>: This decision significantly expanded the scope of appropriation, setting the stage for its objective interpretation.</w:t>
      </w:r>
    </w:p>
    <w:p w14:paraId="3212E985" w14:textId="77777777" w:rsidR="00B4539E" w:rsidRPr="00B4539E" w:rsidRDefault="00B4539E" w:rsidP="00B4539E">
      <w:pPr>
        <w:numPr>
          <w:ilvl w:val="0"/>
          <w:numId w:val="34"/>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 v Gomez [1993] AC 442</w:t>
      </w:r>
      <w:r w:rsidRPr="00B4539E">
        <w:rPr>
          <w:rFonts w:ascii="Times New Roman" w:hAnsi="Times New Roman"/>
          <w:lang w:val="en-HK"/>
        </w:rPr>
        <w:t>:</w:t>
      </w:r>
    </w:p>
    <w:p w14:paraId="1A956285"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Facts</w:t>
      </w:r>
      <w:r w:rsidRPr="00B4539E">
        <w:rPr>
          <w:rFonts w:ascii="Times New Roman" w:hAnsi="Times New Roman"/>
          <w:lang w:val="en-HK"/>
        </w:rPr>
        <w:t>: The defendant, a shop assistant, facilitated the sale of goods in exchange for stolen cheques. The manager consented to the transaction, unaware of the fraud.</w:t>
      </w:r>
    </w:p>
    <w:p w14:paraId="6FF13B91"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lastRenderedPageBreak/>
        <w:t>Holding</w:t>
      </w:r>
      <w:r w:rsidRPr="00B4539E">
        <w:rPr>
          <w:rFonts w:ascii="Times New Roman" w:hAnsi="Times New Roman"/>
          <w:lang w:val="en-HK"/>
        </w:rPr>
        <w:t>: The House of Lords affirmed that appropriation does not require adverse interference or usurpation of rights and can occur in consensual transactions. Lord Keith reinforced:</w:t>
      </w:r>
    </w:p>
    <w:p w14:paraId="14870CCF"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"Appropriation must be treated as a neutral act that does not depend on the defendant’s intentions or the owner’s consent."</w:t>
      </w:r>
    </w:p>
    <w:p w14:paraId="1C0320AA"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Criticism</w:t>
      </w:r>
      <w:r w:rsidRPr="00B4539E">
        <w:rPr>
          <w:rFonts w:ascii="Times New Roman" w:hAnsi="Times New Roman"/>
          <w:lang w:val="en-HK"/>
        </w:rPr>
        <w:t>: Gomez effectively disconnected appropriation from adverse interference, creating a framework where the actus reus of theft became overly broad.</w:t>
      </w:r>
    </w:p>
    <w:p w14:paraId="3F08EDD4" w14:textId="77777777" w:rsidR="00B4539E" w:rsidRPr="00B4539E" w:rsidRDefault="00B4539E" w:rsidP="00B4539E">
      <w:pPr>
        <w:numPr>
          <w:ilvl w:val="0"/>
          <w:numId w:val="34"/>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 v Hinks [2001] 4 All ER 833</w:t>
      </w:r>
      <w:r w:rsidRPr="00B4539E">
        <w:rPr>
          <w:rFonts w:ascii="Times New Roman" w:hAnsi="Times New Roman"/>
          <w:lang w:val="en-HK"/>
        </w:rPr>
        <w:t>:</w:t>
      </w:r>
    </w:p>
    <w:p w14:paraId="5498B036"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Facts</w:t>
      </w:r>
      <w:r w:rsidRPr="00B4539E">
        <w:rPr>
          <w:rFonts w:ascii="Times New Roman" w:hAnsi="Times New Roman"/>
          <w:lang w:val="en-HK"/>
        </w:rPr>
        <w:t>: A caregiver received valid gifts from a vulnerable man, which she was later accused of dishonestly appropriating.</w:t>
      </w:r>
    </w:p>
    <w:p w14:paraId="00ACEB6D"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Holding</w:t>
      </w:r>
      <w:r w:rsidRPr="00B4539E">
        <w:rPr>
          <w:rFonts w:ascii="Times New Roman" w:hAnsi="Times New Roman"/>
          <w:lang w:val="en-HK"/>
        </w:rPr>
        <w:t>: The House of Lords ruled that even valid civil law gifts could constitute appropriation if dishonesty was present. The court stated:</w:t>
      </w:r>
    </w:p>
    <w:p w14:paraId="04D065FB"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"The civil validity of the transaction does not preclude criminal liability under the Theft Act."</w:t>
      </w:r>
    </w:p>
    <w:p w14:paraId="49E4F632"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Dissent</w:t>
      </w:r>
      <w:r w:rsidRPr="00B4539E">
        <w:rPr>
          <w:rFonts w:ascii="Times New Roman" w:hAnsi="Times New Roman"/>
          <w:lang w:val="en-HK"/>
        </w:rPr>
        <w:t>:</w:t>
      </w:r>
    </w:p>
    <w:p w14:paraId="6FC5C15A"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Lord Hobhouse criticized the decision, describing the objective approach to appropriation as “wholly </w:t>
      </w:r>
      <w:proofErr w:type="spellStart"/>
      <w:r w:rsidRPr="00B4539E">
        <w:rPr>
          <w:rFonts w:ascii="Times New Roman" w:hAnsi="Times New Roman"/>
          <w:lang w:val="en-HK"/>
        </w:rPr>
        <w:t>colorless</w:t>
      </w:r>
      <w:proofErr w:type="spellEnd"/>
      <w:r w:rsidRPr="00B4539E">
        <w:rPr>
          <w:rFonts w:ascii="Times New Roman" w:hAnsi="Times New Roman"/>
          <w:lang w:val="en-HK"/>
        </w:rPr>
        <w:t>,” arguing:</w:t>
      </w:r>
    </w:p>
    <w:p w14:paraId="1097927C"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"The concept of appropriation has been diluted to include benign or lawful actions, undermining the offense of theft."</w:t>
      </w:r>
    </w:p>
    <w:p w14:paraId="21DB4B08" w14:textId="77777777" w:rsidR="00B4539E" w:rsidRPr="00B4539E" w:rsidRDefault="00B4539E" w:rsidP="00B4539E">
      <w:pPr>
        <w:numPr>
          <w:ilvl w:val="0"/>
          <w:numId w:val="34"/>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 xml:space="preserve">R v </w:t>
      </w:r>
      <w:proofErr w:type="spellStart"/>
      <w:r w:rsidRPr="00B4539E">
        <w:rPr>
          <w:rFonts w:ascii="Times New Roman" w:hAnsi="Times New Roman"/>
          <w:b/>
          <w:bCs/>
          <w:lang w:val="en-HK"/>
        </w:rPr>
        <w:t>Gallasso</w:t>
      </w:r>
      <w:proofErr w:type="spellEnd"/>
      <w:r w:rsidRPr="00B4539E">
        <w:rPr>
          <w:rFonts w:ascii="Times New Roman" w:hAnsi="Times New Roman"/>
          <w:b/>
          <w:bCs/>
          <w:lang w:val="en-HK"/>
        </w:rPr>
        <w:t xml:space="preserve"> [1994] 98 Cr App R 284</w:t>
      </w:r>
      <w:r w:rsidRPr="00B4539E">
        <w:rPr>
          <w:rFonts w:ascii="Times New Roman" w:hAnsi="Times New Roman"/>
          <w:lang w:val="en-HK"/>
        </w:rPr>
        <w:t>:</w:t>
      </w:r>
    </w:p>
    <w:p w14:paraId="74DA3D48"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Facts</w:t>
      </w:r>
      <w:r w:rsidRPr="00B4539E">
        <w:rPr>
          <w:rFonts w:ascii="Times New Roman" w:hAnsi="Times New Roman"/>
          <w:lang w:val="en-HK"/>
        </w:rPr>
        <w:t>: A nurse deposited cheques into her patient’s account without exploiting them for personal gain.</w:t>
      </w:r>
    </w:p>
    <w:p w14:paraId="736DE904"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Holding</w:t>
      </w:r>
      <w:r w:rsidRPr="00B4539E">
        <w:rPr>
          <w:rFonts w:ascii="Times New Roman" w:hAnsi="Times New Roman"/>
          <w:lang w:val="en-HK"/>
        </w:rPr>
        <w:t>: The Court of Appeal clarified that appropriation must involve conduct inconsistent with the owner’s rights. Lloyd LJ observed:</w:t>
      </w:r>
    </w:p>
    <w:p w14:paraId="5A913404"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"Not every handling amounts to appropriation. One must consider whether the conduct, viewed in its entirety, is inconsistent with the owner’s rights."</w:t>
      </w:r>
    </w:p>
    <w:p w14:paraId="0F855725" w14:textId="77777777" w:rsidR="00B4539E" w:rsidRPr="00B4539E" w:rsidRDefault="00CC6BD9" w:rsidP="00B4539E">
      <w:pPr>
        <w:spacing w:line="360" w:lineRule="auto"/>
        <w:rPr>
          <w:rFonts w:ascii="Times New Roman" w:hAnsi="Times New Roman"/>
          <w:lang w:val="en-HK"/>
        </w:rPr>
      </w:pPr>
      <w:r w:rsidRPr="00CC6BD9">
        <w:rPr>
          <w:rFonts w:ascii="Times New Roman" w:hAnsi="Times New Roman"/>
          <w:noProof/>
          <w:lang w:val="en-HK"/>
          <w14:ligatures w14:val="standardContextual"/>
        </w:rPr>
        <w:lastRenderedPageBreak/>
        <w:pict w14:anchorId="5C02EABE">
          <v:rect id="_x0000_i1035" alt="" style="width:451.3pt;height:.05pt;mso-width-percent:0;mso-height-percent:0;mso-width-percent:0;mso-height-percent:0" o:hralign="center" o:hrstd="t" o:hr="t" fillcolor="#a0a0a0" stroked="f"/>
        </w:pict>
      </w:r>
    </w:p>
    <w:p w14:paraId="096CEA2E" w14:textId="77777777" w:rsidR="00B4539E" w:rsidRPr="00B4539E" w:rsidRDefault="00B4539E"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Key Features of the Objective Approach</w:t>
      </w:r>
    </w:p>
    <w:p w14:paraId="3260A1FB" w14:textId="77777777" w:rsidR="00B4539E" w:rsidRPr="00B4539E" w:rsidRDefault="00B4539E" w:rsidP="00B4539E">
      <w:pPr>
        <w:numPr>
          <w:ilvl w:val="0"/>
          <w:numId w:val="35"/>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Neutrality of Appropriation</w:t>
      </w:r>
      <w:r w:rsidRPr="00B4539E">
        <w:rPr>
          <w:rFonts w:ascii="Times New Roman" w:hAnsi="Times New Roman"/>
          <w:lang w:val="en-HK"/>
        </w:rPr>
        <w:t>:</w:t>
      </w:r>
    </w:p>
    <w:p w14:paraId="4032E7A9"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Appropriation is treated as an act that can occur independently of the defendant’s intent or the owner’s consent.</w:t>
      </w:r>
    </w:p>
    <w:p w14:paraId="7BEE1130"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Lord Keith in Gomez emphasized:</w:t>
      </w:r>
    </w:p>
    <w:p w14:paraId="7716539F"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"Consent is irrelevant to the occurrence of appropriation, which remains a neutral act."</w:t>
      </w:r>
    </w:p>
    <w:p w14:paraId="2E92FE43" w14:textId="77777777" w:rsidR="00B4539E" w:rsidRPr="00B4539E" w:rsidRDefault="00B4539E" w:rsidP="00B4539E">
      <w:pPr>
        <w:numPr>
          <w:ilvl w:val="0"/>
          <w:numId w:val="35"/>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Focus on Physical Acts</w:t>
      </w:r>
      <w:r w:rsidRPr="00B4539E">
        <w:rPr>
          <w:rFonts w:ascii="Times New Roman" w:hAnsi="Times New Roman"/>
          <w:lang w:val="en-HK"/>
        </w:rPr>
        <w:t>:</w:t>
      </w:r>
    </w:p>
    <w:p w14:paraId="583121C9"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Physical handling of property, such as moving, touching, or controlling it, may constitute appropriation without any regard for the defendant’s mental state.</w:t>
      </w:r>
    </w:p>
    <w:p w14:paraId="6FEA06DD" w14:textId="77777777" w:rsidR="00B4539E" w:rsidRPr="00B4539E" w:rsidRDefault="00B4539E" w:rsidP="00B4539E">
      <w:pPr>
        <w:numPr>
          <w:ilvl w:val="0"/>
          <w:numId w:val="35"/>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Disregard for Context or Intention</w:t>
      </w:r>
      <w:r w:rsidRPr="00B4539E">
        <w:rPr>
          <w:rFonts w:ascii="Times New Roman" w:hAnsi="Times New Roman"/>
          <w:lang w:val="en-HK"/>
        </w:rPr>
        <w:t>:</w:t>
      </w:r>
    </w:p>
    <w:p w14:paraId="00164D3E"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Acts carried out with consent or within lawful boundaries may still qualify as appropriation if subsequent dishonesty is alleged.</w:t>
      </w:r>
    </w:p>
    <w:p w14:paraId="729DE7DC" w14:textId="77777777" w:rsidR="00B4539E" w:rsidRPr="00B4539E" w:rsidRDefault="00CC6BD9" w:rsidP="00B4539E">
      <w:pPr>
        <w:spacing w:line="360" w:lineRule="auto"/>
        <w:rPr>
          <w:rFonts w:ascii="Times New Roman" w:hAnsi="Times New Roman"/>
          <w:lang w:val="en-HK"/>
        </w:rPr>
      </w:pPr>
      <w:r w:rsidRPr="00CC6BD9">
        <w:rPr>
          <w:rFonts w:ascii="Times New Roman" w:hAnsi="Times New Roman"/>
          <w:noProof/>
          <w:lang w:val="en-HK"/>
          <w14:ligatures w14:val="standardContextual"/>
        </w:rPr>
        <w:pict w14:anchorId="76F463C5">
          <v:rect id="_x0000_i1034" alt="" style="width:451.3pt;height:.05pt;mso-width-percent:0;mso-height-percent:0;mso-width-percent:0;mso-height-percent:0" o:hralign="center" o:hrstd="t" o:hr="t" fillcolor="#a0a0a0" stroked="f"/>
        </w:pict>
      </w:r>
    </w:p>
    <w:p w14:paraId="2ED4E6CC" w14:textId="77777777" w:rsidR="00B4539E" w:rsidRPr="00B4539E" w:rsidRDefault="00B4539E"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Why This Creates Issues</w:t>
      </w:r>
    </w:p>
    <w:p w14:paraId="38A6FB99" w14:textId="6745AB9D" w:rsidR="00B4539E" w:rsidRPr="00B4539E" w:rsidRDefault="00B4539E" w:rsidP="00B4539E">
      <w:pPr>
        <w:numPr>
          <w:ilvl w:val="0"/>
          <w:numId w:val="36"/>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Overbreadth and Trivialization</w:t>
      </w:r>
      <w:r w:rsidRPr="00B4539E">
        <w:rPr>
          <w:rFonts w:ascii="Times New Roman" w:hAnsi="Times New Roman"/>
          <w:lang w:val="en-HK"/>
        </w:rPr>
        <w:t>:</w:t>
      </w:r>
      <w:r w:rsidR="009367F8" w:rsidRPr="009367F8">
        <w:rPr>
          <w:rFonts w:ascii="Microsoft Jhenghei" w:eastAsia="Microsoft Jhenghei" w:hAnsi="Microsoft Jhenghei" w:hint="eastAsia"/>
          <w:color w:val="000000"/>
          <w:sz w:val="18"/>
          <w:szCs w:val="18"/>
          <w:shd w:val="clear" w:color="auto" w:fill="EFF6FF"/>
        </w:rPr>
        <w:t xml:space="preserve"> </w:t>
      </w:r>
      <w:r w:rsidR="009367F8">
        <w:rPr>
          <w:rFonts w:ascii="Microsoft Jhenghei" w:eastAsia="Microsoft Jhenghei" w:hAnsi="Microsoft Jhenghei" w:hint="eastAsia"/>
          <w:color w:val="000000"/>
          <w:sz w:val="18"/>
          <w:szCs w:val="18"/>
          <w:shd w:val="clear" w:color="auto" w:fill="EFF6FF"/>
        </w:rPr>
        <w:t>過度寬泛和瑣碎化</w:t>
      </w:r>
    </w:p>
    <w:p w14:paraId="790EEE1A"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The objective approach risks criminalizing trivial acts that would not traditionally constitute theft. For example:</w:t>
      </w:r>
    </w:p>
    <w:p w14:paraId="4CD14D43"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 xml:space="preserve">Eddy v </w:t>
      </w:r>
      <w:proofErr w:type="spellStart"/>
      <w:r w:rsidRPr="00B4539E">
        <w:rPr>
          <w:rFonts w:ascii="Times New Roman" w:hAnsi="Times New Roman"/>
          <w:b/>
          <w:bCs/>
          <w:lang w:val="en-HK"/>
        </w:rPr>
        <w:t>Niman</w:t>
      </w:r>
      <w:proofErr w:type="spellEnd"/>
      <w:r w:rsidRPr="00B4539E">
        <w:rPr>
          <w:rFonts w:ascii="Times New Roman" w:hAnsi="Times New Roman"/>
          <w:b/>
          <w:bCs/>
          <w:lang w:val="en-HK"/>
        </w:rPr>
        <w:t xml:space="preserve"> [1981] 73 Cr App R 237</w:t>
      </w:r>
      <w:r w:rsidRPr="00B4539E">
        <w:rPr>
          <w:rFonts w:ascii="Times New Roman" w:hAnsi="Times New Roman"/>
          <w:lang w:val="en-HK"/>
        </w:rPr>
        <w:t>: The defendant abandoned goods in a supermarket trolley before purchasing them. The court ruled there was no appropriation because no rights were usurped. Under Gomez, however, such acts could qualify as appropriation if dishonesty was later alleged.</w:t>
      </w:r>
    </w:p>
    <w:p w14:paraId="148DD9E3" w14:textId="77777777" w:rsidR="00B4539E" w:rsidRPr="00B4539E" w:rsidRDefault="00B4539E"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observes:</w:t>
      </w:r>
    </w:p>
    <w:p w14:paraId="20EC8513"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lastRenderedPageBreak/>
        <w:t>"Any handling, however minor, could now meet the definition of appropriation, trivializing theft law."</w:t>
      </w:r>
    </w:p>
    <w:p w14:paraId="2CB9F8CE" w14:textId="77777777" w:rsidR="00B4539E" w:rsidRPr="00B4539E" w:rsidRDefault="00B4539E" w:rsidP="00B4539E">
      <w:pPr>
        <w:numPr>
          <w:ilvl w:val="0"/>
          <w:numId w:val="36"/>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Reliance on Dishonesty</w:t>
      </w:r>
      <w:r w:rsidRPr="00B4539E">
        <w:rPr>
          <w:rFonts w:ascii="Times New Roman" w:hAnsi="Times New Roman"/>
          <w:lang w:val="en-HK"/>
        </w:rPr>
        <w:t>:</w:t>
      </w:r>
    </w:p>
    <w:p w14:paraId="758AB493"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By detaching appropriation from intent or adverse impact, the courts place undue emphasis on dishonesty as the determinant of theft. The </w:t>
      </w:r>
      <w:r w:rsidRPr="00B4539E">
        <w:rPr>
          <w:rFonts w:ascii="Times New Roman" w:hAnsi="Times New Roman"/>
          <w:b/>
          <w:bCs/>
          <w:lang w:val="en-HK"/>
        </w:rPr>
        <w:t>Ghosh test</w:t>
      </w:r>
      <w:r w:rsidRPr="00B4539E">
        <w:rPr>
          <w:rFonts w:ascii="Times New Roman" w:hAnsi="Times New Roman"/>
          <w:lang w:val="en-HK"/>
        </w:rPr>
        <w:t xml:space="preserve"> for dishonesty (R v Ghosh [1982] QB 1053) has been criticized for its vagueness, leading to inconsistent outcomes.</w:t>
      </w:r>
    </w:p>
    <w:p w14:paraId="653E5F04" w14:textId="77777777" w:rsidR="00B4539E" w:rsidRPr="00B4539E" w:rsidRDefault="00B4539E"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critiques this reliance, stating:</w:t>
      </w:r>
    </w:p>
    <w:p w14:paraId="24D000C9"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"The expansive definition of appropriation shifts the focus entirely to dishonesty, rendering the actus reus of theft almost meaningless."</w:t>
      </w:r>
    </w:p>
    <w:p w14:paraId="5ABADAD0" w14:textId="77777777" w:rsidR="00B4539E" w:rsidRPr="00B4539E" w:rsidRDefault="00B4539E" w:rsidP="00B4539E">
      <w:pPr>
        <w:numPr>
          <w:ilvl w:val="0"/>
          <w:numId w:val="36"/>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Collapse of Theft and Deception</w:t>
      </w:r>
      <w:r w:rsidRPr="00B4539E">
        <w:rPr>
          <w:rFonts w:ascii="Times New Roman" w:hAnsi="Times New Roman"/>
          <w:lang w:val="en-HK"/>
        </w:rPr>
        <w:t>:</w:t>
      </w:r>
    </w:p>
    <w:p w14:paraId="4D693574"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The Gomez approach blurs the distinction between theft and obtaining property by deception. For instance:</w:t>
      </w:r>
    </w:p>
    <w:p w14:paraId="58347F73" w14:textId="77777777" w:rsidR="00B4539E" w:rsidRPr="00B4539E" w:rsidRDefault="00B4539E" w:rsidP="00B4539E">
      <w:pPr>
        <w:numPr>
          <w:ilvl w:val="2"/>
          <w:numId w:val="36"/>
        </w:numPr>
        <w:spacing w:before="100" w:beforeAutospacing="1" w:after="100" w:afterAutospacing="1" w:line="360" w:lineRule="auto"/>
        <w:rPr>
          <w:rFonts w:ascii="Times New Roman" w:hAnsi="Times New Roman"/>
          <w:lang w:val="en-HK"/>
        </w:rPr>
      </w:pPr>
      <w:r w:rsidRPr="00B4539E">
        <w:rPr>
          <w:rFonts w:ascii="Times New Roman" w:hAnsi="Times New Roman"/>
          <w:lang w:val="en-HK"/>
        </w:rPr>
        <w:t>In Gomez, the defendant’s actions resembled deception more than theft, yet the court relied on appropriation to establish theft.</w:t>
      </w:r>
    </w:p>
    <w:p w14:paraId="22E660E4" w14:textId="77777777" w:rsidR="00B4539E" w:rsidRPr="00B4539E" w:rsidRDefault="00B4539E"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warns:</w:t>
      </w:r>
    </w:p>
    <w:p w14:paraId="34A8A357" w14:textId="4166E184"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"The conflation of theft and deception undermines fair </w:t>
      </w:r>
      <w:proofErr w:type="spellStart"/>
      <w:r w:rsidRPr="00B4539E">
        <w:rPr>
          <w:rFonts w:ascii="Times New Roman" w:hAnsi="Times New Roman"/>
          <w:lang w:val="en-HK"/>
        </w:rPr>
        <w:t>labeling</w:t>
      </w:r>
      <w:proofErr w:type="spellEnd"/>
      <w:r w:rsidRPr="00B4539E">
        <w:rPr>
          <w:rFonts w:ascii="Times New Roman" w:hAnsi="Times New Roman"/>
          <w:lang w:val="en-HK"/>
        </w:rPr>
        <w:t>, distorting the moral and legal distinctions between these offenses."</w:t>
      </w:r>
    </w:p>
    <w:p w14:paraId="448F1B32" w14:textId="77777777" w:rsidR="00B4539E" w:rsidRPr="00B4539E" w:rsidRDefault="00B4539E" w:rsidP="00B4539E">
      <w:pPr>
        <w:numPr>
          <w:ilvl w:val="0"/>
          <w:numId w:val="36"/>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Criminalization of Lawful Acts</w:t>
      </w:r>
      <w:r w:rsidRPr="00B4539E">
        <w:rPr>
          <w:rFonts w:ascii="Times New Roman" w:hAnsi="Times New Roman"/>
          <w:lang w:val="en-HK"/>
        </w:rPr>
        <w:t>:</w:t>
      </w:r>
    </w:p>
    <w:p w14:paraId="411317CB"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Lawful transactions, such as the receipt of valid gifts, may be criminalized as theft if dishonesty is later alleged.</w:t>
      </w:r>
    </w:p>
    <w:p w14:paraId="14849D4B"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Example: </w:t>
      </w:r>
      <w:r w:rsidRPr="00B4539E">
        <w:rPr>
          <w:rFonts w:ascii="Times New Roman" w:hAnsi="Times New Roman"/>
          <w:b/>
          <w:bCs/>
          <w:lang w:val="en-HK"/>
        </w:rPr>
        <w:t>R v Hinks</w:t>
      </w:r>
      <w:r w:rsidRPr="00B4539E">
        <w:rPr>
          <w:rFonts w:ascii="Times New Roman" w:hAnsi="Times New Roman"/>
          <w:lang w:val="en-HK"/>
        </w:rPr>
        <w:t xml:space="preserve"> criminalized the defendant’s receipt of valid gifts, creating tension between civil and criminal law.</w:t>
      </w:r>
    </w:p>
    <w:p w14:paraId="3E92F1DB" w14:textId="77777777" w:rsidR="00B4539E" w:rsidRPr="00B4539E" w:rsidRDefault="00B4539E" w:rsidP="00B4539E">
      <w:pPr>
        <w:numPr>
          <w:ilvl w:val="0"/>
          <w:numId w:val="36"/>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Ethical Concerns</w:t>
      </w:r>
      <w:r w:rsidRPr="00B4539E">
        <w:rPr>
          <w:rFonts w:ascii="Times New Roman" w:hAnsi="Times New Roman"/>
          <w:lang w:val="en-HK"/>
        </w:rPr>
        <w:t>:</w:t>
      </w:r>
    </w:p>
    <w:p w14:paraId="26552D76"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lastRenderedPageBreak/>
        <w:t>Fair Warning</w:t>
      </w:r>
      <w:r w:rsidRPr="00B4539E">
        <w:rPr>
          <w:rFonts w:ascii="Times New Roman" w:hAnsi="Times New Roman"/>
          <w:lang w:val="en-HK"/>
        </w:rPr>
        <w:t xml:space="preserve">: Defendants may unknowingly commit theft due to the expansive definition of appropriation.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explains:</w:t>
      </w:r>
    </w:p>
    <w:p w14:paraId="2CBDC59C"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"The objective approach leaves individuals uncertain about the legality of their actions, violating the principle of fair warning."</w:t>
      </w:r>
    </w:p>
    <w:p w14:paraId="0752BEED"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Proportionality</w:t>
      </w:r>
      <w:r w:rsidRPr="00B4539E">
        <w:rPr>
          <w:rFonts w:ascii="Times New Roman" w:hAnsi="Times New Roman"/>
          <w:lang w:val="en-HK"/>
        </w:rPr>
        <w:t>: Trivial acts are now criminalized as theft, undermining the proportionality principle in criminal law.</w:t>
      </w:r>
    </w:p>
    <w:p w14:paraId="0C7347FE" w14:textId="77777777" w:rsidR="00B4539E" w:rsidRPr="00B4539E" w:rsidRDefault="00CC6BD9" w:rsidP="00B4539E">
      <w:pPr>
        <w:spacing w:line="360" w:lineRule="auto"/>
        <w:rPr>
          <w:rFonts w:ascii="Times New Roman" w:hAnsi="Times New Roman"/>
          <w:lang w:val="en-HK"/>
        </w:rPr>
      </w:pPr>
      <w:r w:rsidRPr="00CC6BD9">
        <w:rPr>
          <w:rFonts w:ascii="Times New Roman" w:hAnsi="Times New Roman"/>
          <w:noProof/>
          <w:lang w:val="en-HK"/>
          <w14:ligatures w14:val="standardContextual"/>
        </w:rPr>
        <w:pict w14:anchorId="18A47A39">
          <v:rect id="_x0000_i1033" alt="" style="width:451.3pt;height:.05pt;mso-width-percent:0;mso-height-percent:0;mso-width-percent:0;mso-height-percent:0" o:hralign="center" o:hrstd="t" o:hr="t" fillcolor="#a0a0a0" stroked="f"/>
        </w:pict>
      </w:r>
    </w:p>
    <w:p w14:paraId="3D9D9019" w14:textId="77777777" w:rsidR="00B4539E" w:rsidRPr="00B4539E" w:rsidRDefault="00B4539E"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Subjective Conception: Proprietary Mindset</w:t>
      </w:r>
    </w:p>
    <w:p w14:paraId="60ADEB18" w14:textId="77777777" w:rsidR="00B4539E" w:rsidRPr="00B4539E" w:rsidRDefault="00B4539E"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proposes an alternative framework based on </w:t>
      </w:r>
      <w:r w:rsidRPr="00B4539E">
        <w:rPr>
          <w:rFonts w:ascii="Times New Roman" w:hAnsi="Times New Roman"/>
          <w:b/>
          <w:bCs/>
          <w:lang w:val="en-HK"/>
        </w:rPr>
        <w:t>proprietary subjectivity</w:t>
      </w:r>
      <w:r w:rsidRPr="00B4539E">
        <w:rPr>
          <w:rFonts w:ascii="Times New Roman" w:hAnsi="Times New Roman"/>
          <w:lang w:val="en-HK"/>
        </w:rPr>
        <w:t>, where appropriation involves the mental assumption of ownership.</w:t>
      </w:r>
    </w:p>
    <w:p w14:paraId="0B20D3A9" w14:textId="77777777" w:rsidR="00B4539E" w:rsidRPr="00B4539E" w:rsidRDefault="00B4539E" w:rsidP="00B4539E">
      <w:pPr>
        <w:numPr>
          <w:ilvl w:val="0"/>
          <w:numId w:val="37"/>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Definition</w:t>
      </w:r>
      <w:r w:rsidRPr="00B4539E">
        <w:rPr>
          <w:rFonts w:ascii="Times New Roman" w:hAnsi="Times New Roman"/>
          <w:lang w:val="en-HK"/>
        </w:rPr>
        <w:t>:</w:t>
      </w:r>
    </w:p>
    <w:p w14:paraId="0564A901"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Appropriation occurs when the defendant forms a mental connection to the property, assuming ownership rights.</w:t>
      </w:r>
    </w:p>
    <w:p w14:paraId="01B43E18" w14:textId="77777777" w:rsidR="00B4539E" w:rsidRPr="00B4539E" w:rsidRDefault="00B4539E" w:rsidP="00B4539E">
      <w:pPr>
        <w:numPr>
          <w:ilvl w:val="0"/>
          <w:numId w:val="37"/>
        </w:num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Examples</w:t>
      </w:r>
      <w:r w:rsidRPr="00B4539E">
        <w:rPr>
          <w:rFonts w:ascii="Times New Roman" w:hAnsi="Times New Roman"/>
          <w:lang w:val="en-HK"/>
        </w:rPr>
        <w:t>:</w:t>
      </w:r>
    </w:p>
    <w:p w14:paraId="7ABED111"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Pete and Mary’s Ticket</w:t>
      </w:r>
      <w:r w:rsidRPr="00B4539E">
        <w:rPr>
          <w:rFonts w:ascii="Times New Roman" w:hAnsi="Times New Roman"/>
          <w:lang w:val="en-HK"/>
        </w:rPr>
        <w:t>:</w:t>
      </w:r>
    </w:p>
    <w:p w14:paraId="05677BC8"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Pete, entrusted with Mary’s football ticket, decides to sell it.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argues:</w:t>
      </w:r>
    </w:p>
    <w:p w14:paraId="6E0462C6" w14:textId="77777777" w:rsidR="00B4539E" w:rsidRPr="00B4539E" w:rsidRDefault="00B4539E" w:rsidP="00B4539E">
      <w:pPr>
        <w:spacing w:beforeAutospacing="1" w:afterAutospacing="1" w:line="360" w:lineRule="auto"/>
        <w:rPr>
          <w:rFonts w:ascii="Times New Roman" w:hAnsi="Times New Roman"/>
          <w:lang w:val="en-HK"/>
        </w:rPr>
      </w:pPr>
      <w:r w:rsidRPr="00B4539E">
        <w:rPr>
          <w:rFonts w:ascii="Times New Roman" w:hAnsi="Times New Roman"/>
          <w:lang w:val="en-HK"/>
        </w:rPr>
        <w:t>"Appropriation occurs when Pete develops a proprietary mindset, even before taking overt action."</w:t>
      </w:r>
    </w:p>
    <w:p w14:paraId="394E2BD5"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German Comparison</w:t>
      </w:r>
      <w:r w:rsidRPr="00B4539E">
        <w:rPr>
          <w:rFonts w:ascii="Times New Roman" w:hAnsi="Times New Roman"/>
          <w:lang w:val="en-HK"/>
        </w:rPr>
        <w:t>:</w:t>
      </w:r>
    </w:p>
    <w:p w14:paraId="06F4656C" w14:textId="77777777" w:rsidR="00B4539E" w:rsidRPr="00B4539E" w:rsidRDefault="00B4539E"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German law distinguishes between possession and ownership, recognizing </w:t>
      </w:r>
      <w:proofErr w:type="spellStart"/>
      <w:r w:rsidRPr="00B4539E">
        <w:rPr>
          <w:rFonts w:ascii="Times New Roman" w:hAnsi="Times New Roman"/>
          <w:b/>
          <w:bCs/>
          <w:lang w:val="en-HK"/>
        </w:rPr>
        <w:t>Eigenbesitz</w:t>
      </w:r>
      <w:proofErr w:type="spellEnd"/>
      <w:r w:rsidRPr="00B4539E">
        <w:rPr>
          <w:rFonts w:ascii="Times New Roman" w:hAnsi="Times New Roman"/>
          <w:lang w:val="en-HK"/>
        </w:rPr>
        <w:t xml:space="preserve"> (proprietary possession) as a mental state of ownership.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suggests adopting this model.</w:t>
      </w:r>
    </w:p>
    <w:p w14:paraId="36E05DF6" w14:textId="3D1CFAA9" w:rsidR="004601F9" w:rsidRPr="00B4539E" w:rsidRDefault="004601F9" w:rsidP="00B4539E">
      <w:pPr>
        <w:spacing w:before="100" w:beforeAutospacing="1" w:after="100" w:afterAutospacing="1" w:line="360" w:lineRule="auto"/>
        <w:outlineLvl w:val="2"/>
        <w:rPr>
          <w:rFonts w:ascii="Times New Roman" w:hAnsi="Times New Roman"/>
          <w:b/>
          <w:bCs/>
          <w:lang w:val="en-HK"/>
        </w:rPr>
      </w:pPr>
      <w:r w:rsidRPr="00B4539E">
        <w:rPr>
          <w:noProof/>
        </w:rPr>
        <mc:AlternateContent>
          <mc:Choice Requires="wps">
            <w:drawing>
              <wp:inline distT="0" distB="0" distL="0" distR="0" wp14:anchorId="1BC8F2F3" wp14:editId="61C45FB1">
                <wp:extent cx="5731510" cy="1270"/>
                <wp:effectExtent l="0" t="0" r="8890" b="24130"/>
                <wp:docPr id="527187042" name="Horizontal Lin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836EFEF" id="Horizontal Lin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4BD48AFB" w14:textId="7E66498B" w:rsidR="00312A05" w:rsidRPr="00B4539E" w:rsidRDefault="004601F9" w:rsidP="00B4539E">
      <w:pPr>
        <w:spacing w:before="100" w:beforeAutospacing="1" w:after="100" w:afterAutospacing="1" w:line="360" w:lineRule="auto"/>
        <w:outlineLvl w:val="2"/>
        <w:rPr>
          <w:rFonts w:ascii="Times New Roman" w:hAnsi="Times New Roman"/>
          <w:b/>
          <w:bCs/>
          <w:lang w:val="en-HK"/>
        </w:rPr>
      </w:pPr>
      <w:r w:rsidRPr="00B4539E">
        <w:rPr>
          <w:rFonts w:ascii="Times New Roman" w:hAnsi="Times New Roman" w:hint="eastAsia"/>
          <w:b/>
          <w:bCs/>
          <w:lang w:val="en-HK"/>
        </w:rPr>
        <w:lastRenderedPageBreak/>
        <w:t xml:space="preserve">3. </w:t>
      </w:r>
      <w:r w:rsidR="00312A05" w:rsidRPr="00B4539E">
        <w:rPr>
          <w:rFonts w:ascii="Times New Roman" w:hAnsi="Times New Roman"/>
          <w:b/>
          <w:bCs/>
          <w:lang w:val="en-HK"/>
        </w:rPr>
        <w:t>Appropriation and Mental Acts</w:t>
      </w:r>
    </w:p>
    <w:p w14:paraId="33E49966"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delves into the philosophical and legal implications of defining appropriation as a mental act, challenging the traditional realist view that actions must involve physical manifestations. He introduces the concept of </w:t>
      </w:r>
      <w:r w:rsidRPr="00B4539E">
        <w:rPr>
          <w:rFonts w:ascii="Times New Roman" w:hAnsi="Times New Roman"/>
          <w:b/>
          <w:bCs/>
          <w:lang w:val="en-HK"/>
        </w:rPr>
        <w:t>proprietary subjectivity</w:t>
      </w:r>
      <w:r w:rsidRPr="00B4539E">
        <w:rPr>
          <w:rFonts w:ascii="Times New Roman" w:hAnsi="Times New Roman"/>
          <w:lang w:val="en-HK"/>
        </w:rPr>
        <w:t>, arguing that appropriation can occur purely through a defendant’s mental state.</w:t>
      </w:r>
    </w:p>
    <w:p w14:paraId="63DDAC34"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The Philosophical Debate</w:t>
      </w:r>
    </w:p>
    <w:p w14:paraId="4A24320A"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Realist Perspective</w:t>
      </w:r>
      <w:r w:rsidRPr="00B4539E">
        <w:rPr>
          <w:rFonts w:ascii="Times New Roman" w:hAnsi="Times New Roman"/>
          <w:lang w:val="en-HK"/>
        </w:rPr>
        <w:t>:</w:t>
      </w:r>
    </w:p>
    <w:p w14:paraId="69A079BB"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Michael Moore’s</w:t>
      </w:r>
      <w:r w:rsidRPr="00B4539E">
        <w:rPr>
          <w:rFonts w:ascii="Times New Roman" w:hAnsi="Times New Roman"/>
          <w:lang w:val="en-HK"/>
        </w:rPr>
        <w:t xml:space="preserve"> metaphysical theory asserts that acts are limited to "willed bodily movements," excluding mental states as constitutive of action. Moore argues:</w:t>
      </w:r>
    </w:p>
    <w:p w14:paraId="4C6ADB71"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w:t>
      </w:r>
      <w:r w:rsidRPr="00B4539E">
        <w:rPr>
          <w:rFonts w:ascii="Times New Roman" w:hAnsi="Times New Roman"/>
          <w:b/>
          <w:bCs/>
          <w:lang w:val="en-HK"/>
        </w:rPr>
        <w:t>Appropriation must involve physical control or interference</w:t>
      </w:r>
      <w:r w:rsidRPr="00B4539E">
        <w:rPr>
          <w:rFonts w:ascii="Times New Roman" w:hAnsi="Times New Roman"/>
          <w:lang w:val="en-HK"/>
        </w:rPr>
        <w:t xml:space="preserve"> with property to constitute an act.”</w:t>
      </w:r>
    </w:p>
    <w:p w14:paraId="3A71561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This view aligns with the traditional legal approach, where theft requires observable conduct, such as removal or handling of property.</w:t>
      </w:r>
    </w:p>
    <w:p w14:paraId="29009A9B"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Challenge to Realism</w:t>
      </w:r>
      <w:r w:rsidRPr="00B4539E">
        <w:rPr>
          <w:rFonts w:ascii="Times New Roman" w:hAnsi="Times New Roman"/>
          <w:lang w:val="en-HK"/>
        </w:rPr>
        <w:t>:</w:t>
      </w:r>
    </w:p>
    <w:p w14:paraId="1737F584"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critiques Moore’s perspective, arguing that mental acts can constitute actions. He introduces </w:t>
      </w:r>
      <w:r w:rsidRPr="00B4539E">
        <w:rPr>
          <w:rFonts w:ascii="Times New Roman" w:hAnsi="Times New Roman"/>
          <w:b/>
          <w:bCs/>
          <w:lang w:val="en-HK"/>
        </w:rPr>
        <w:t>proprietary subjectivity</w:t>
      </w:r>
      <w:r w:rsidRPr="00B4539E">
        <w:rPr>
          <w:rFonts w:ascii="Times New Roman" w:hAnsi="Times New Roman"/>
          <w:lang w:val="en-HK"/>
        </w:rPr>
        <w:t>, where appropriation involves:</w:t>
      </w:r>
    </w:p>
    <w:p w14:paraId="58D28E30"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 psychological connection to property, where the defendant assumes dominion and control mentally, even without physical interference.”</w:t>
      </w:r>
    </w:p>
    <w:p w14:paraId="20A59AFC"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Example: In </w:t>
      </w:r>
      <w:r w:rsidRPr="00B4539E">
        <w:rPr>
          <w:rFonts w:ascii="Times New Roman" w:hAnsi="Times New Roman"/>
          <w:b/>
          <w:bCs/>
          <w:lang w:val="en-HK"/>
        </w:rPr>
        <w:t xml:space="preserve">R v </w:t>
      </w:r>
      <w:proofErr w:type="spellStart"/>
      <w:r w:rsidRPr="00B4539E">
        <w:rPr>
          <w:rFonts w:ascii="Times New Roman" w:hAnsi="Times New Roman"/>
          <w:b/>
          <w:bCs/>
          <w:lang w:val="en-HK"/>
        </w:rPr>
        <w:t>Pitham</w:t>
      </w:r>
      <w:proofErr w:type="spellEnd"/>
      <w:r w:rsidRPr="00B4539E">
        <w:rPr>
          <w:rFonts w:ascii="Times New Roman" w:hAnsi="Times New Roman"/>
          <w:b/>
          <w:bCs/>
          <w:lang w:val="en-HK"/>
        </w:rPr>
        <w:t xml:space="preserve"> and </w:t>
      </w:r>
      <w:proofErr w:type="spellStart"/>
      <w:r w:rsidRPr="00B4539E">
        <w:rPr>
          <w:rFonts w:ascii="Times New Roman" w:hAnsi="Times New Roman"/>
          <w:b/>
          <w:bCs/>
          <w:lang w:val="en-HK"/>
        </w:rPr>
        <w:t>Hehl</w:t>
      </w:r>
      <w:proofErr w:type="spellEnd"/>
      <w:r w:rsidRPr="00B4539E">
        <w:rPr>
          <w:rFonts w:ascii="Times New Roman" w:hAnsi="Times New Roman"/>
          <w:b/>
          <w:bCs/>
          <w:lang w:val="en-HK"/>
        </w:rPr>
        <w:t xml:space="preserve"> [1977] 65 Cr App R 45</w:t>
      </w:r>
      <w:r w:rsidRPr="00B4539E">
        <w:rPr>
          <w:rFonts w:ascii="Times New Roman" w:hAnsi="Times New Roman"/>
          <w:lang w:val="en-HK"/>
        </w:rPr>
        <w:t xml:space="preserve">, a man sold furniture belonging to another without ever touching it.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argues:</w:t>
      </w:r>
    </w:p>
    <w:p w14:paraId="0C377D55"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act of offering the furniture for sale reflects a proprietary mindset, where the defendant assumes the rights of the owner mentally.”</w:t>
      </w:r>
    </w:p>
    <w:p w14:paraId="47CFD9CE" w14:textId="77777777" w:rsidR="00312A05" w:rsidRPr="00B4539E" w:rsidRDefault="00CC6BD9" w:rsidP="00B4539E">
      <w:pPr>
        <w:spacing w:line="360" w:lineRule="auto"/>
        <w:rPr>
          <w:rFonts w:ascii="Times New Roman" w:hAnsi="Times New Roman"/>
          <w:lang w:val="en-HK"/>
        </w:rPr>
      </w:pPr>
      <w:r>
        <w:pict w14:anchorId="4B160084">
          <v:rect id="Horizontal Line 17"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E388F5"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Key Cases</w:t>
      </w:r>
    </w:p>
    <w:p w14:paraId="3309DFAB"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lastRenderedPageBreak/>
        <w:t>R v Gomez [1993] AC 442</w:t>
      </w:r>
      <w:r w:rsidRPr="00B4539E">
        <w:rPr>
          <w:rFonts w:ascii="Times New Roman" w:hAnsi="Times New Roman"/>
          <w:lang w:val="en-HK"/>
        </w:rPr>
        <w:t>:</w:t>
      </w:r>
    </w:p>
    <w:p w14:paraId="1CD67399"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The House of Lords emphasized that appropriation could occur without physical interference, relying solely on dishonesty. Lord Keith stated:</w:t>
      </w:r>
    </w:p>
    <w:p w14:paraId="6A1D6B34"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“Appropriation is a neutral act, independent of the defendant’s intentions or the owner’s consent.”</w:t>
      </w:r>
    </w:p>
    <w:p w14:paraId="05A693B1"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critiques this objective approach, arguing that it trivializes appropriation by ignoring the defendant’s mindset.</w:t>
      </w:r>
    </w:p>
    <w:p w14:paraId="627CB30F"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 v Hinks [2001] 4 All ER 833</w:t>
      </w:r>
      <w:r w:rsidRPr="00B4539E">
        <w:rPr>
          <w:rFonts w:ascii="Times New Roman" w:hAnsi="Times New Roman"/>
          <w:lang w:val="en-HK"/>
        </w:rPr>
        <w:t>:</w:t>
      </w:r>
    </w:p>
    <w:p w14:paraId="64EE246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The House of Lords upheld the conviction of a caregiver who received valid gifts from a vulnerable man. The court relied on the defendant’s dishonesty to establish appropriation.</w:t>
      </w:r>
    </w:p>
    <w:p w14:paraId="1EF7A172"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Lord Hobhouse dissented, describing the court’s interpretation of appropriation as “wholly </w:t>
      </w:r>
      <w:proofErr w:type="spellStart"/>
      <w:r w:rsidRPr="00B4539E">
        <w:rPr>
          <w:rFonts w:ascii="Times New Roman" w:hAnsi="Times New Roman"/>
          <w:lang w:val="en-HK"/>
        </w:rPr>
        <w:t>colorless</w:t>
      </w:r>
      <w:proofErr w:type="spellEnd"/>
      <w:r w:rsidRPr="00B4539E">
        <w:rPr>
          <w:rFonts w:ascii="Times New Roman" w:hAnsi="Times New Roman"/>
          <w:lang w:val="en-HK"/>
        </w:rPr>
        <w:t>.” He warned:</w:t>
      </w:r>
    </w:p>
    <w:p w14:paraId="1CF948F7"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“By removing subjectivity from appropriation, the law risks conflating theft with legitimate transactions.”</w:t>
      </w:r>
    </w:p>
    <w:p w14:paraId="2270E833" w14:textId="77777777" w:rsidR="00312A05" w:rsidRPr="00B4539E" w:rsidRDefault="00CC6BD9" w:rsidP="00B4539E">
      <w:pPr>
        <w:spacing w:line="360" w:lineRule="auto"/>
        <w:rPr>
          <w:rFonts w:ascii="Times New Roman" w:hAnsi="Times New Roman"/>
          <w:lang w:val="en-HK"/>
        </w:rPr>
      </w:pPr>
      <w:r>
        <w:pict w14:anchorId="73CC304B">
          <v:rect id="Horizontal Line 18"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88B668"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color w:val="FF0000"/>
          <w:lang w:val="en-HK"/>
        </w:rPr>
        <w:t xml:space="preserve">Proprietary Subjectivity </w:t>
      </w:r>
      <w:r w:rsidRPr="00B4539E">
        <w:rPr>
          <w:rFonts w:ascii="Times New Roman" w:hAnsi="Times New Roman"/>
          <w:b/>
          <w:bCs/>
          <w:lang w:val="en-HK"/>
        </w:rPr>
        <w:t>in Practice</w:t>
      </w:r>
    </w:p>
    <w:p w14:paraId="77CA915D"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Definition</w:t>
      </w:r>
      <w:r w:rsidRPr="00B4539E">
        <w:rPr>
          <w:rFonts w:ascii="Times New Roman" w:hAnsi="Times New Roman"/>
          <w:lang w:val="en-HK"/>
        </w:rPr>
        <w:t>:</w:t>
      </w:r>
    </w:p>
    <w:p w14:paraId="313797F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Proprietary subjectivity refers to the </w:t>
      </w:r>
      <w:r w:rsidRPr="00B4539E">
        <w:rPr>
          <w:rFonts w:ascii="Times New Roman" w:hAnsi="Times New Roman"/>
          <w:b/>
          <w:bCs/>
          <w:lang w:val="en-HK"/>
        </w:rPr>
        <w:t>mental act of assuming ownership</w:t>
      </w:r>
      <w:r w:rsidRPr="00B4539E">
        <w:rPr>
          <w:rFonts w:ascii="Times New Roman" w:hAnsi="Times New Roman"/>
          <w:lang w:val="en-HK"/>
        </w:rPr>
        <w:t xml:space="preserve">, where the </w:t>
      </w:r>
      <w:r w:rsidRPr="00B4539E">
        <w:rPr>
          <w:rFonts w:ascii="Times New Roman" w:hAnsi="Times New Roman"/>
          <w:b/>
          <w:bCs/>
          <w:color w:val="FF0000"/>
          <w:lang w:val="en-HK"/>
        </w:rPr>
        <w:t>defendant behaves as if the property were theirs</w:t>
      </w:r>
      <w:r w:rsidRPr="00B4539E">
        <w:rPr>
          <w:rFonts w:ascii="Times New Roman" w:hAnsi="Times New Roman"/>
          <w:lang w:val="en-HK"/>
        </w:rPr>
        <w:t>.</w:t>
      </w:r>
    </w:p>
    <w:p w14:paraId="3CCDD03F"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Example: A person entrusted with property may appropriate it by deciding to sell it, even before taking overt action.</w:t>
      </w:r>
    </w:p>
    <w:p w14:paraId="3EBAE1D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Comparative Law</w:t>
      </w:r>
      <w:r w:rsidRPr="00B4539E">
        <w:rPr>
          <w:rFonts w:ascii="Times New Roman" w:hAnsi="Times New Roman"/>
          <w:lang w:val="en-HK"/>
        </w:rPr>
        <w:t>:</w:t>
      </w:r>
    </w:p>
    <w:p w14:paraId="2276F6F5"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German property law recognizes </w:t>
      </w:r>
      <w:proofErr w:type="spellStart"/>
      <w:r w:rsidRPr="00B4539E">
        <w:rPr>
          <w:rFonts w:ascii="Times New Roman" w:hAnsi="Times New Roman"/>
          <w:b/>
          <w:bCs/>
          <w:lang w:val="en-HK"/>
        </w:rPr>
        <w:t>Eigenbesitz</w:t>
      </w:r>
      <w:proofErr w:type="spellEnd"/>
      <w:r w:rsidRPr="00B4539E">
        <w:rPr>
          <w:rFonts w:ascii="Times New Roman" w:hAnsi="Times New Roman"/>
          <w:lang w:val="en-HK"/>
        </w:rPr>
        <w:t xml:space="preserve"> (proprietary possession), where a person’s mental connection to an object can establish ownership-like control.</w:t>
      </w:r>
    </w:p>
    <w:p w14:paraId="4354947F" w14:textId="2F6EE579" w:rsidR="00312A05" w:rsidRPr="00B4539E" w:rsidRDefault="00312A05" w:rsidP="00B4539E">
      <w:pPr>
        <w:spacing w:before="100" w:beforeAutospacing="1" w:after="100" w:afterAutospacing="1" w:line="360" w:lineRule="auto"/>
        <w:rPr>
          <w:rFonts w:ascii="Times New Roman" w:hAnsi="Times New Roman" w:hint="eastAsia"/>
          <w:lang w:val="en-HK"/>
        </w:rPr>
      </w:pPr>
      <w:proofErr w:type="spellStart"/>
      <w:r w:rsidRPr="00B4539E">
        <w:rPr>
          <w:rFonts w:ascii="Times New Roman" w:hAnsi="Times New Roman"/>
          <w:lang w:val="en-HK"/>
        </w:rPr>
        <w:lastRenderedPageBreak/>
        <w:t>Melissaris</w:t>
      </w:r>
      <w:proofErr w:type="spellEnd"/>
      <w:r w:rsidRPr="00B4539E">
        <w:rPr>
          <w:rFonts w:ascii="Times New Roman" w:hAnsi="Times New Roman"/>
          <w:lang w:val="en-HK"/>
        </w:rPr>
        <w:t xml:space="preserve"> highlights this as a model for integrating proprietary subjectivity into theft law.</w:t>
      </w:r>
    </w:p>
    <w:p w14:paraId="1ED1A29B" w14:textId="3E79E0F3"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Critiques and Implications</w:t>
      </w:r>
    </w:p>
    <w:p w14:paraId="6B57DF4F"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Criminalization of Thoughts</w:t>
      </w:r>
      <w:r w:rsidRPr="00B4539E">
        <w:rPr>
          <w:rFonts w:ascii="Times New Roman" w:hAnsi="Times New Roman"/>
          <w:lang w:val="en-HK"/>
        </w:rPr>
        <w:t>:</w:t>
      </w:r>
    </w:p>
    <w:p w14:paraId="251ED316"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Critics warn that defining appropriation as a mental act risks criminalizing thoughts.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responds:</w:t>
      </w:r>
    </w:p>
    <w:p w14:paraId="2A94B05C"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“Proprietary subjectivity must be linked to actions that reflect dominion over property, preventing over-criminalization.”</w:t>
      </w:r>
    </w:p>
    <w:p w14:paraId="253E8A32"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Evidentiary Challenges</w:t>
      </w:r>
      <w:r w:rsidRPr="00B4539E">
        <w:rPr>
          <w:rFonts w:ascii="Times New Roman" w:hAnsi="Times New Roman"/>
          <w:lang w:val="en-HK"/>
        </w:rPr>
        <w:t>:</w:t>
      </w:r>
    </w:p>
    <w:p w14:paraId="6B4872A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Establishing proprietary subjectivity introduces evidentiary complexities. Courts must infer the defendant’s mindset from surrounding circumstances, which may lead to inconsistencies.</w:t>
      </w:r>
    </w:p>
    <w:p w14:paraId="556396B5" w14:textId="77777777" w:rsidR="00312A05" w:rsidRPr="00B4539E" w:rsidRDefault="00CC6BD9" w:rsidP="00B4539E">
      <w:pPr>
        <w:spacing w:line="360" w:lineRule="auto"/>
        <w:rPr>
          <w:rFonts w:ascii="Times New Roman" w:hAnsi="Times New Roman"/>
          <w:lang w:val="en-HK"/>
        </w:rPr>
      </w:pPr>
      <w:r>
        <w:pict w14:anchorId="30A5F02D">
          <v:rect id="Horizontal Line 20"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998B5F" w14:textId="1A11EB7F" w:rsidR="00312A05" w:rsidRPr="00B4539E" w:rsidRDefault="004601F9" w:rsidP="00B4539E">
      <w:pPr>
        <w:spacing w:before="100" w:beforeAutospacing="1" w:after="100" w:afterAutospacing="1" w:line="360" w:lineRule="auto"/>
        <w:outlineLvl w:val="2"/>
        <w:rPr>
          <w:rFonts w:ascii="Times New Roman" w:hAnsi="Times New Roman"/>
          <w:b/>
          <w:bCs/>
          <w:lang w:val="en-HK"/>
        </w:rPr>
      </w:pPr>
      <w:r w:rsidRPr="00B4539E">
        <w:rPr>
          <w:rFonts w:ascii="Times New Roman" w:hAnsi="Times New Roman" w:hint="eastAsia"/>
          <w:b/>
          <w:bCs/>
          <w:lang w:val="en-HK"/>
        </w:rPr>
        <w:t xml:space="preserve">4. </w:t>
      </w:r>
      <w:r w:rsidR="00312A05" w:rsidRPr="00B4539E">
        <w:rPr>
          <w:rFonts w:ascii="Times New Roman" w:hAnsi="Times New Roman"/>
          <w:b/>
          <w:bCs/>
          <w:lang w:val="en-HK"/>
        </w:rPr>
        <w:t>Ethical and Systemic Implications</w:t>
      </w:r>
    </w:p>
    <w:p w14:paraId="6584B1BF"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critiques the ethical and systemic consequences of the broad interpretation of appropriation, particularly post-Gomez and Hinks. He emphasizes the importance of aligning theft law with principles of fairness, proportionality, and coherence.</w:t>
      </w:r>
    </w:p>
    <w:p w14:paraId="2EA3DE5B"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Ethical Concerns</w:t>
      </w:r>
    </w:p>
    <w:p w14:paraId="5F960719"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Fair Warning</w:t>
      </w:r>
      <w:r w:rsidRPr="00B4539E">
        <w:rPr>
          <w:rFonts w:ascii="Times New Roman" w:hAnsi="Times New Roman"/>
          <w:lang w:val="en-HK"/>
        </w:rPr>
        <w:t>:</w:t>
      </w:r>
    </w:p>
    <w:p w14:paraId="199B3336"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Post-Gomez, defendants may be unaware that their actions constitute appropriation.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observes:</w:t>
      </w:r>
    </w:p>
    <w:p w14:paraId="72084C05"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inclusion of lawful acts, such as receiving a valid gift, within the ambit of appropriation undermines the principle of fair warning.”</w:t>
      </w:r>
    </w:p>
    <w:p w14:paraId="43595EDE"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Example: In </w:t>
      </w:r>
      <w:r w:rsidRPr="00B4539E">
        <w:rPr>
          <w:rFonts w:ascii="Times New Roman" w:hAnsi="Times New Roman"/>
          <w:b/>
          <w:bCs/>
          <w:lang w:val="en-HK"/>
        </w:rPr>
        <w:t>R v Hinks</w:t>
      </w:r>
      <w:r w:rsidRPr="00B4539E">
        <w:rPr>
          <w:rFonts w:ascii="Times New Roman" w:hAnsi="Times New Roman"/>
          <w:lang w:val="en-HK"/>
        </w:rPr>
        <w:t>, the defendant’s receipt of valid gifts was deemed theft, despite no clear actus reus.</w:t>
      </w:r>
    </w:p>
    <w:p w14:paraId="569938A6"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lastRenderedPageBreak/>
        <w:t>Criminalization of Harmless Acts</w:t>
      </w:r>
      <w:r w:rsidRPr="00B4539E">
        <w:rPr>
          <w:rFonts w:ascii="Times New Roman" w:hAnsi="Times New Roman"/>
          <w:lang w:val="en-HK"/>
        </w:rPr>
        <w:t>:</w:t>
      </w:r>
    </w:p>
    <w:p w14:paraId="4F1F1584"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By removing subjectivity and focusing on dishonesty, the law risks criminalizing trivial or harmless acts.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critiques this trend:</w:t>
      </w:r>
    </w:p>
    <w:p w14:paraId="7689414A"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broad definition of appropriation shifts the focus from harmful acts to mental states, undermining the ethical foundations of theft law.”</w:t>
      </w:r>
    </w:p>
    <w:p w14:paraId="0A9ABA02" w14:textId="77777777" w:rsidR="00312A05" w:rsidRPr="00B4539E" w:rsidRDefault="00CC6BD9" w:rsidP="00B4539E">
      <w:pPr>
        <w:spacing w:line="360" w:lineRule="auto"/>
        <w:rPr>
          <w:rFonts w:ascii="Times New Roman" w:hAnsi="Times New Roman"/>
          <w:lang w:val="en-HK"/>
        </w:rPr>
      </w:pPr>
      <w:r>
        <w:pict w14:anchorId="7225A286">
          <v:rect id="Horizontal Line 21"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DE9772"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Systemic Issues</w:t>
      </w:r>
    </w:p>
    <w:p w14:paraId="3264DD83"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Collapse of Theft and Deception</w:t>
      </w:r>
      <w:r w:rsidRPr="00B4539E">
        <w:rPr>
          <w:rFonts w:ascii="Times New Roman" w:hAnsi="Times New Roman"/>
          <w:lang w:val="en-HK"/>
        </w:rPr>
        <w:t>:</w:t>
      </w:r>
    </w:p>
    <w:p w14:paraId="6292B00C"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argues that Gomez and Hinks </w:t>
      </w:r>
      <w:r w:rsidRPr="00B4539E">
        <w:rPr>
          <w:rFonts w:ascii="Times New Roman" w:hAnsi="Times New Roman"/>
          <w:b/>
          <w:bCs/>
          <w:lang w:val="en-HK"/>
        </w:rPr>
        <w:t>blur the distinction between theft and deception</w:t>
      </w:r>
      <w:r w:rsidRPr="00B4539E">
        <w:rPr>
          <w:rFonts w:ascii="Times New Roman" w:hAnsi="Times New Roman"/>
          <w:lang w:val="en-HK"/>
        </w:rPr>
        <w:t>. He states:</w:t>
      </w:r>
    </w:p>
    <w:p w14:paraId="3078A4D0"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conflation of offenses erodes the moral and legal distinctions between them, leading to inconsistent application of the law.”</w:t>
      </w:r>
    </w:p>
    <w:p w14:paraId="1F577AFC"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Example: In Gomez, the defendant’s actions resembled deception rather than theft, yet the court relied on the expansive definition of appropriation.</w:t>
      </w:r>
    </w:p>
    <w:p w14:paraId="7A15CA9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Tension with Civil Law</w:t>
      </w:r>
      <w:r w:rsidRPr="00B4539E">
        <w:rPr>
          <w:rFonts w:ascii="Times New Roman" w:hAnsi="Times New Roman"/>
          <w:lang w:val="en-HK"/>
        </w:rPr>
        <w:t>:</w:t>
      </w:r>
    </w:p>
    <w:p w14:paraId="310A1A23"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The criminalization of civilly valid transactions, as seen in Hinks, creates a disconnect between civil and criminal law.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argues:</w:t>
      </w:r>
    </w:p>
    <w:p w14:paraId="6B99805C"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 coherent legal system should ensure consistency between civil and criminal principles, especially in property law.”</w:t>
      </w:r>
    </w:p>
    <w:p w14:paraId="7ADE4CD8" w14:textId="77777777" w:rsidR="00312A05" w:rsidRPr="00B4539E" w:rsidRDefault="00CC6BD9" w:rsidP="00B4539E">
      <w:pPr>
        <w:spacing w:line="360" w:lineRule="auto"/>
        <w:rPr>
          <w:rFonts w:ascii="Times New Roman" w:hAnsi="Times New Roman"/>
          <w:lang w:val="en-HK"/>
        </w:rPr>
      </w:pPr>
      <w:r>
        <w:pict w14:anchorId="7A242007">
          <v:rect id="Horizontal Line 22"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36EB3D"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Proposed Reforms</w:t>
      </w:r>
    </w:p>
    <w:p w14:paraId="7EEB44DE"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Proprietary Subjectivity</w:t>
      </w:r>
      <w:r w:rsidRPr="00B4539E">
        <w:rPr>
          <w:rFonts w:ascii="Times New Roman" w:hAnsi="Times New Roman"/>
          <w:lang w:val="en-HK"/>
        </w:rPr>
        <w:t>:</w:t>
      </w:r>
    </w:p>
    <w:p w14:paraId="22BE0451"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lastRenderedPageBreak/>
        <w:t>Melissaris</w:t>
      </w:r>
      <w:proofErr w:type="spellEnd"/>
      <w:r w:rsidRPr="00B4539E">
        <w:rPr>
          <w:rFonts w:ascii="Times New Roman" w:hAnsi="Times New Roman"/>
          <w:lang w:val="en-HK"/>
        </w:rPr>
        <w:t xml:space="preserve"> advocates for integrating </w:t>
      </w:r>
      <w:r w:rsidRPr="00B4539E">
        <w:rPr>
          <w:rFonts w:ascii="Times New Roman" w:hAnsi="Times New Roman"/>
          <w:b/>
          <w:bCs/>
          <w:lang w:val="en-HK"/>
        </w:rPr>
        <w:t>proprietary subjectivity</w:t>
      </w:r>
      <w:r w:rsidRPr="00B4539E">
        <w:rPr>
          <w:rFonts w:ascii="Times New Roman" w:hAnsi="Times New Roman"/>
          <w:lang w:val="en-HK"/>
        </w:rPr>
        <w:t xml:space="preserve"> into theft law, ensuring that appropriation reflects meaningful interferences with property.</w:t>
      </w:r>
    </w:p>
    <w:p w14:paraId="6EB86114"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He suggests:</w:t>
      </w:r>
    </w:p>
    <w:p w14:paraId="32712B4F"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w:t>
      </w:r>
      <w:r w:rsidRPr="00B4539E">
        <w:rPr>
          <w:rFonts w:ascii="Times New Roman" w:hAnsi="Times New Roman"/>
          <w:b/>
          <w:bCs/>
          <w:lang w:val="en-HK"/>
        </w:rPr>
        <w:t xml:space="preserve">Appropriation should require a </w:t>
      </w:r>
      <w:r w:rsidRPr="00B4539E">
        <w:rPr>
          <w:rFonts w:ascii="Times New Roman" w:hAnsi="Times New Roman"/>
          <w:b/>
          <w:bCs/>
          <w:u w:val="single"/>
          <w:lang w:val="en-HK"/>
        </w:rPr>
        <w:t>mental connection</w:t>
      </w:r>
      <w:r w:rsidRPr="00B4539E">
        <w:rPr>
          <w:rFonts w:ascii="Times New Roman" w:hAnsi="Times New Roman"/>
          <w:b/>
          <w:bCs/>
          <w:lang w:val="en-HK"/>
        </w:rPr>
        <w:t xml:space="preserve"> to property</w:t>
      </w:r>
      <w:r w:rsidRPr="00B4539E">
        <w:rPr>
          <w:rFonts w:ascii="Times New Roman" w:hAnsi="Times New Roman"/>
          <w:lang w:val="en-HK"/>
        </w:rPr>
        <w:t>, where the defendant assumes ownership-like control.”</w:t>
      </w:r>
    </w:p>
    <w:p w14:paraId="3A9756E2"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Legislative Clarity</w:t>
      </w:r>
      <w:r w:rsidRPr="00B4539E">
        <w:rPr>
          <w:rFonts w:ascii="Times New Roman" w:hAnsi="Times New Roman"/>
          <w:lang w:val="en-HK"/>
        </w:rPr>
        <w:t>:</w:t>
      </w:r>
    </w:p>
    <w:p w14:paraId="5AECE621"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The Theft Act should explicitly define appropriation to prevent over-criminalization and ensure fair </w:t>
      </w:r>
      <w:proofErr w:type="spellStart"/>
      <w:r w:rsidRPr="00B4539E">
        <w:rPr>
          <w:rFonts w:ascii="Times New Roman" w:hAnsi="Times New Roman"/>
          <w:lang w:val="en-HK"/>
        </w:rPr>
        <w:t>labeling</w:t>
      </w:r>
      <w:proofErr w:type="spellEnd"/>
      <w:r w:rsidRPr="00B4539E">
        <w:rPr>
          <w:rFonts w:ascii="Times New Roman" w:hAnsi="Times New Roman"/>
          <w:lang w:val="en-HK"/>
        </w:rPr>
        <w:t xml:space="preserve">.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recommends:</w:t>
      </w:r>
    </w:p>
    <w:p w14:paraId="480AAF59" w14:textId="5CF5D634" w:rsidR="00207A6D"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law must balance objective actions with subjective intent, ensuring proportionality in criminalizing theft.”</w:t>
      </w:r>
    </w:p>
    <w:p w14:paraId="279356A7" w14:textId="3C7D2CB0" w:rsidR="00207A6D" w:rsidRPr="00B4539E" w:rsidRDefault="004601F9" w:rsidP="00B4539E">
      <w:pPr>
        <w:spacing w:beforeAutospacing="1" w:afterAutospacing="1" w:line="360" w:lineRule="auto"/>
        <w:rPr>
          <w:rFonts w:ascii="Times New Roman" w:hAnsi="Times New Roman"/>
          <w:lang w:val="en-HK"/>
        </w:rPr>
      </w:pPr>
      <w:r w:rsidRPr="00B4539E">
        <w:rPr>
          <w:noProof/>
        </w:rPr>
        <mc:AlternateContent>
          <mc:Choice Requires="wps">
            <w:drawing>
              <wp:inline distT="0" distB="0" distL="0" distR="0" wp14:anchorId="29284271" wp14:editId="05E38F74">
                <wp:extent cx="5731510" cy="1270"/>
                <wp:effectExtent l="0" t="0" r="8890" b="24130"/>
                <wp:docPr id="197709807" name="Horizontal Lin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43F7980" id="Horizontal Line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14:paraId="7FF734C6" w14:textId="342F5EDF" w:rsidR="00312A05" w:rsidRPr="00B4539E" w:rsidRDefault="004601F9" w:rsidP="00B4539E">
      <w:pPr>
        <w:spacing w:before="100" w:beforeAutospacing="1" w:after="100" w:afterAutospacing="1" w:line="360" w:lineRule="auto"/>
        <w:outlineLvl w:val="2"/>
        <w:rPr>
          <w:rFonts w:ascii="Times New Roman" w:hAnsi="Times New Roman"/>
          <w:b/>
          <w:bCs/>
          <w:lang w:val="en-HK"/>
        </w:rPr>
      </w:pPr>
      <w:r w:rsidRPr="00B4539E">
        <w:rPr>
          <w:rFonts w:ascii="Times New Roman" w:hAnsi="Times New Roman" w:hint="eastAsia"/>
          <w:b/>
          <w:bCs/>
          <w:lang w:val="en-HK"/>
        </w:rPr>
        <w:t xml:space="preserve">5. </w:t>
      </w:r>
      <w:r w:rsidR="00312A05" w:rsidRPr="00B4539E">
        <w:rPr>
          <w:rFonts w:ascii="Times New Roman" w:hAnsi="Times New Roman"/>
          <w:b/>
          <w:bCs/>
          <w:lang w:val="en-HK"/>
        </w:rPr>
        <w:t>Revisiting the Problems of Appropriation</w:t>
      </w:r>
    </w:p>
    <w:p w14:paraId="135D13B5" w14:textId="6A091988"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revisits the systemic and ethical issues caused by the current interpretation of appropriation under the </w:t>
      </w:r>
      <w:r w:rsidRPr="00B4539E">
        <w:rPr>
          <w:rFonts w:ascii="Times New Roman" w:hAnsi="Times New Roman"/>
          <w:b/>
          <w:bCs/>
          <w:lang w:val="en-HK"/>
        </w:rPr>
        <w:t>Theft Act 1968</w:t>
      </w:r>
      <w:r w:rsidRPr="00B4539E">
        <w:rPr>
          <w:rFonts w:ascii="Times New Roman" w:hAnsi="Times New Roman"/>
          <w:lang w:val="en-HK"/>
        </w:rPr>
        <w:t>, arguing that these problems stem from the conceptual flaws in the definition and application of appropriation. He reclassifies these issues into systemic and ethical categories, offering insights into their origins and implications.</w:t>
      </w:r>
    </w:p>
    <w:p w14:paraId="74C9CB16"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Systemic Problems</w:t>
      </w:r>
    </w:p>
    <w:p w14:paraId="7C80FE01"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Overbreadth of Appropriation</w:t>
      </w:r>
      <w:r w:rsidRPr="00B4539E">
        <w:rPr>
          <w:rFonts w:ascii="Times New Roman" w:hAnsi="Times New Roman"/>
          <w:lang w:val="en-HK"/>
        </w:rPr>
        <w:br/>
        <w:t xml:space="preserve">The expansive interpretation of appropriation following </w:t>
      </w:r>
      <w:r w:rsidRPr="00B4539E">
        <w:rPr>
          <w:rFonts w:ascii="Times New Roman" w:hAnsi="Times New Roman"/>
          <w:b/>
          <w:bCs/>
          <w:lang w:val="en-HK"/>
        </w:rPr>
        <w:t>R v Gomez [1993] AC 442</w:t>
      </w:r>
      <w:r w:rsidRPr="00B4539E">
        <w:rPr>
          <w:rFonts w:ascii="Times New Roman" w:hAnsi="Times New Roman"/>
          <w:lang w:val="en-HK"/>
        </w:rPr>
        <w:t xml:space="preserve"> renders it so broad that it includes acts that are trivial, lawful, or consensual.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observes:</w:t>
      </w:r>
    </w:p>
    <w:p w14:paraId="7B9D65AB"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"Post-Gomez, any handling of property, no matter how minor, can be classified as appropriation if accompanied by dishonesty."</w:t>
      </w:r>
    </w:p>
    <w:p w14:paraId="60525452"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Case Example</w:t>
      </w:r>
      <w:r w:rsidRPr="00B4539E">
        <w:rPr>
          <w:rFonts w:ascii="Times New Roman" w:hAnsi="Times New Roman"/>
          <w:lang w:val="en-HK"/>
        </w:rPr>
        <w:t>:</w:t>
      </w:r>
    </w:p>
    <w:p w14:paraId="5179A9BA"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lastRenderedPageBreak/>
        <w:t xml:space="preserve">In </w:t>
      </w:r>
      <w:r w:rsidRPr="00B4539E">
        <w:rPr>
          <w:rFonts w:ascii="Times New Roman" w:hAnsi="Times New Roman"/>
          <w:b/>
          <w:bCs/>
          <w:lang w:val="en-HK"/>
        </w:rPr>
        <w:t xml:space="preserve">R v Eddy v </w:t>
      </w:r>
      <w:proofErr w:type="spellStart"/>
      <w:r w:rsidRPr="00B4539E">
        <w:rPr>
          <w:rFonts w:ascii="Times New Roman" w:hAnsi="Times New Roman"/>
          <w:b/>
          <w:bCs/>
          <w:lang w:val="en-HK"/>
        </w:rPr>
        <w:t>Niman</w:t>
      </w:r>
      <w:proofErr w:type="spellEnd"/>
      <w:r w:rsidRPr="00B4539E">
        <w:rPr>
          <w:rFonts w:ascii="Times New Roman" w:hAnsi="Times New Roman"/>
          <w:b/>
          <w:bCs/>
          <w:lang w:val="en-HK"/>
        </w:rPr>
        <w:t xml:space="preserve"> [1981] 73 Cr App R 237</w:t>
      </w:r>
      <w:r w:rsidRPr="00B4539E">
        <w:rPr>
          <w:rFonts w:ascii="Times New Roman" w:hAnsi="Times New Roman"/>
          <w:lang w:val="en-HK"/>
        </w:rPr>
        <w:t xml:space="preserve">, a defendant abandoned goods in a supermarket trolley before paying for them. The court found no appropriation, as the act did not interfere with the owner’s rights.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critiques this inconsistency, noting that:</w:t>
      </w:r>
    </w:p>
    <w:p w14:paraId="4371198A"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"Gomez’s interpretation risks classifying even fleeting or benign acts as theft."</w:t>
      </w:r>
    </w:p>
    <w:p w14:paraId="64ED9C3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Conflation of Theft and Deception</w:t>
      </w:r>
    </w:p>
    <w:p w14:paraId="0A8F0F6D"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The </w:t>
      </w:r>
      <w:r w:rsidRPr="00B4539E">
        <w:rPr>
          <w:rFonts w:ascii="Times New Roman" w:hAnsi="Times New Roman"/>
          <w:b/>
          <w:bCs/>
          <w:lang w:val="en-HK"/>
        </w:rPr>
        <w:t>merging of theft and obtaining property by deception</w:t>
      </w:r>
      <w:r w:rsidRPr="00B4539E">
        <w:rPr>
          <w:rFonts w:ascii="Times New Roman" w:hAnsi="Times New Roman"/>
          <w:lang w:val="en-HK"/>
        </w:rPr>
        <w:t xml:space="preserve"> creates ambiguity and undermines fair </w:t>
      </w:r>
      <w:proofErr w:type="spellStart"/>
      <w:r w:rsidRPr="00B4539E">
        <w:rPr>
          <w:rFonts w:ascii="Times New Roman" w:hAnsi="Times New Roman"/>
          <w:lang w:val="en-HK"/>
        </w:rPr>
        <w:t>labeling</w:t>
      </w:r>
      <w:proofErr w:type="spellEnd"/>
      <w:r w:rsidRPr="00B4539E">
        <w:rPr>
          <w:rFonts w:ascii="Times New Roman" w:hAnsi="Times New Roman"/>
          <w:lang w:val="en-HK"/>
        </w:rPr>
        <w:t xml:space="preserve">.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argues:</w:t>
      </w:r>
    </w:p>
    <w:p w14:paraId="2D4F7E79"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collapse of boundaries between theft and deception offenses leads to inconsistent moral and legal evaluations."</w:t>
      </w:r>
    </w:p>
    <w:p w14:paraId="5DB3B26F"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Case Example</w:t>
      </w:r>
      <w:r w:rsidRPr="00B4539E">
        <w:rPr>
          <w:rFonts w:ascii="Times New Roman" w:hAnsi="Times New Roman"/>
          <w:lang w:val="en-HK"/>
        </w:rPr>
        <w:t>:</w:t>
      </w:r>
    </w:p>
    <w:p w14:paraId="51D13B4B"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In Gomez, the defendant’s actions closely resembled deception, yet the court relied on appropriation to establish theft.</w:t>
      </w:r>
    </w:p>
    <w:p w14:paraId="62DC8675"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Tension Between Civil and Criminal Law</w:t>
      </w:r>
    </w:p>
    <w:p w14:paraId="411F2B05"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The current interpretation of appropriation creates a stark divide between civil and criminal law. Valid transactions in civil law may be criminalized as theft under the Theft Act. For instance:</w:t>
      </w:r>
    </w:p>
    <w:p w14:paraId="63C22399"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R v Hinks [2001] 4 All ER 833</w:t>
      </w:r>
      <w:r w:rsidRPr="00B4539E">
        <w:rPr>
          <w:rFonts w:ascii="Times New Roman" w:hAnsi="Times New Roman"/>
          <w:lang w:val="en-HK"/>
        </w:rPr>
        <w:t xml:space="preserve"> involved the receipt of valid gifts. The court treated these as appropriation despite their validity in civil law.</w:t>
      </w:r>
    </w:p>
    <w:p w14:paraId="29DC9B0C"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Scholarly Criticism:</w:t>
      </w:r>
    </w:p>
    <w:p w14:paraId="0F34D582"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Clarkson and Keating</w:t>
      </w:r>
      <w:r w:rsidRPr="00B4539E">
        <w:rPr>
          <w:rFonts w:ascii="Times New Roman" w:hAnsi="Times New Roman"/>
          <w:lang w:val="en-HK"/>
        </w:rPr>
        <w:t xml:space="preserve"> argue:</w:t>
      </w:r>
    </w:p>
    <w:p w14:paraId="78EF8DE7"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 coherent legal system must align civil and criminal principles in property law to avoid undermining public trust in legal consistency."</w:t>
      </w:r>
    </w:p>
    <w:p w14:paraId="1923C12B"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Dependence on Dishonesty</w:t>
      </w:r>
    </w:p>
    <w:p w14:paraId="0BB657D4"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lastRenderedPageBreak/>
        <w:t xml:space="preserve">The reliance on dishonesty as the primary determinant of theft shifts focus away from appropriation.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critiques this trend:</w:t>
      </w:r>
    </w:p>
    <w:p w14:paraId="6D54253F"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 xml:space="preserve">"By </w:t>
      </w:r>
      <w:r w:rsidRPr="00B4539E">
        <w:rPr>
          <w:rFonts w:ascii="Times New Roman" w:hAnsi="Times New Roman"/>
          <w:b/>
          <w:bCs/>
          <w:lang w:val="en-HK"/>
        </w:rPr>
        <w:t>removing subjectivity from appropriation</w:t>
      </w:r>
      <w:r w:rsidRPr="00B4539E">
        <w:rPr>
          <w:rFonts w:ascii="Times New Roman" w:hAnsi="Times New Roman"/>
          <w:lang w:val="en-HK"/>
        </w:rPr>
        <w:t>, the law places undue weight on dishonesty, which remains a vague and contested concept."</w:t>
      </w:r>
    </w:p>
    <w:p w14:paraId="5025DBCB" w14:textId="77777777" w:rsidR="00312A05" w:rsidRPr="00B4539E" w:rsidRDefault="00CC6BD9" w:rsidP="00B4539E">
      <w:pPr>
        <w:spacing w:line="360" w:lineRule="auto"/>
        <w:rPr>
          <w:rFonts w:ascii="Times New Roman" w:hAnsi="Times New Roman"/>
          <w:lang w:val="en-HK"/>
        </w:rPr>
      </w:pPr>
      <w:r>
        <w:pict w14:anchorId="716EEE60">
          <v:rect id="Horizontal Line 30"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6DE8F7"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Ethical Concerns</w:t>
      </w:r>
    </w:p>
    <w:p w14:paraId="2E8F2CFD"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Fair Warning</w:t>
      </w:r>
    </w:p>
    <w:p w14:paraId="45BDB6E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The </w:t>
      </w:r>
      <w:r w:rsidRPr="00B4539E">
        <w:rPr>
          <w:rFonts w:ascii="Times New Roman" w:hAnsi="Times New Roman"/>
          <w:b/>
          <w:bCs/>
          <w:lang w:val="en-HK"/>
        </w:rPr>
        <w:t>inclusion of lawful acts</w:t>
      </w:r>
      <w:r w:rsidRPr="00B4539E">
        <w:rPr>
          <w:rFonts w:ascii="Times New Roman" w:hAnsi="Times New Roman"/>
          <w:lang w:val="en-HK"/>
        </w:rPr>
        <w:t xml:space="preserve"> within the ambit of appropriation undermines the principle of fair warning, leaving defendants uncertain about the legality of their actions. </w:t>
      </w: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states:</w:t>
      </w:r>
    </w:p>
    <w:p w14:paraId="1A1EC9AF"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 xml:space="preserve">"Defendants may </w:t>
      </w:r>
      <w:r w:rsidRPr="00B4539E">
        <w:rPr>
          <w:rFonts w:ascii="Times New Roman" w:hAnsi="Times New Roman"/>
          <w:b/>
          <w:bCs/>
          <w:lang w:val="en-HK"/>
        </w:rPr>
        <w:t>unknowingly commit theft under the expansive definition of appropriation</w:t>
      </w:r>
      <w:r w:rsidRPr="00B4539E">
        <w:rPr>
          <w:rFonts w:ascii="Times New Roman" w:hAnsi="Times New Roman"/>
          <w:lang w:val="en-HK"/>
        </w:rPr>
        <w:t>, violating the principle of legal clarity."</w:t>
      </w:r>
    </w:p>
    <w:p w14:paraId="2A2C0B87"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Case Example</w:t>
      </w:r>
      <w:r w:rsidRPr="00B4539E">
        <w:rPr>
          <w:rFonts w:ascii="Times New Roman" w:hAnsi="Times New Roman"/>
          <w:lang w:val="en-HK"/>
        </w:rPr>
        <w:t>:</w:t>
      </w:r>
    </w:p>
    <w:p w14:paraId="76C3026C"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In Hinks, the defendant received gifts lawfully, yet her actions were deemed criminal due to the element of dishonesty. This raises concerns about the predictability of criminal liability.</w:t>
      </w:r>
    </w:p>
    <w:p w14:paraId="3240D4E8"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Criminalization of Thoughts</w:t>
      </w:r>
    </w:p>
    <w:p w14:paraId="7C34A2DE"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warns that the inclusion of proprietary subjectivity without external manifestation risks criminalizing thoughts:</w:t>
      </w:r>
    </w:p>
    <w:p w14:paraId="0A590FA5"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"If appropriation can occur purely in the mind, the law risks punishing defendants without any tangible harm or action."</w:t>
      </w:r>
    </w:p>
    <w:p w14:paraId="15B9DD20"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 xml:space="preserve">To address this, he advocates requiring </w:t>
      </w:r>
      <w:r w:rsidRPr="00B4539E">
        <w:rPr>
          <w:rFonts w:ascii="Times New Roman" w:hAnsi="Times New Roman"/>
          <w:b/>
          <w:bCs/>
          <w:lang w:val="en-HK"/>
        </w:rPr>
        <w:t>manifestation of proprietary subjectivity</w:t>
      </w:r>
      <w:r w:rsidRPr="00B4539E">
        <w:rPr>
          <w:rFonts w:ascii="Times New Roman" w:hAnsi="Times New Roman"/>
          <w:lang w:val="en-HK"/>
        </w:rPr>
        <w:t>, ensuring that appropriation involves observable conduct.</w:t>
      </w:r>
    </w:p>
    <w:p w14:paraId="1664C03C" w14:textId="77777777" w:rsidR="00312A05" w:rsidRPr="00B4539E" w:rsidRDefault="00CC6BD9" w:rsidP="00B4539E">
      <w:pPr>
        <w:spacing w:line="360" w:lineRule="auto"/>
        <w:rPr>
          <w:rFonts w:ascii="Times New Roman" w:hAnsi="Times New Roman"/>
          <w:lang w:val="en-HK"/>
        </w:rPr>
      </w:pPr>
      <w:r>
        <w:pict w14:anchorId="33053C31">
          <v:rect id="Horizontal Line 31"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2F8CB3" w14:textId="77777777" w:rsidR="00312A05" w:rsidRPr="00B4539E" w:rsidRDefault="00312A05" w:rsidP="00B4539E">
      <w:pPr>
        <w:spacing w:before="100" w:beforeAutospacing="1" w:after="100" w:afterAutospacing="1" w:line="360" w:lineRule="auto"/>
        <w:outlineLvl w:val="3"/>
        <w:rPr>
          <w:rFonts w:ascii="Times New Roman" w:hAnsi="Times New Roman"/>
          <w:b/>
          <w:bCs/>
          <w:lang w:val="en-HK"/>
        </w:rPr>
      </w:pPr>
      <w:r w:rsidRPr="00B4539E">
        <w:rPr>
          <w:rFonts w:ascii="Times New Roman" w:hAnsi="Times New Roman"/>
          <w:b/>
          <w:bCs/>
          <w:lang w:val="en-HK"/>
        </w:rPr>
        <w:t>Proposed Solutions</w:t>
      </w:r>
    </w:p>
    <w:p w14:paraId="65356CC4"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lastRenderedPageBreak/>
        <w:t>Reinterpreting Appropriation</w:t>
      </w:r>
    </w:p>
    <w:p w14:paraId="4D9A8ED1"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advocates for reinterpreting appropriation to focus on meaningful interferences with property. He introduces </w:t>
      </w:r>
      <w:r w:rsidRPr="00B4539E">
        <w:rPr>
          <w:rFonts w:ascii="Times New Roman" w:hAnsi="Times New Roman"/>
          <w:b/>
          <w:bCs/>
          <w:lang w:val="en-HK"/>
        </w:rPr>
        <w:t>proprietary subjectivity</w:t>
      </w:r>
      <w:r w:rsidRPr="00B4539E">
        <w:rPr>
          <w:rFonts w:ascii="Times New Roman" w:hAnsi="Times New Roman"/>
          <w:lang w:val="en-HK"/>
        </w:rPr>
        <w:t xml:space="preserve"> as a central element:</w:t>
      </w:r>
    </w:p>
    <w:p w14:paraId="3D65CC2E"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"Appropriation should require a mental connection to property, where the defendant assumes ownership-like control."</w:t>
      </w:r>
    </w:p>
    <w:p w14:paraId="0556DBE7"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This approach addresses overbreadth by excluding trivial acts and lawful transactions from the definition of theft.</w:t>
      </w:r>
    </w:p>
    <w:p w14:paraId="703EE290"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b/>
          <w:bCs/>
          <w:lang w:val="en-HK"/>
        </w:rPr>
        <w:t>Legislative Reform</w:t>
      </w:r>
    </w:p>
    <w:p w14:paraId="3786B09D" w14:textId="77777777" w:rsidR="00312A05" w:rsidRPr="00B4539E" w:rsidRDefault="00312A05" w:rsidP="00B4539E">
      <w:pPr>
        <w:spacing w:before="100" w:beforeAutospacing="1" w:after="100" w:afterAutospacing="1" w:line="360" w:lineRule="auto"/>
        <w:rPr>
          <w:rFonts w:ascii="Times New Roman" w:hAnsi="Times New Roman"/>
          <w:lang w:val="en-HK"/>
        </w:rPr>
      </w:pPr>
      <w:proofErr w:type="spellStart"/>
      <w:r w:rsidRPr="00B4539E">
        <w:rPr>
          <w:rFonts w:ascii="Times New Roman" w:hAnsi="Times New Roman"/>
          <w:lang w:val="en-HK"/>
        </w:rPr>
        <w:t>Melissaris</w:t>
      </w:r>
      <w:proofErr w:type="spellEnd"/>
      <w:r w:rsidRPr="00B4539E">
        <w:rPr>
          <w:rFonts w:ascii="Times New Roman" w:hAnsi="Times New Roman"/>
          <w:lang w:val="en-HK"/>
        </w:rPr>
        <w:t xml:space="preserve"> calls for statutory amendments to clarify the boundaries of appropriation:</w:t>
      </w:r>
    </w:p>
    <w:p w14:paraId="45324C14" w14:textId="77777777" w:rsidR="00312A05" w:rsidRPr="00B4539E" w:rsidRDefault="00312A05" w:rsidP="00B4539E">
      <w:pPr>
        <w:spacing w:beforeAutospacing="1" w:afterAutospacing="1" w:line="360" w:lineRule="auto"/>
        <w:rPr>
          <w:rFonts w:ascii="Times New Roman" w:hAnsi="Times New Roman"/>
          <w:lang w:val="en-HK"/>
        </w:rPr>
      </w:pPr>
      <w:r w:rsidRPr="00B4539E">
        <w:rPr>
          <w:rFonts w:ascii="Times New Roman" w:hAnsi="Times New Roman"/>
          <w:lang w:val="en-HK"/>
        </w:rPr>
        <w:t>"The law must balance objective actions with subjective intent, ensuring fairness and proportionality in criminalizing theft."</w:t>
      </w:r>
    </w:p>
    <w:p w14:paraId="359D7B53" w14:textId="77777777" w:rsidR="00312A05" w:rsidRPr="00B4539E" w:rsidRDefault="00312A05" w:rsidP="00B4539E">
      <w:pPr>
        <w:spacing w:before="100" w:beforeAutospacing="1" w:after="100" w:afterAutospacing="1" w:line="360" w:lineRule="auto"/>
        <w:rPr>
          <w:rFonts w:ascii="Times New Roman" w:hAnsi="Times New Roman"/>
          <w:lang w:val="en-HK"/>
        </w:rPr>
      </w:pPr>
      <w:r w:rsidRPr="00B4539E">
        <w:rPr>
          <w:rFonts w:ascii="Times New Roman" w:hAnsi="Times New Roman"/>
          <w:lang w:val="en-HK"/>
        </w:rPr>
        <w:t>He recommends reintroducing elements of adverse interference or usurpation, aligning theft law with its ethical and systemic foundations.</w:t>
      </w:r>
    </w:p>
    <w:p w14:paraId="7590F3BE" w14:textId="77777777" w:rsidR="00312A05" w:rsidRPr="00B4539E" w:rsidRDefault="00CC6BD9" w:rsidP="00B4539E">
      <w:pPr>
        <w:spacing w:line="360" w:lineRule="auto"/>
        <w:rPr>
          <w:rFonts w:ascii="Times New Roman" w:hAnsi="Times New Roman"/>
          <w:lang w:val="en-HK"/>
        </w:rPr>
      </w:pPr>
      <w:r>
        <w:pict w14:anchorId="58383452">
          <v:rect id="Horizontal Line 32"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2D2720" w14:textId="77777777" w:rsidR="00CD39F1" w:rsidRPr="00B4539E" w:rsidRDefault="00CD39F1" w:rsidP="00B4539E">
      <w:pPr>
        <w:spacing w:line="360" w:lineRule="auto"/>
        <w:rPr>
          <w:lang w:val="en-US"/>
        </w:rPr>
      </w:pPr>
    </w:p>
    <w:sectPr w:rsidR="00CD39F1" w:rsidRPr="00B45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F2E9A"/>
    <w:multiLevelType w:val="multilevel"/>
    <w:tmpl w:val="2FA2E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A4073"/>
    <w:multiLevelType w:val="multilevel"/>
    <w:tmpl w:val="84E48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6572D"/>
    <w:multiLevelType w:val="multilevel"/>
    <w:tmpl w:val="59C8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F0B69"/>
    <w:multiLevelType w:val="multilevel"/>
    <w:tmpl w:val="BE066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A1C4B"/>
    <w:multiLevelType w:val="multilevel"/>
    <w:tmpl w:val="338CE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1612F"/>
    <w:multiLevelType w:val="hybridMultilevel"/>
    <w:tmpl w:val="0AF22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E72683"/>
    <w:multiLevelType w:val="multilevel"/>
    <w:tmpl w:val="51244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324D8"/>
    <w:multiLevelType w:val="multilevel"/>
    <w:tmpl w:val="39FE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97636"/>
    <w:multiLevelType w:val="multilevel"/>
    <w:tmpl w:val="AA3A0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61291"/>
    <w:multiLevelType w:val="multilevel"/>
    <w:tmpl w:val="DE143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B76B5"/>
    <w:multiLevelType w:val="hybridMultilevel"/>
    <w:tmpl w:val="C48812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DA33DD"/>
    <w:multiLevelType w:val="hybridMultilevel"/>
    <w:tmpl w:val="4B4889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860E47"/>
    <w:multiLevelType w:val="hybridMultilevel"/>
    <w:tmpl w:val="CD9455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733149"/>
    <w:multiLevelType w:val="multilevel"/>
    <w:tmpl w:val="FD3E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E2BC0"/>
    <w:multiLevelType w:val="multilevel"/>
    <w:tmpl w:val="3242743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A0F2C42"/>
    <w:multiLevelType w:val="multilevel"/>
    <w:tmpl w:val="3D649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344F5"/>
    <w:multiLevelType w:val="multilevel"/>
    <w:tmpl w:val="3D98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338B1"/>
    <w:multiLevelType w:val="multilevel"/>
    <w:tmpl w:val="56AEB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B3FD6"/>
    <w:multiLevelType w:val="multilevel"/>
    <w:tmpl w:val="84DEB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367929"/>
    <w:multiLevelType w:val="multilevel"/>
    <w:tmpl w:val="B3C2BD3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F8746C5"/>
    <w:multiLevelType w:val="multilevel"/>
    <w:tmpl w:val="6B3C7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225598"/>
    <w:multiLevelType w:val="multilevel"/>
    <w:tmpl w:val="FD1E0C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58F234A"/>
    <w:multiLevelType w:val="multilevel"/>
    <w:tmpl w:val="F05477C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7231C58"/>
    <w:multiLevelType w:val="multilevel"/>
    <w:tmpl w:val="3CDC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A43E1"/>
    <w:multiLevelType w:val="multilevel"/>
    <w:tmpl w:val="BBB23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A66EA3"/>
    <w:multiLevelType w:val="multilevel"/>
    <w:tmpl w:val="67A809F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0AC6D0E"/>
    <w:multiLevelType w:val="multilevel"/>
    <w:tmpl w:val="F0A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C24C5"/>
    <w:multiLevelType w:val="multilevel"/>
    <w:tmpl w:val="BE263E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66A4085"/>
    <w:multiLevelType w:val="multilevel"/>
    <w:tmpl w:val="E2CAE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9A3A04"/>
    <w:multiLevelType w:val="hybridMultilevel"/>
    <w:tmpl w:val="B57AA3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240561"/>
    <w:multiLevelType w:val="multilevel"/>
    <w:tmpl w:val="07AEFB9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E726641"/>
    <w:multiLevelType w:val="multilevel"/>
    <w:tmpl w:val="347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D3939"/>
    <w:multiLevelType w:val="multilevel"/>
    <w:tmpl w:val="F50A4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62308B"/>
    <w:multiLevelType w:val="multilevel"/>
    <w:tmpl w:val="0B6A61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8E24D16"/>
    <w:multiLevelType w:val="multilevel"/>
    <w:tmpl w:val="2CC4A25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99F13AB"/>
    <w:multiLevelType w:val="multilevel"/>
    <w:tmpl w:val="89621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9879A7"/>
    <w:multiLevelType w:val="multilevel"/>
    <w:tmpl w:val="8BB0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21D6C"/>
    <w:multiLevelType w:val="multilevel"/>
    <w:tmpl w:val="E04C7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919F4"/>
    <w:multiLevelType w:val="multilevel"/>
    <w:tmpl w:val="B49C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115134">
    <w:abstractNumId w:val="23"/>
  </w:num>
  <w:num w:numId="2" w16cid:durableId="1283657183">
    <w:abstractNumId w:val="26"/>
  </w:num>
  <w:num w:numId="3" w16cid:durableId="115411327">
    <w:abstractNumId w:val="38"/>
  </w:num>
  <w:num w:numId="4" w16cid:durableId="941305311">
    <w:abstractNumId w:val="16"/>
  </w:num>
  <w:num w:numId="5" w16cid:durableId="559026156">
    <w:abstractNumId w:val="36"/>
  </w:num>
  <w:num w:numId="6" w16cid:durableId="57558588">
    <w:abstractNumId w:val="33"/>
  </w:num>
  <w:num w:numId="7" w16cid:durableId="2113624985">
    <w:abstractNumId w:val="25"/>
  </w:num>
  <w:num w:numId="8" w16cid:durableId="2120560229">
    <w:abstractNumId w:val="21"/>
  </w:num>
  <w:num w:numId="9" w16cid:durableId="909730837">
    <w:abstractNumId w:val="0"/>
  </w:num>
  <w:num w:numId="10" w16cid:durableId="424376533">
    <w:abstractNumId w:val="31"/>
  </w:num>
  <w:num w:numId="11" w16cid:durableId="554202116">
    <w:abstractNumId w:val="9"/>
  </w:num>
  <w:num w:numId="12" w16cid:durableId="1718581893">
    <w:abstractNumId w:val="20"/>
  </w:num>
  <w:num w:numId="13" w16cid:durableId="1994599948">
    <w:abstractNumId w:val="24"/>
  </w:num>
  <w:num w:numId="14" w16cid:durableId="762727287">
    <w:abstractNumId w:val="3"/>
  </w:num>
  <w:num w:numId="15" w16cid:durableId="797800306">
    <w:abstractNumId w:val="4"/>
  </w:num>
  <w:num w:numId="16" w16cid:durableId="1815297171">
    <w:abstractNumId w:val="15"/>
  </w:num>
  <w:num w:numId="17" w16cid:durableId="1478037252">
    <w:abstractNumId w:val="32"/>
  </w:num>
  <w:num w:numId="18" w16cid:durableId="236592217">
    <w:abstractNumId w:val="35"/>
  </w:num>
  <w:num w:numId="19" w16cid:durableId="1011302616">
    <w:abstractNumId w:val="18"/>
  </w:num>
  <w:num w:numId="20" w16cid:durableId="1199119745">
    <w:abstractNumId w:val="1"/>
  </w:num>
  <w:num w:numId="21" w16cid:durableId="1537084022">
    <w:abstractNumId w:val="6"/>
  </w:num>
  <w:num w:numId="22" w16cid:durableId="1059985563">
    <w:abstractNumId w:val="28"/>
  </w:num>
  <w:num w:numId="23" w16cid:durableId="1218474825">
    <w:abstractNumId w:val="5"/>
  </w:num>
  <w:num w:numId="24" w16cid:durableId="1846237697">
    <w:abstractNumId w:val="10"/>
  </w:num>
  <w:num w:numId="25" w16cid:durableId="1648125682">
    <w:abstractNumId w:val="11"/>
  </w:num>
  <w:num w:numId="26" w16cid:durableId="2028411059">
    <w:abstractNumId w:val="22"/>
  </w:num>
  <w:num w:numId="27" w16cid:durableId="1160003059">
    <w:abstractNumId w:val="8"/>
  </w:num>
  <w:num w:numId="28" w16cid:durableId="1095248836">
    <w:abstractNumId w:val="19"/>
  </w:num>
  <w:num w:numId="29" w16cid:durableId="1510676331">
    <w:abstractNumId w:val="17"/>
  </w:num>
  <w:num w:numId="30" w16cid:durableId="1287858412">
    <w:abstractNumId w:val="13"/>
  </w:num>
  <w:num w:numId="31" w16cid:durableId="46606783">
    <w:abstractNumId w:val="2"/>
  </w:num>
  <w:num w:numId="32" w16cid:durableId="1926836155">
    <w:abstractNumId w:val="37"/>
  </w:num>
  <w:num w:numId="33" w16cid:durableId="147747497">
    <w:abstractNumId w:val="7"/>
  </w:num>
  <w:num w:numId="34" w16cid:durableId="46152122">
    <w:abstractNumId w:val="14"/>
  </w:num>
  <w:num w:numId="35" w16cid:durableId="410086199">
    <w:abstractNumId w:val="30"/>
  </w:num>
  <w:num w:numId="36" w16cid:durableId="1740251526">
    <w:abstractNumId w:val="27"/>
  </w:num>
  <w:num w:numId="37" w16cid:durableId="1443956781">
    <w:abstractNumId w:val="34"/>
  </w:num>
  <w:num w:numId="38" w16cid:durableId="349767302">
    <w:abstractNumId w:val="29"/>
  </w:num>
  <w:num w:numId="39" w16cid:durableId="11775041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C74"/>
    <w:rsid w:val="00004DD3"/>
    <w:rsid w:val="00012117"/>
    <w:rsid w:val="000147A9"/>
    <w:rsid w:val="000413D8"/>
    <w:rsid w:val="00042755"/>
    <w:rsid w:val="0006107D"/>
    <w:rsid w:val="000623A3"/>
    <w:rsid w:val="000719DA"/>
    <w:rsid w:val="00094D65"/>
    <w:rsid w:val="000A1C74"/>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7A6D"/>
    <w:rsid w:val="00223837"/>
    <w:rsid w:val="002261B2"/>
    <w:rsid w:val="00243CED"/>
    <w:rsid w:val="00247BCC"/>
    <w:rsid w:val="00257540"/>
    <w:rsid w:val="0026510F"/>
    <w:rsid w:val="00291F37"/>
    <w:rsid w:val="00297C6E"/>
    <w:rsid w:val="002D715D"/>
    <w:rsid w:val="002E0F3A"/>
    <w:rsid w:val="002E46F2"/>
    <w:rsid w:val="002F1DB1"/>
    <w:rsid w:val="002F20B2"/>
    <w:rsid w:val="002F53C9"/>
    <w:rsid w:val="003048A0"/>
    <w:rsid w:val="0031138E"/>
    <w:rsid w:val="00312A05"/>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601F9"/>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367F8"/>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4539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C6BD9"/>
    <w:rsid w:val="00CD39F1"/>
    <w:rsid w:val="00CE1439"/>
    <w:rsid w:val="00CF07EA"/>
    <w:rsid w:val="00CF74EF"/>
    <w:rsid w:val="00D02AC8"/>
    <w:rsid w:val="00D0623C"/>
    <w:rsid w:val="00D07271"/>
    <w:rsid w:val="00D16917"/>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06D16"/>
    <w:rsid w:val="00F248D2"/>
    <w:rsid w:val="00F27F00"/>
    <w:rsid w:val="00F655F4"/>
    <w:rsid w:val="00F6591F"/>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426C063"/>
  <w15:chartTrackingRefBased/>
  <w15:docId w15:val="{AE6AB325-E5AF-FB47-8391-5DDB3DD0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A1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1C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1C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0A1C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0A1C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1C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1C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1C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C7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A1C7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A1C7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A1C7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0A1C7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rsid w:val="000A1C7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A1C7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A1C7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A1C7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A1C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C7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A1C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C7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A1C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1C7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A1C74"/>
    <w:pPr>
      <w:ind w:left="720"/>
      <w:contextualSpacing/>
    </w:pPr>
  </w:style>
  <w:style w:type="character" w:styleId="IntenseEmphasis">
    <w:name w:val="Intense Emphasis"/>
    <w:basedOn w:val="DefaultParagraphFont"/>
    <w:uiPriority w:val="21"/>
    <w:qFormat/>
    <w:rsid w:val="000A1C74"/>
    <w:rPr>
      <w:i/>
      <w:iCs/>
      <w:color w:val="2F5496" w:themeColor="accent1" w:themeShade="BF"/>
    </w:rPr>
  </w:style>
  <w:style w:type="paragraph" w:styleId="IntenseQuote">
    <w:name w:val="Intense Quote"/>
    <w:basedOn w:val="Normal"/>
    <w:next w:val="Normal"/>
    <w:link w:val="IntenseQuoteChar"/>
    <w:uiPriority w:val="30"/>
    <w:qFormat/>
    <w:rsid w:val="000A1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C7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A1C74"/>
    <w:rPr>
      <w:b/>
      <w:bCs/>
      <w:smallCaps/>
      <w:color w:val="2F5496" w:themeColor="accent1" w:themeShade="BF"/>
      <w:spacing w:val="5"/>
    </w:rPr>
  </w:style>
  <w:style w:type="character" w:styleId="Strong">
    <w:name w:val="Strong"/>
    <w:basedOn w:val="DefaultParagraphFont"/>
    <w:uiPriority w:val="22"/>
    <w:qFormat/>
    <w:rsid w:val="00312A05"/>
    <w:rPr>
      <w:b/>
      <w:bCs/>
    </w:rPr>
  </w:style>
  <w:style w:type="paragraph" w:styleId="NormalWeb">
    <w:name w:val="Normal (Web)"/>
    <w:basedOn w:val="Normal"/>
    <w:uiPriority w:val="99"/>
    <w:semiHidden/>
    <w:unhideWhenUsed/>
    <w:rsid w:val="00312A05"/>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865816">
      <w:bodyDiv w:val="1"/>
      <w:marLeft w:val="0"/>
      <w:marRight w:val="0"/>
      <w:marTop w:val="0"/>
      <w:marBottom w:val="0"/>
      <w:divBdr>
        <w:top w:val="none" w:sz="0" w:space="0" w:color="auto"/>
        <w:left w:val="none" w:sz="0" w:space="0" w:color="auto"/>
        <w:bottom w:val="none" w:sz="0" w:space="0" w:color="auto"/>
        <w:right w:val="none" w:sz="0" w:space="0" w:color="auto"/>
      </w:divBdr>
      <w:divsChild>
        <w:div w:id="16837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677468507">
          <w:blockQuote w:val="1"/>
          <w:marLeft w:val="720"/>
          <w:marRight w:val="720"/>
          <w:marTop w:val="100"/>
          <w:marBottom w:val="100"/>
          <w:divBdr>
            <w:top w:val="none" w:sz="0" w:space="0" w:color="auto"/>
            <w:left w:val="none" w:sz="0" w:space="0" w:color="auto"/>
            <w:bottom w:val="none" w:sz="0" w:space="0" w:color="auto"/>
            <w:right w:val="none" w:sz="0" w:space="0" w:color="auto"/>
          </w:divBdr>
        </w:div>
        <w:div w:id="977146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13861">
          <w:blockQuote w:val="1"/>
          <w:marLeft w:val="720"/>
          <w:marRight w:val="720"/>
          <w:marTop w:val="100"/>
          <w:marBottom w:val="100"/>
          <w:divBdr>
            <w:top w:val="none" w:sz="0" w:space="0" w:color="auto"/>
            <w:left w:val="none" w:sz="0" w:space="0" w:color="auto"/>
            <w:bottom w:val="none" w:sz="0" w:space="0" w:color="auto"/>
            <w:right w:val="none" w:sz="0" w:space="0" w:color="auto"/>
          </w:divBdr>
        </w:div>
        <w:div w:id="347145751">
          <w:blockQuote w:val="1"/>
          <w:marLeft w:val="720"/>
          <w:marRight w:val="720"/>
          <w:marTop w:val="100"/>
          <w:marBottom w:val="100"/>
          <w:divBdr>
            <w:top w:val="none" w:sz="0" w:space="0" w:color="auto"/>
            <w:left w:val="none" w:sz="0" w:space="0" w:color="auto"/>
            <w:bottom w:val="none" w:sz="0" w:space="0" w:color="auto"/>
            <w:right w:val="none" w:sz="0" w:space="0" w:color="auto"/>
          </w:divBdr>
        </w:div>
        <w:div w:id="748576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684783">
      <w:bodyDiv w:val="1"/>
      <w:marLeft w:val="0"/>
      <w:marRight w:val="0"/>
      <w:marTop w:val="0"/>
      <w:marBottom w:val="0"/>
      <w:divBdr>
        <w:top w:val="none" w:sz="0" w:space="0" w:color="auto"/>
        <w:left w:val="none" w:sz="0" w:space="0" w:color="auto"/>
        <w:bottom w:val="none" w:sz="0" w:space="0" w:color="auto"/>
        <w:right w:val="none" w:sz="0" w:space="0" w:color="auto"/>
      </w:divBdr>
      <w:divsChild>
        <w:div w:id="1106080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23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94457435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4339">
          <w:blockQuote w:val="1"/>
          <w:marLeft w:val="720"/>
          <w:marRight w:val="720"/>
          <w:marTop w:val="100"/>
          <w:marBottom w:val="100"/>
          <w:divBdr>
            <w:top w:val="none" w:sz="0" w:space="0" w:color="auto"/>
            <w:left w:val="none" w:sz="0" w:space="0" w:color="auto"/>
            <w:bottom w:val="none" w:sz="0" w:space="0" w:color="auto"/>
            <w:right w:val="none" w:sz="0" w:space="0" w:color="auto"/>
          </w:divBdr>
        </w:div>
        <w:div w:id="869531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145">
          <w:blockQuote w:val="1"/>
          <w:marLeft w:val="720"/>
          <w:marRight w:val="720"/>
          <w:marTop w:val="100"/>
          <w:marBottom w:val="100"/>
          <w:divBdr>
            <w:top w:val="none" w:sz="0" w:space="0" w:color="auto"/>
            <w:left w:val="none" w:sz="0" w:space="0" w:color="auto"/>
            <w:bottom w:val="none" w:sz="0" w:space="0" w:color="auto"/>
            <w:right w:val="none" w:sz="0" w:space="0" w:color="auto"/>
          </w:divBdr>
        </w:div>
        <w:div w:id="698746121">
          <w:blockQuote w:val="1"/>
          <w:marLeft w:val="720"/>
          <w:marRight w:val="720"/>
          <w:marTop w:val="100"/>
          <w:marBottom w:val="100"/>
          <w:divBdr>
            <w:top w:val="none" w:sz="0" w:space="0" w:color="auto"/>
            <w:left w:val="none" w:sz="0" w:space="0" w:color="auto"/>
            <w:bottom w:val="none" w:sz="0" w:space="0" w:color="auto"/>
            <w:right w:val="none" w:sz="0" w:space="0" w:color="auto"/>
          </w:divBdr>
        </w:div>
        <w:div w:id="793718925">
          <w:blockQuote w:val="1"/>
          <w:marLeft w:val="720"/>
          <w:marRight w:val="720"/>
          <w:marTop w:val="100"/>
          <w:marBottom w:val="100"/>
          <w:divBdr>
            <w:top w:val="none" w:sz="0" w:space="0" w:color="auto"/>
            <w:left w:val="none" w:sz="0" w:space="0" w:color="auto"/>
            <w:bottom w:val="none" w:sz="0" w:space="0" w:color="auto"/>
            <w:right w:val="none" w:sz="0" w:space="0" w:color="auto"/>
          </w:divBdr>
        </w:div>
        <w:div w:id="938099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143712">
      <w:bodyDiv w:val="1"/>
      <w:marLeft w:val="0"/>
      <w:marRight w:val="0"/>
      <w:marTop w:val="0"/>
      <w:marBottom w:val="0"/>
      <w:divBdr>
        <w:top w:val="none" w:sz="0" w:space="0" w:color="auto"/>
        <w:left w:val="none" w:sz="0" w:space="0" w:color="auto"/>
        <w:bottom w:val="none" w:sz="0" w:space="0" w:color="auto"/>
        <w:right w:val="none" w:sz="0" w:space="0" w:color="auto"/>
      </w:divBdr>
      <w:divsChild>
        <w:div w:id="84328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886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48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55527">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3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3142">
      <w:bodyDiv w:val="1"/>
      <w:marLeft w:val="0"/>
      <w:marRight w:val="0"/>
      <w:marTop w:val="0"/>
      <w:marBottom w:val="0"/>
      <w:divBdr>
        <w:top w:val="none" w:sz="0" w:space="0" w:color="auto"/>
        <w:left w:val="none" w:sz="0" w:space="0" w:color="auto"/>
        <w:bottom w:val="none" w:sz="0" w:space="0" w:color="auto"/>
        <w:right w:val="none" w:sz="0" w:space="0" w:color="auto"/>
      </w:divBdr>
      <w:divsChild>
        <w:div w:id="58622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93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351108366">
          <w:blockQuote w:val="1"/>
          <w:marLeft w:val="720"/>
          <w:marRight w:val="720"/>
          <w:marTop w:val="100"/>
          <w:marBottom w:val="100"/>
          <w:divBdr>
            <w:top w:val="none" w:sz="0" w:space="0" w:color="auto"/>
            <w:left w:val="none" w:sz="0" w:space="0" w:color="auto"/>
            <w:bottom w:val="none" w:sz="0" w:space="0" w:color="auto"/>
            <w:right w:val="none" w:sz="0" w:space="0" w:color="auto"/>
          </w:divBdr>
        </w:div>
        <w:div w:id="673262286">
          <w:blockQuote w:val="1"/>
          <w:marLeft w:val="720"/>
          <w:marRight w:val="720"/>
          <w:marTop w:val="100"/>
          <w:marBottom w:val="100"/>
          <w:divBdr>
            <w:top w:val="none" w:sz="0" w:space="0" w:color="auto"/>
            <w:left w:val="none" w:sz="0" w:space="0" w:color="auto"/>
            <w:bottom w:val="none" w:sz="0" w:space="0" w:color="auto"/>
            <w:right w:val="none" w:sz="0" w:space="0" w:color="auto"/>
          </w:divBdr>
        </w:div>
        <w:div w:id="720135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9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260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73700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15811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69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59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163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037066">
      <w:bodyDiv w:val="1"/>
      <w:marLeft w:val="0"/>
      <w:marRight w:val="0"/>
      <w:marTop w:val="0"/>
      <w:marBottom w:val="0"/>
      <w:divBdr>
        <w:top w:val="none" w:sz="0" w:space="0" w:color="auto"/>
        <w:left w:val="none" w:sz="0" w:space="0" w:color="auto"/>
        <w:bottom w:val="none" w:sz="0" w:space="0" w:color="auto"/>
        <w:right w:val="none" w:sz="0" w:space="0" w:color="auto"/>
      </w:divBdr>
      <w:divsChild>
        <w:div w:id="953754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14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7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90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077982">
          <w:blockQuote w:val="1"/>
          <w:marLeft w:val="720"/>
          <w:marRight w:val="720"/>
          <w:marTop w:val="100"/>
          <w:marBottom w:val="100"/>
          <w:divBdr>
            <w:top w:val="none" w:sz="0" w:space="0" w:color="auto"/>
            <w:left w:val="none" w:sz="0" w:space="0" w:color="auto"/>
            <w:bottom w:val="none" w:sz="0" w:space="0" w:color="auto"/>
            <w:right w:val="none" w:sz="0" w:space="0" w:color="auto"/>
          </w:divBdr>
        </w:div>
        <w:div w:id="86391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96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933056167">
          <w:blockQuote w:val="1"/>
          <w:marLeft w:val="720"/>
          <w:marRight w:val="720"/>
          <w:marTop w:val="100"/>
          <w:marBottom w:val="100"/>
          <w:divBdr>
            <w:top w:val="none" w:sz="0" w:space="0" w:color="auto"/>
            <w:left w:val="none" w:sz="0" w:space="0" w:color="auto"/>
            <w:bottom w:val="none" w:sz="0" w:space="0" w:color="auto"/>
            <w:right w:val="none" w:sz="0" w:space="0" w:color="auto"/>
          </w:divBdr>
        </w:div>
        <w:div w:id="65086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17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7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3680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337755">
      <w:bodyDiv w:val="1"/>
      <w:marLeft w:val="0"/>
      <w:marRight w:val="0"/>
      <w:marTop w:val="0"/>
      <w:marBottom w:val="0"/>
      <w:divBdr>
        <w:top w:val="none" w:sz="0" w:space="0" w:color="auto"/>
        <w:left w:val="none" w:sz="0" w:space="0" w:color="auto"/>
        <w:bottom w:val="none" w:sz="0" w:space="0" w:color="auto"/>
        <w:right w:val="none" w:sz="0" w:space="0" w:color="auto"/>
      </w:divBdr>
      <w:divsChild>
        <w:div w:id="951863467">
          <w:marLeft w:val="0"/>
          <w:marRight w:val="0"/>
          <w:marTop w:val="0"/>
          <w:marBottom w:val="0"/>
          <w:divBdr>
            <w:top w:val="none" w:sz="0" w:space="0" w:color="auto"/>
            <w:left w:val="none" w:sz="0" w:space="0" w:color="auto"/>
            <w:bottom w:val="none" w:sz="0" w:space="0" w:color="auto"/>
            <w:right w:val="none" w:sz="0" w:space="0" w:color="auto"/>
          </w:divBdr>
          <w:divsChild>
            <w:div w:id="308557225">
              <w:marLeft w:val="0"/>
              <w:marRight w:val="0"/>
              <w:marTop w:val="0"/>
              <w:marBottom w:val="0"/>
              <w:divBdr>
                <w:top w:val="none" w:sz="0" w:space="0" w:color="auto"/>
                <w:left w:val="none" w:sz="0" w:space="0" w:color="auto"/>
                <w:bottom w:val="none" w:sz="0" w:space="0" w:color="auto"/>
                <w:right w:val="none" w:sz="0" w:space="0" w:color="auto"/>
              </w:divBdr>
              <w:divsChild>
                <w:div w:id="1028406794">
                  <w:marLeft w:val="0"/>
                  <w:marRight w:val="0"/>
                  <w:marTop w:val="0"/>
                  <w:marBottom w:val="0"/>
                  <w:divBdr>
                    <w:top w:val="none" w:sz="0" w:space="0" w:color="auto"/>
                    <w:left w:val="none" w:sz="0" w:space="0" w:color="auto"/>
                    <w:bottom w:val="none" w:sz="0" w:space="0" w:color="auto"/>
                    <w:right w:val="none" w:sz="0" w:space="0" w:color="auto"/>
                  </w:divBdr>
                  <w:divsChild>
                    <w:div w:id="847673044">
                      <w:marLeft w:val="0"/>
                      <w:marRight w:val="0"/>
                      <w:marTop w:val="0"/>
                      <w:marBottom w:val="0"/>
                      <w:divBdr>
                        <w:top w:val="none" w:sz="0" w:space="0" w:color="auto"/>
                        <w:left w:val="none" w:sz="0" w:space="0" w:color="auto"/>
                        <w:bottom w:val="none" w:sz="0" w:space="0" w:color="auto"/>
                        <w:right w:val="none" w:sz="0" w:space="0" w:color="auto"/>
                      </w:divBdr>
                      <w:divsChild>
                        <w:div w:id="1878002620">
                          <w:marLeft w:val="0"/>
                          <w:marRight w:val="0"/>
                          <w:marTop w:val="0"/>
                          <w:marBottom w:val="0"/>
                          <w:divBdr>
                            <w:top w:val="none" w:sz="0" w:space="0" w:color="auto"/>
                            <w:left w:val="none" w:sz="0" w:space="0" w:color="auto"/>
                            <w:bottom w:val="none" w:sz="0" w:space="0" w:color="auto"/>
                            <w:right w:val="none" w:sz="0" w:space="0" w:color="auto"/>
                          </w:divBdr>
                          <w:divsChild>
                            <w:div w:id="11999947">
                              <w:marLeft w:val="0"/>
                              <w:marRight w:val="0"/>
                              <w:marTop w:val="0"/>
                              <w:marBottom w:val="0"/>
                              <w:divBdr>
                                <w:top w:val="none" w:sz="0" w:space="0" w:color="auto"/>
                                <w:left w:val="none" w:sz="0" w:space="0" w:color="auto"/>
                                <w:bottom w:val="none" w:sz="0" w:space="0" w:color="auto"/>
                                <w:right w:val="none" w:sz="0" w:space="0" w:color="auto"/>
                              </w:divBdr>
                              <w:divsChild>
                                <w:div w:id="1667511239">
                                  <w:marLeft w:val="0"/>
                                  <w:marRight w:val="0"/>
                                  <w:marTop w:val="0"/>
                                  <w:marBottom w:val="0"/>
                                  <w:divBdr>
                                    <w:top w:val="none" w:sz="0" w:space="0" w:color="auto"/>
                                    <w:left w:val="none" w:sz="0" w:space="0" w:color="auto"/>
                                    <w:bottom w:val="none" w:sz="0" w:space="0" w:color="auto"/>
                                    <w:right w:val="none" w:sz="0" w:space="0" w:color="auto"/>
                                  </w:divBdr>
                                  <w:divsChild>
                                    <w:div w:id="1440638412">
                                      <w:marLeft w:val="0"/>
                                      <w:marRight w:val="0"/>
                                      <w:marTop w:val="0"/>
                                      <w:marBottom w:val="0"/>
                                      <w:divBdr>
                                        <w:top w:val="none" w:sz="0" w:space="0" w:color="auto"/>
                                        <w:left w:val="none" w:sz="0" w:space="0" w:color="auto"/>
                                        <w:bottom w:val="none" w:sz="0" w:space="0" w:color="auto"/>
                                        <w:right w:val="none" w:sz="0" w:space="0" w:color="auto"/>
                                      </w:divBdr>
                                      <w:divsChild>
                                        <w:div w:id="112873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6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95676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424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46519">
                                          <w:blockQuote w:val="1"/>
                                          <w:marLeft w:val="720"/>
                                          <w:marRight w:val="720"/>
                                          <w:marTop w:val="100"/>
                                          <w:marBottom w:val="100"/>
                                          <w:divBdr>
                                            <w:top w:val="none" w:sz="0" w:space="0" w:color="auto"/>
                                            <w:left w:val="none" w:sz="0" w:space="0" w:color="auto"/>
                                            <w:bottom w:val="none" w:sz="0" w:space="0" w:color="auto"/>
                                            <w:right w:val="none" w:sz="0" w:space="0" w:color="auto"/>
                                          </w:divBdr>
                                        </w:div>
                                        <w:div w:id="5195167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37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8267">
                                          <w:blockQuote w:val="1"/>
                                          <w:marLeft w:val="720"/>
                                          <w:marRight w:val="720"/>
                                          <w:marTop w:val="100"/>
                                          <w:marBottom w:val="100"/>
                                          <w:divBdr>
                                            <w:top w:val="none" w:sz="0" w:space="0" w:color="auto"/>
                                            <w:left w:val="none" w:sz="0" w:space="0" w:color="auto"/>
                                            <w:bottom w:val="none" w:sz="0" w:space="0" w:color="auto"/>
                                            <w:right w:val="none" w:sz="0" w:space="0" w:color="auto"/>
                                          </w:divBdr>
                                        </w:div>
                                        <w:div w:id="925071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379513">
          <w:marLeft w:val="0"/>
          <w:marRight w:val="0"/>
          <w:marTop w:val="0"/>
          <w:marBottom w:val="0"/>
          <w:divBdr>
            <w:top w:val="none" w:sz="0" w:space="0" w:color="auto"/>
            <w:left w:val="none" w:sz="0" w:space="0" w:color="auto"/>
            <w:bottom w:val="none" w:sz="0" w:space="0" w:color="auto"/>
            <w:right w:val="none" w:sz="0" w:space="0" w:color="auto"/>
          </w:divBdr>
          <w:divsChild>
            <w:div w:id="1200360473">
              <w:marLeft w:val="0"/>
              <w:marRight w:val="0"/>
              <w:marTop w:val="0"/>
              <w:marBottom w:val="0"/>
              <w:divBdr>
                <w:top w:val="none" w:sz="0" w:space="0" w:color="auto"/>
                <w:left w:val="none" w:sz="0" w:space="0" w:color="auto"/>
                <w:bottom w:val="none" w:sz="0" w:space="0" w:color="auto"/>
                <w:right w:val="none" w:sz="0" w:space="0" w:color="auto"/>
              </w:divBdr>
              <w:divsChild>
                <w:div w:id="1853756526">
                  <w:marLeft w:val="0"/>
                  <w:marRight w:val="0"/>
                  <w:marTop w:val="0"/>
                  <w:marBottom w:val="0"/>
                  <w:divBdr>
                    <w:top w:val="none" w:sz="0" w:space="0" w:color="auto"/>
                    <w:left w:val="none" w:sz="0" w:space="0" w:color="auto"/>
                    <w:bottom w:val="none" w:sz="0" w:space="0" w:color="auto"/>
                    <w:right w:val="none" w:sz="0" w:space="0" w:color="auto"/>
                  </w:divBdr>
                  <w:divsChild>
                    <w:div w:id="823087579">
                      <w:marLeft w:val="0"/>
                      <w:marRight w:val="0"/>
                      <w:marTop w:val="0"/>
                      <w:marBottom w:val="0"/>
                      <w:divBdr>
                        <w:top w:val="none" w:sz="0" w:space="0" w:color="auto"/>
                        <w:left w:val="none" w:sz="0" w:space="0" w:color="auto"/>
                        <w:bottom w:val="none" w:sz="0" w:space="0" w:color="auto"/>
                        <w:right w:val="none" w:sz="0" w:space="0" w:color="auto"/>
                      </w:divBdr>
                      <w:divsChild>
                        <w:div w:id="813564182">
                          <w:marLeft w:val="0"/>
                          <w:marRight w:val="0"/>
                          <w:marTop w:val="0"/>
                          <w:marBottom w:val="0"/>
                          <w:divBdr>
                            <w:top w:val="none" w:sz="0" w:space="0" w:color="auto"/>
                            <w:left w:val="none" w:sz="0" w:space="0" w:color="auto"/>
                            <w:bottom w:val="none" w:sz="0" w:space="0" w:color="auto"/>
                            <w:right w:val="none" w:sz="0" w:space="0" w:color="auto"/>
                          </w:divBdr>
                          <w:divsChild>
                            <w:div w:id="1846091939">
                              <w:marLeft w:val="0"/>
                              <w:marRight w:val="0"/>
                              <w:marTop w:val="0"/>
                              <w:marBottom w:val="0"/>
                              <w:divBdr>
                                <w:top w:val="none" w:sz="0" w:space="0" w:color="auto"/>
                                <w:left w:val="none" w:sz="0" w:space="0" w:color="auto"/>
                                <w:bottom w:val="none" w:sz="0" w:space="0" w:color="auto"/>
                                <w:right w:val="none" w:sz="0" w:space="0" w:color="auto"/>
                              </w:divBdr>
                              <w:divsChild>
                                <w:div w:id="783187656">
                                  <w:marLeft w:val="0"/>
                                  <w:marRight w:val="0"/>
                                  <w:marTop w:val="0"/>
                                  <w:marBottom w:val="0"/>
                                  <w:divBdr>
                                    <w:top w:val="none" w:sz="0" w:space="0" w:color="auto"/>
                                    <w:left w:val="none" w:sz="0" w:space="0" w:color="auto"/>
                                    <w:bottom w:val="none" w:sz="0" w:space="0" w:color="auto"/>
                                    <w:right w:val="none" w:sz="0" w:space="0" w:color="auto"/>
                                  </w:divBdr>
                                  <w:divsChild>
                                    <w:div w:id="1972468832">
                                      <w:marLeft w:val="0"/>
                                      <w:marRight w:val="0"/>
                                      <w:marTop w:val="0"/>
                                      <w:marBottom w:val="0"/>
                                      <w:divBdr>
                                        <w:top w:val="none" w:sz="0" w:space="0" w:color="auto"/>
                                        <w:left w:val="none" w:sz="0" w:space="0" w:color="auto"/>
                                        <w:bottom w:val="none" w:sz="0" w:space="0" w:color="auto"/>
                                        <w:right w:val="none" w:sz="0" w:space="0" w:color="auto"/>
                                      </w:divBdr>
                                      <w:divsChild>
                                        <w:div w:id="18001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462820">
          <w:marLeft w:val="0"/>
          <w:marRight w:val="0"/>
          <w:marTop w:val="0"/>
          <w:marBottom w:val="0"/>
          <w:divBdr>
            <w:top w:val="none" w:sz="0" w:space="0" w:color="auto"/>
            <w:left w:val="none" w:sz="0" w:space="0" w:color="auto"/>
            <w:bottom w:val="none" w:sz="0" w:space="0" w:color="auto"/>
            <w:right w:val="none" w:sz="0" w:space="0" w:color="auto"/>
          </w:divBdr>
          <w:divsChild>
            <w:div w:id="290286530">
              <w:marLeft w:val="0"/>
              <w:marRight w:val="0"/>
              <w:marTop w:val="0"/>
              <w:marBottom w:val="0"/>
              <w:divBdr>
                <w:top w:val="none" w:sz="0" w:space="0" w:color="auto"/>
                <w:left w:val="none" w:sz="0" w:space="0" w:color="auto"/>
                <w:bottom w:val="none" w:sz="0" w:space="0" w:color="auto"/>
                <w:right w:val="none" w:sz="0" w:space="0" w:color="auto"/>
              </w:divBdr>
              <w:divsChild>
                <w:div w:id="2012828863">
                  <w:marLeft w:val="0"/>
                  <w:marRight w:val="0"/>
                  <w:marTop w:val="0"/>
                  <w:marBottom w:val="0"/>
                  <w:divBdr>
                    <w:top w:val="none" w:sz="0" w:space="0" w:color="auto"/>
                    <w:left w:val="none" w:sz="0" w:space="0" w:color="auto"/>
                    <w:bottom w:val="none" w:sz="0" w:space="0" w:color="auto"/>
                    <w:right w:val="none" w:sz="0" w:space="0" w:color="auto"/>
                  </w:divBdr>
                  <w:divsChild>
                    <w:div w:id="1596207721">
                      <w:marLeft w:val="0"/>
                      <w:marRight w:val="0"/>
                      <w:marTop w:val="0"/>
                      <w:marBottom w:val="0"/>
                      <w:divBdr>
                        <w:top w:val="none" w:sz="0" w:space="0" w:color="auto"/>
                        <w:left w:val="none" w:sz="0" w:space="0" w:color="auto"/>
                        <w:bottom w:val="none" w:sz="0" w:space="0" w:color="auto"/>
                        <w:right w:val="none" w:sz="0" w:space="0" w:color="auto"/>
                      </w:divBdr>
                      <w:divsChild>
                        <w:div w:id="917444188">
                          <w:marLeft w:val="0"/>
                          <w:marRight w:val="0"/>
                          <w:marTop w:val="0"/>
                          <w:marBottom w:val="0"/>
                          <w:divBdr>
                            <w:top w:val="none" w:sz="0" w:space="0" w:color="auto"/>
                            <w:left w:val="none" w:sz="0" w:space="0" w:color="auto"/>
                            <w:bottom w:val="none" w:sz="0" w:space="0" w:color="auto"/>
                            <w:right w:val="none" w:sz="0" w:space="0" w:color="auto"/>
                          </w:divBdr>
                          <w:divsChild>
                            <w:div w:id="950668997">
                              <w:marLeft w:val="0"/>
                              <w:marRight w:val="0"/>
                              <w:marTop w:val="0"/>
                              <w:marBottom w:val="0"/>
                              <w:divBdr>
                                <w:top w:val="none" w:sz="0" w:space="0" w:color="auto"/>
                                <w:left w:val="none" w:sz="0" w:space="0" w:color="auto"/>
                                <w:bottom w:val="none" w:sz="0" w:space="0" w:color="auto"/>
                                <w:right w:val="none" w:sz="0" w:space="0" w:color="auto"/>
                              </w:divBdr>
                              <w:divsChild>
                                <w:div w:id="271519696">
                                  <w:marLeft w:val="0"/>
                                  <w:marRight w:val="0"/>
                                  <w:marTop w:val="0"/>
                                  <w:marBottom w:val="0"/>
                                  <w:divBdr>
                                    <w:top w:val="none" w:sz="0" w:space="0" w:color="auto"/>
                                    <w:left w:val="none" w:sz="0" w:space="0" w:color="auto"/>
                                    <w:bottom w:val="none" w:sz="0" w:space="0" w:color="auto"/>
                                    <w:right w:val="none" w:sz="0" w:space="0" w:color="auto"/>
                                  </w:divBdr>
                                  <w:divsChild>
                                    <w:div w:id="13254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039205">
                  <w:marLeft w:val="0"/>
                  <w:marRight w:val="0"/>
                  <w:marTop w:val="0"/>
                  <w:marBottom w:val="0"/>
                  <w:divBdr>
                    <w:top w:val="none" w:sz="0" w:space="0" w:color="auto"/>
                    <w:left w:val="none" w:sz="0" w:space="0" w:color="auto"/>
                    <w:bottom w:val="none" w:sz="0" w:space="0" w:color="auto"/>
                    <w:right w:val="none" w:sz="0" w:space="0" w:color="auto"/>
                  </w:divBdr>
                  <w:divsChild>
                    <w:div w:id="927737965">
                      <w:marLeft w:val="0"/>
                      <w:marRight w:val="0"/>
                      <w:marTop w:val="0"/>
                      <w:marBottom w:val="0"/>
                      <w:divBdr>
                        <w:top w:val="none" w:sz="0" w:space="0" w:color="auto"/>
                        <w:left w:val="none" w:sz="0" w:space="0" w:color="auto"/>
                        <w:bottom w:val="none" w:sz="0" w:space="0" w:color="auto"/>
                        <w:right w:val="none" w:sz="0" w:space="0" w:color="auto"/>
                      </w:divBdr>
                      <w:divsChild>
                        <w:div w:id="1297251235">
                          <w:marLeft w:val="0"/>
                          <w:marRight w:val="0"/>
                          <w:marTop w:val="0"/>
                          <w:marBottom w:val="0"/>
                          <w:divBdr>
                            <w:top w:val="none" w:sz="0" w:space="0" w:color="auto"/>
                            <w:left w:val="none" w:sz="0" w:space="0" w:color="auto"/>
                            <w:bottom w:val="none" w:sz="0" w:space="0" w:color="auto"/>
                            <w:right w:val="none" w:sz="0" w:space="0" w:color="auto"/>
                          </w:divBdr>
                          <w:divsChild>
                            <w:div w:id="1644383496">
                              <w:marLeft w:val="0"/>
                              <w:marRight w:val="0"/>
                              <w:marTop w:val="0"/>
                              <w:marBottom w:val="0"/>
                              <w:divBdr>
                                <w:top w:val="none" w:sz="0" w:space="0" w:color="auto"/>
                                <w:left w:val="none" w:sz="0" w:space="0" w:color="auto"/>
                                <w:bottom w:val="none" w:sz="0" w:space="0" w:color="auto"/>
                                <w:right w:val="none" w:sz="0" w:space="0" w:color="auto"/>
                              </w:divBdr>
                              <w:divsChild>
                                <w:div w:id="1208180929">
                                  <w:marLeft w:val="0"/>
                                  <w:marRight w:val="0"/>
                                  <w:marTop w:val="0"/>
                                  <w:marBottom w:val="0"/>
                                  <w:divBdr>
                                    <w:top w:val="none" w:sz="0" w:space="0" w:color="auto"/>
                                    <w:left w:val="none" w:sz="0" w:space="0" w:color="auto"/>
                                    <w:bottom w:val="none" w:sz="0" w:space="0" w:color="auto"/>
                                    <w:right w:val="none" w:sz="0" w:space="0" w:color="auto"/>
                                  </w:divBdr>
                                  <w:divsChild>
                                    <w:div w:id="1447652164">
                                      <w:marLeft w:val="0"/>
                                      <w:marRight w:val="0"/>
                                      <w:marTop w:val="0"/>
                                      <w:marBottom w:val="0"/>
                                      <w:divBdr>
                                        <w:top w:val="none" w:sz="0" w:space="0" w:color="auto"/>
                                        <w:left w:val="none" w:sz="0" w:space="0" w:color="auto"/>
                                        <w:bottom w:val="none" w:sz="0" w:space="0" w:color="auto"/>
                                        <w:right w:val="none" w:sz="0" w:space="0" w:color="auto"/>
                                      </w:divBdr>
                                      <w:divsChild>
                                        <w:div w:id="1277560366">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53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311300458">
                                          <w:blockQuote w:val="1"/>
                                          <w:marLeft w:val="720"/>
                                          <w:marRight w:val="720"/>
                                          <w:marTop w:val="100"/>
                                          <w:marBottom w:val="100"/>
                                          <w:divBdr>
                                            <w:top w:val="none" w:sz="0" w:space="0" w:color="auto"/>
                                            <w:left w:val="none" w:sz="0" w:space="0" w:color="auto"/>
                                            <w:bottom w:val="none" w:sz="0" w:space="0" w:color="auto"/>
                                            <w:right w:val="none" w:sz="0" w:space="0" w:color="auto"/>
                                          </w:divBdr>
                                        </w:div>
                                        <w:div w:id="268196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75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952857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275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694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428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654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586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89452">
                                          <w:blockQuote w:val="1"/>
                                          <w:marLeft w:val="720"/>
                                          <w:marRight w:val="720"/>
                                          <w:marTop w:val="100"/>
                                          <w:marBottom w:val="100"/>
                                          <w:divBdr>
                                            <w:top w:val="none" w:sz="0" w:space="0" w:color="auto"/>
                                            <w:left w:val="none" w:sz="0" w:space="0" w:color="auto"/>
                                            <w:bottom w:val="none" w:sz="0" w:space="0" w:color="auto"/>
                                            <w:right w:val="none" w:sz="0" w:space="0" w:color="auto"/>
                                          </w:divBdr>
                                        </w:div>
                                        <w:div w:id="33465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060866">
      <w:bodyDiv w:val="1"/>
      <w:marLeft w:val="0"/>
      <w:marRight w:val="0"/>
      <w:marTop w:val="0"/>
      <w:marBottom w:val="0"/>
      <w:divBdr>
        <w:top w:val="none" w:sz="0" w:space="0" w:color="auto"/>
        <w:left w:val="none" w:sz="0" w:space="0" w:color="auto"/>
        <w:bottom w:val="none" w:sz="0" w:space="0" w:color="auto"/>
        <w:right w:val="none" w:sz="0" w:space="0" w:color="auto"/>
      </w:divBdr>
      <w:divsChild>
        <w:div w:id="104664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8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36491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97648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666259">
          <w:blockQuote w:val="1"/>
          <w:marLeft w:val="720"/>
          <w:marRight w:val="720"/>
          <w:marTop w:val="100"/>
          <w:marBottom w:val="100"/>
          <w:divBdr>
            <w:top w:val="none" w:sz="0" w:space="0" w:color="auto"/>
            <w:left w:val="none" w:sz="0" w:space="0" w:color="auto"/>
            <w:bottom w:val="none" w:sz="0" w:space="0" w:color="auto"/>
            <w:right w:val="none" w:sz="0" w:space="0" w:color="auto"/>
          </w:divBdr>
        </w:div>
        <w:div w:id="367792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482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620377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9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198668">
      <w:bodyDiv w:val="1"/>
      <w:marLeft w:val="0"/>
      <w:marRight w:val="0"/>
      <w:marTop w:val="0"/>
      <w:marBottom w:val="0"/>
      <w:divBdr>
        <w:top w:val="none" w:sz="0" w:space="0" w:color="auto"/>
        <w:left w:val="none" w:sz="0" w:space="0" w:color="auto"/>
        <w:bottom w:val="none" w:sz="0" w:space="0" w:color="auto"/>
        <w:right w:val="none" w:sz="0" w:space="0" w:color="auto"/>
      </w:divBdr>
      <w:divsChild>
        <w:div w:id="1864828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336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52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327817">
          <w:blockQuote w:val="1"/>
          <w:marLeft w:val="720"/>
          <w:marRight w:val="720"/>
          <w:marTop w:val="100"/>
          <w:marBottom w:val="100"/>
          <w:divBdr>
            <w:top w:val="none" w:sz="0" w:space="0" w:color="auto"/>
            <w:left w:val="none" w:sz="0" w:space="0" w:color="auto"/>
            <w:bottom w:val="none" w:sz="0" w:space="0" w:color="auto"/>
            <w:right w:val="none" w:sz="0" w:space="0" w:color="auto"/>
          </w:divBdr>
        </w:div>
        <w:div w:id="76041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60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545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90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53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778228">
      <w:bodyDiv w:val="1"/>
      <w:marLeft w:val="0"/>
      <w:marRight w:val="0"/>
      <w:marTop w:val="0"/>
      <w:marBottom w:val="0"/>
      <w:divBdr>
        <w:top w:val="none" w:sz="0" w:space="0" w:color="auto"/>
        <w:left w:val="none" w:sz="0" w:space="0" w:color="auto"/>
        <w:bottom w:val="none" w:sz="0" w:space="0" w:color="auto"/>
        <w:right w:val="none" w:sz="0" w:space="0" w:color="auto"/>
      </w:divBdr>
      <w:divsChild>
        <w:div w:id="1600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64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566823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63926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902721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776711">
          <w:blockQuote w:val="1"/>
          <w:marLeft w:val="720"/>
          <w:marRight w:val="720"/>
          <w:marTop w:val="100"/>
          <w:marBottom w:val="100"/>
          <w:divBdr>
            <w:top w:val="none" w:sz="0" w:space="0" w:color="auto"/>
            <w:left w:val="none" w:sz="0" w:space="0" w:color="auto"/>
            <w:bottom w:val="none" w:sz="0" w:space="0" w:color="auto"/>
            <w:right w:val="none" w:sz="0" w:space="0" w:color="auto"/>
          </w:divBdr>
        </w:div>
        <w:div w:id="851532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23837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208005">
      <w:bodyDiv w:val="1"/>
      <w:marLeft w:val="0"/>
      <w:marRight w:val="0"/>
      <w:marTop w:val="0"/>
      <w:marBottom w:val="0"/>
      <w:divBdr>
        <w:top w:val="none" w:sz="0" w:space="0" w:color="auto"/>
        <w:left w:val="none" w:sz="0" w:space="0" w:color="auto"/>
        <w:bottom w:val="none" w:sz="0" w:space="0" w:color="auto"/>
        <w:right w:val="none" w:sz="0" w:space="0" w:color="auto"/>
      </w:divBdr>
      <w:divsChild>
        <w:div w:id="642318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451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55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832575">
          <w:blockQuote w:val="1"/>
          <w:marLeft w:val="720"/>
          <w:marRight w:val="720"/>
          <w:marTop w:val="100"/>
          <w:marBottom w:val="100"/>
          <w:divBdr>
            <w:top w:val="none" w:sz="0" w:space="0" w:color="auto"/>
            <w:left w:val="none" w:sz="0" w:space="0" w:color="auto"/>
            <w:bottom w:val="none" w:sz="0" w:space="0" w:color="auto"/>
            <w:right w:val="none" w:sz="0" w:space="0" w:color="auto"/>
          </w:divBdr>
        </w:div>
        <w:div w:id="76345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442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91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630599481">
          <w:blockQuote w:val="1"/>
          <w:marLeft w:val="720"/>
          <w:marRight w:val="720"/>
          <w:marTop w:val="100"/>
          <w:marBottom w:val="100"/>
          <w:divBdr>
            <w:top w:val="none" w:sz="0" w:space="0" w:color="auto"/>
            <w:left w:val="none" w:sz="0" w:space="0" w:color="auto"/>
            <w:bottom w:val="none" w:sz="0" w:space="0" w:color="auto"/>
            <w:right w:val="none" w:sz="0" w:space="0" w:color="auto"/>
          </w:divBdr>
        </w:div>
        <w:div w:id="856651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942108">
      <w:bodyDiv w:val="1"/>
      <w:marLeft w:val="0"/>
      <w:marRight w:val="0"/>
      <w:marTop w:val="0"/>
      <w:marBottom w:val="0"/>
      <w:divBdr>
        <w:top w:val="none" w:sz="0" w:space="0" w:color="auto"/>
        <w:left w:val="none" w:sz="0" w:space="0" w:color="auto"/>
        <w:bottom w:val="none" w:sz="0" w:space="0" w:color="auto"/>
        <w:right w:val="none" w:sz="0" w:space="0" w:color="auto"/>
      </w:divBdr>
      <w:divsChild>
        <w:div w:id="119893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35372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400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366805056">
          <w:blockQuote w:val="1"/>
          <w:marLeft w:val="720"/>
          <w:marRight w:val="720"/>
          <w:marTop w:val="100"/>
          <w:marBottom w:val="100"/>
          <w:divBdr>
            <w:top w:val="none" w:sz="0" w:space="0" w:color="auto"/>
            <w:left w:val="none" w:sz="0" w:space="0" w:color="auto"/>
            <w:bottom w:val="none" w:sz="0" w:space="0" w:color="auto"/>
            <w:right w:val="none" w:sz="0" w:space="0" w:color="auto"/>
          </w:divBdr>
        </w:div>
        <w:div w:id="56152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78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175320">
          <w:blockQuote w:val="1"/>
          <w:marLeft w:val="720"/>
          <w:marRight w:val="720"/>
          <w:marTop w:val="100"/>
          <w:marBottom w:val="100"/>
          <w:divBdr>
            <w:top w:val="none" w:sz="0" w:space="0" w:color="auto"/>
            <w:left w:val="none" w:sz="0" w:space="0" w:color="auto"/>
            <w:bottom w:val="none" w:sz="0" w:space="0" w:color="auto"/>
            <w:right w:val="none" w:sz="0" w:space="0" w:color="auto"/>
          </w:divBdr>
        </w:div>
        <w:div w:id="341783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16</Pages>
  <Words>3103</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9</cp:revision>
  <dcterms:created xsi:type="dcterms:W3CDTF">2025-01-14T12:28:00Z</dcterms:created>
  <dcterms:modified xsi:type="dcterms:W3CDTF">2025-01-14T14:52:00Z</dcterms:modified>
</cp:coreProperties>
</file>