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8327D" w14:textId="77777777" w:rsidR="009B302A" w:rsidRPr="009E788D" w:rsidRDefault="009B302A" w:rsidP="009B302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The Impact of DPP v Gomez</w:t>
      </w:r>
    </w:p>
    <w:p w14:paraId="0805BECE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Key Holding</w:t>
      </w:r>
      <w:r w:rsidRPr="009E788D">
        <w:rPr>
          <w:rFonts w:ascii="Times New Roman" w:hAnsi="Times New Roman"/>
          <w:lang w:val="en-HK"/>
        </w:rPr>
        <w:t xml:space="preserve">: The House of Lords ruled that even an authorized act, if accompanied by dishonesty, can constitute appropriation under the </w:t>
      </w:r>
      <w:r w:rsidRPr="009E788D">
        <w:rPr>
          <w:rFonts w:ascii="Times New Roman" w:hAnsi="Times New Roman"/>
          <w:b/>
          <w:bCs/>
          <w:lang w:val="en-HK"/>
        </w:rPr>
        <w:t>Theft Act 1968</w:t>
      </w:r>
      <w:r w:rsidRPr="009E788D">
        <w:rPr>
          <w:rFonts w:ascii="Times New Roman" w:hAnsi="Times New Roman"/>
          <w:lang w:val="en-HK"/>
        </w:rPr>
        <w:t>. This effectively merged theft with obtaining property by deception in many cases.</w:t>
      </w:r>
    </w:p>
    <w:p w14:paraId="5F758CB2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Lord Keith’s Justification</w:t>
      </w:r>
      <w:r w:rsidRPr="009E788D">
        <w:rPr>
          <w:rFonts w:ascii="Times New Roman" w:hAnsi="Times New Roman"/>
          <w:lang w:val="en-HK"/>
        </w:rPr>
        <w:t xml:space="preserve">: Lord Keith relied on </w:t>
      </w:r>
      <w:r w:rsidRPr="009E788D">
        <w:rPr>
          <w:rFonts w:ascii="Times New Roman" w:hAnsi="Times New Roman"/>
          <w:b/>
          <w:bCs/>
          <w:lang w:val="en-HK"/>
        </w:rPr>
        <w:t>R v Lawrence [1972] AC 626</w:t>
      </w:r>
      <w:r w:rsidRPr="009E788D">
        <w:rPr>
          <w:rFonts w:ascii="Times New Roman" w:hAnsi="Times New Roman"/>
          <w:lang w:val="en-HK"/>
        </w:rPr>
        <w:t xml:space="preserve"> as a “clear decision” that had stood for over a decade. He stated:</w:t>
      </w:r>
    </w:p>
    <w:p w14:paraId="3BA37AC8" w14:textId="77777777" w:rsidR="009B302A" w:rsidRPr="009E788D" w:rsidRDefault="009B302A" w:rsidP="009B302A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"There is no question of it now being right to depart from [Lawrence]."</w:t>
      </w:r>
    </w:p>
    <w:p w14:paraId="09AA16A3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Critique of Gomez</w:t>
      </w:r>
      <w:r w:rsidRPr="009E788D">
        <w:rPr>
          <w:rFonts w:ascii="Times New Roman" w:hAnsi="Times New Roman"/>
          <w:lang w:val="en-HK"/>
        </w:rPr>
        <w:t>:</w:t>
      </w:r>
    </w:p>
    <w:p w14:paraId="5D3325BB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Clarkson criticizes the lack of substantial reasoning, noting that the decision disregarded the moral and conceptual differences between theft and deception offenses.</w:t>
      </w:r>
    </w:p>
    <w:p w14:paraId="0E3B71D2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 xml:space="preserve">He argues that this approach "collapses the distinction" between the two crimes and ignores the </w:t>
      </w:r>
      <w:r w:rsidRPr="009E788D">
        <w:rPr>
          <w:rFonts w:ascii="Times New Roman" w:hAnsi="Times New Roman"/>
          <w:b/>
          <w:bCs/>
          <w:lang w:val="en-HK"/>
        </w:rPr>
        <w:t>Criminal Law Revision Committee's Report</w:t>
      </w:r>
      <w:r w:rsidRPr="009E788D">
        <w:rPr>
          <w:rFonts w:ascii="Times New Roman" w:hAnsi="Times New Roman"/>
          <w:lang w:val="en-HK"/>
        </w:rPr>
        <w:t>, which emphasized maintaining separate offenses.</w:t>
      </w:r>
    </w:p>
    <w:p w14:paraId="198A3492" w14:textId="77777777" w:rsidR="009B302A" w:rsidRPr="009E788D" w:rsidRDefault="00BB029D" w:rsidP="009B302A">
      <w:pPr>
        <w:spacing w:line="360" w:lineRule="auto"/>
        <w:rPr>
          <w:rFonts w:ascii="Times New Roman" w:hAnsi="Times New Roman"/>
          <w:lang w:val="en-HK"/>
        </w:rPr>
      </w:pPr>
      <w:r w:rsidRPr="00BB029D">
        <w:rPr>
          <w:rFonts w:ascii="Times New Roman" w:hAnsi="Times New Roman"/>
          <w:noProof/>
          <w:lang w:val="en-HK"/>
          <w14:ligatures w14:val="standardContextual"/>
        </w:rPr>
        <w:pict w14:anchorId="7C3909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0F901D" w14:textId="77777777" w:rsidR="009B302A" w:rsidRPr="009E788D" w:rsidRDefault="009B302A" w:rsidP="009B302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Moral and Conceptual Distinctions</w:t>
      </w:r>
    </w:p>
    <w:p w14:paraId="7E18A8E2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Paradigmatic Theft</w:t>
      </w:r>
      <w:r w:rsidRPr="009E788D">
        <w:rPr>
          <w:rFonts w:ascii="Times New Roman" w:hAnsi="Times New Roman"/>
          <w:lang w:val="en-HK"/>
        </w:rPr>
        <w:t>:</w:t>
      </w:r>
      <w:r w:rsidRPr="009E788D">
        <w:rPr>
          <w:rFonts w:ascii="Times New Roman" w:hAnsi="Times New Roman"/>
          <w:lang w:val="en-HK"/>
        </w:rPr>
        <w:br/>
        <w:t>Clarkson defines theft as involving a "surreptitious or forcible taking," where the owner is generally powerless to prevent the loss. There is often a risk of violence, and the property is taken without consent.</w:t>
      </w:r>
    </w:p>
    <w:p w14:paraId="1313EC14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Deception Offenses</w:t>
      </w:r>
      <w:r w:rsidRPr="009E788D">
        <w:rPr>
          <w:rFonts w:ascii="Times New Roman" w:hAnsi="Times New Roman"/>
          <w:lang w:val="en-HK"/>
        </w:rPr>
        <w:t>:</w:t>
      </w:r>
    </w:p>
    <w:p w14:paraId="7E54660C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In contrast, deception involves a victim’s participation in the transaction, often based on false representations. The victim’s consent, though manipulated, makes the moral wrong distinct.</w:t>
      </w:r>
    </w:p>
    <w:p w14:paraId="06DBCFB3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 xml:space="preserve">Clarkson cites </w:t>
      </w:r>
      <w:r w:rsidRPr="009E788D">
        <w:rPr>
          <w:rFonts w:ascii="Times New Roman" w:hAnsi="Times New Roman"/>
          <w:b/>
          <w:bCs/>
          <w:lang w:val="en-HK"/>
        </w:rPr>
        <w:t xml:space="preserve">Shute and </w:t>
      </w:r>
      <w:proofErr w:type="spellStart"/>
      <w:r w:rsidRPr="009E788D">
        <w:rPr>
          <w:rFonts w:ascii="Times New Roman" w:hAnsi="Times New Roman"/>
          <w:b/>
          <w:bCs/>
          <w:lang w:val="en-HK"/>
        </w:rPr>
        <w:t>Horder</w:t>
      </w:r>
      <w:proofErr w:type="spellEnd"/>
      <w:r w:rsidRPr="009E788D">
        <w:rPr>
          <w:rFonts w:ascii="Times New Roman" w:hAnsi="Times New Roman"/>
          <w:lang w:val="en-HK"/>
        </w:rPr>
        <w:t>, who describe this distinction as:</w:t>
      </w:r>
    </w:p>
    <w:p w14:paraId="39BBCABD" w14:textId="77777777" w:rsidR="009B302A" w:rsidRPr="009E788D" w:rsidRDefault="009B302A" w:rsidP="009B302A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“The thief makes war on a social practice from the outside, while the deceiver is the traitor within.”</w:t>
      </w:r>
    </w:p>
    <w:p w14:paraId="745D7DCA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lastRenderedPageBreak/>
        <w:t>Voluntariness as a Distinction</w:t>
      </w:r>
      <w:r w:rsidRPr="009E788D">
        <w:rPr>
          <w:rFonts w:ascii="Times New Roman" w:hAnsi="Times New Roman"/>
          <w:lang w:val="en-HK"/>
        </w:rPr>
        <w:t>:</w:t>
      </w:r>
    </w:p>
    <w:p w14:paraId="41AF9303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 xml:space="preserve">Shute and </w:t>
      </w:r>
      <w:proofErr w:type="spellStart"/>
      <w:r w:rsidRPr="009E788D">
        <w:rPr>
          <w:rFonts w:ascii="Times New Roman" w:hAnsi="Times New Roman"/>
          <w:lang w:val="en-HK"/>
        </w:rPr>
        <w:t>Horder</w:t>
      </w:r>
      <w:proofErr w:type="spellEnd"/>
      <w:r w:rsidRPr="009E788D">
        <w:rPr>
          <w:rFonts w:ascii="Times New Roman" w:hAnsi="Times New Roman"/>
          <w:lang w:val="en-HK"/>
        </w:rPr>
        <w:t xml:space="preserve"> propose distinguishing theft and deception based on whether the transfer of property was "voluntary" or "involuntary."</w:t>
      </w:r>
    </w:p>
    <w:p w14:paraId="07A7B1D6" w14:textId="77777777" w:rsidR="009B302A" w:rsidRPr="009E788D" w:rsidRDefault="009B302A" w:rsidP="009B302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Theft</w:t>
      </w:r>
      <w:r w:rsidRPr="009E788D">
        <w:rPr>
          <w:rFonts w:ascii="Times New Roman" w:hAnsi="Times New Roman"/>
          <w:lang w:val="en-HK"/>
        </w:rPr>
        <w:t>: An "involuntary" loss of property.</w:t>
      </w:r>
    </w:p>
    <w:p w14:paraId="475E06C1" w14:textId="77777777" w:rsidR="009B302A" w:rsidRPr="009E788D" w:rsidRDefault="009B302A" w:rsidP="009B302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Deception</w:t>
      </w:r>
      <w:r w:rsidRPr="009E788D">
        <w:rPr>
          <w:rFonts w:ascii="Times New Roman" w:hAnsi="Times New Roman"/>
          <w:lang w:val="en-HK"/>
        </w:rPr>
        <w:t>: A "voluntary" transfer, even if based on deceit.</w:t>
      </w:r>
    </w:p>
    <w:p w14:paraId="7D35F3CD" w14:textId="77777777" w:rsidR="009B302A" w:rsidRPr="009E788D" w:rsidRDefault="00BB029D" w:rsidP="009B302A">
      <w:pPr>
        <w:spacing w:line="360" w:lineRule="auto"/>
        <w:rPr>
          <w:rFonts w:ascii="Times New Roman" w:hAnsi="Times New Roman"/>
          <w:lang w:val="en-HK"/>
        </w:rPr>
      </w:pPr>
      <w:r w:rsidRPr="00BB029D">
        <w:rPr>
          <w:rFonts w:ascii="Times New Roman" w:hAnsi="Times New Roman"/>
          <w:noProof/>
          <w:lang w:val="en-HK"/>
          <w14:ligatures w14:val="standardContextual"/>
        </w:rPr>
        <w:pict w14:anchorId="5D7135B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D6E993" w14:textId="77777777" w:rsidR="009B302A" w:rsidRPr="009E788D" w:rsidRDefault="009B302A" w:rsidP="009B302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Challenges to Voluntariness</w:t>
      </w:r>
    </w:p>
    <w:p w14:paraId="64CB67AB" w14:textId="77777777" w:rsidR="009B302A" w:rsidRPr="009E788D" w:rsidRDefault="009B302A" w:rsidP="009B302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Ambiguity of Consent</w:t>
      </w:r>
      <w:r w:rsidRPr="009E788D">
        <w:rPr>
          <w:rFonts w:ascii="Times New Roman" w:hAnsi="Times New Roman"/>
          <w:lang w:val="en-HK"/>
        </w:rPr>
        <w:t>:</w:t>
      </w:r>
    </w:p>
    <w:p w14:paraId="6A54FEF5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Clarkson notes that the concept of voluntariness depends on whether the consent is "real" or "apparent." For example:</w:t>
      </w:r>
    </w:p>
    <w:p w14:paraId="59C5F629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In robbery, property is "</w:t>
      </w:r>
      <w:r w:rsidRPr="009E788D">
        <w:rPr>
          <w:rFonts w:ascii="Times New Roman" w:hAnsi="Times New Roman"/>
          <w:b/>
          <w:bCs/>
          <w:lang w:val="en-HK"/>
        </w:rPr>
        <w:t>given" under duress</w:t>
      </w:r>
      <w:r w:rsidRPr="009E788D">
        <w:rPr>
          <w:rFonts w:ascii="Times New Roman" w:hAnsi="Times New Roman"/>
          <w:lang w:val="en-HK"/>
        </w:rPr>
        <w:t>, making it morally involuntary.</w:t>
      </w:r>
    </w:p>
    <w:p w14:paraId="1A817816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 xml:space="preserve">He critiques Shute and </w:t>
      </w:r>
      <w:proofErr w:type="spellStart"/>
      <w:r w:rsidRPr="009E788D">
        <w:rPr>
          <w:rFonts w:ascii="Times New Roman" w:hAnsi="Times New Roman"/>
          <w:lang w:val="en-HK"/>
        </w:rPr>
        <w:t>Horder</w:t>
      </w:r>
      <w:proofErr w:type="spellEnd"/>
      <w:r w:rsidRPr="009E788D">
        <w:rPr>
          <w:rFonts w:ascii="Times New Roman" w:hAnsi="Times New Roman"/>
          <w:lang w:val="en-HK"/>
        </w:rPr>
        <w:t>, stating:</w:t>
      </w:r>
    </w:p>
    <w:p w14:paraId="73E89AC3" w14:textId="77777777" w:rsidR="009B302A" w:rsidRPr="009E788D" w:rsidRDefault="009B302A" w:rsidP="009B302A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"This proposed test, while preferable to the House of Lords’ reasoning, fails to resolve cases of apparent consent."</w:t>
      </w:r>
    </w:p>
    <w:p w14:paraId="3D862293" w14:textId="77777777" w:rsidR="009B302A" w:rsidRPr="009E788D" w:rsidRDefault="009B302A" w:rsidP="009B302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Difficult Cases</w:t>
      </w:r>
      <w:r w:rsidRPr="009E788D">
        <w:rPr>
          <w:rFonts w:ascii="Times New Roman" w:hAnsi="Times New Roman"/>
          <w:lang w:val="en-HK"/>
        </w:rPr>
        <w:t>:</w:t>
      </w:r>
    </w:p>
    <w:p w14:paraId="5DE94548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Clarkson examines cases that blur the line:</w:t>
      </w:r>
    </w:p>
    <w:p w14:paraId="5913B9DD" w14:textId="77777777" w:rsidR="009B302A" w:rsidRPr="009E788D" w:rsidRDefault="009B302A" w:rsidP="009B302A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Price-Switching (R v Morris [1984] AC 320)</w:t>
      </w:r>
      <w:r w:rsidRPr="009E788D">
        <w:rPr>
          <w:rFonts w:ascii="Times New Roman" w:hAnsi="Times New Roman"/>
          <w:lang w:val="en-HK"/>
        </w:rPr>
        <w:t xml:space="preserve">: Switching price labels was deemed theft, but Clarkson argues it resembles </w:t>
      </w:r>
      <w:r w:rsidRPr="009E788D">
        <w:rPr>
          <w:rFonts w:ascii="Times New Roman" w:hAnsi="Times New Roman"/>
          <w:b/>
          <w:bCs/>
          <w:lang w:val="en-HK"/>
        </w:rPr>
        <w:t>deception rather than forcible taking</w:t>
      </w:r>
      <w:r w:rsidRPr="009E788D">
        <w:rPr>
          <w:rFonts w:ascii="Times New Roman" w:hAnsi="Times New Roman"/>
          <w:lang w:val="en-HK"/>
        </w:rPr>
        <w:t>.</w:t>
      </w:r>
    </w:p>
    <w:p w14:paraId="64CE43E7" w14:textId="77777777" w:rsidR="009B302A" w:rsidRPr="009E788D" w:rsidRDefault="009B302A" w:rsidP="009B302A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Attorney General’s Reference (No. 1 of 1983) [1985] QB 182</w:t>
      </w:r>
      <w:r w:rsidRPr="009E788D">
        <w:rPr>
          <w:rFonts w:ascii="Times New Roman" w:hAnsi="Times New Roman"/>
          <w:lang w:val="en-HK"/>
        </w:rPr>
        <w:t>: Retaining overpaid wages was treated as theft, but the property was arguably "given" by mistake, complicating the distinction.</w:t>
      </w:r>
    </w:p>
    <w:p w14:paraId="580FCEFB" w14:textId="77777777" w:rsidR="009B302A" w:rsidRPr="009E788D" w:rsidRDefault="00BB029D" w:rsidP="009B302A">
      <w:pPr>
        <w:spacing w:line="360" w:lineRule="auto"/>
        <w:rPr>
          <w:rFonts w:ascii="Times New Roman" w:hAnsi="Times New Roman"/>
          <w:lang w:val="en-HK"/>
        </w:rPr>
      </w:pPr>
      <w:r w:rsidRPr="00BB029D">
        <w:rPr>
          <w:rFonts w:ascii="Times New Roman" w:hAnsi="Times New Roman"/>
          <w:noProof/>
          <w:lang w:val="en-HK"/>
          <w14:ligatures w14:val="standardContextual"/>
        </w:rPr>
        <w:pict w14:anchorId="0ED7E4C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8459C2" w14:textId="77777777" w:rsidR="009B302A" w:rsidRPr="009E788D" w:rsidRDefault="009B302A" w:rsidP="009B302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Manifest Criminality</w:t>
      </w:r>
    </w:p>
    <w:p w14:paraId="7D745ADD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lastRenderedPageBreak/>
        <w:t>Clarkson advocates for a focus on "manifest criminality," where theft involves observable conduct that clearly usurps the owner’s rights.</w:t>
      </w:r>
    </w:p>
    <w:p w14:paraId="73CEC5FF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Objective Wrongdoing</w:t>
      </w:r>
      <w:r w:rsidRPr="009E788D">
        <w:rPr>
          <w:rFonts w:ascii="Times New Roman" w:hAnsi="Times New Roman"/>
          <w:lang w:val="en-HK"/>
        </w:rPr>
        <w:t>:</w:t>
      </w:r>
    </w:p>
    <w:p w14:paraId="5E8EAF43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 xml:space="preserve">A robber assumes ownership rights in a clear and observable manner. In contrast, the </w:t>
      </w:r>
      <w:r w:rsidRPr="009E788D">
        <w:rPr>
          <w:rFonts w:ascii="Times New Roman" w:hAnsi="Times New Roman"/>
          <w:b/>
          <w:bCs/>
          <w:lang w:val="en-HK"/>
        </w:rPr>
        <w:t>deceitful passer of a dud cheque (as in Gomez)</w:t>
      </w:r>
      <w:r w:rsidRPr="009E788D">
        <w:rPr>
          <w:rFonts w:ascii="Times New Roman" w:hAnsi="Times New Roman"/>
          <w:lang w:val="en-HK"/>
        </w:rPr>
        <w:t xml:space="preserve"> does not visibly commit a theft</w:t>
      </w:r>
      <w:r>
        <w:rPr>
          <w:rFonts w:ascii="Times New Roman" w:hAnsi="Times New Roman"/>
          <w:lang w:val="en-HK"/>
        </w:rPr>
        <w:t xml:space="preserve">. </w:t>
      </w:r>
    </w:p>
    <w:p w14:paraId="22E67F46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Critique of Gomez</w:t>
      </w:r>
      <w:r w:rsidRPr="009E788D">
        <w:rPr>
          <w:rFonts w:ascii="Times New Roman" w:hAnsi="Times New Roman"/>
          <w:lang w:val="en-HK"/>
        </w:rPr>
        <w:t>:</w:t>
      </w:r>
    </w:p>
    <w:p w14:paraId="7FAD6369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By diluting the actus reus of theft to include any appropriation accompanied by dishonesty, Gomez shifts the focus entirely to the defendant’s mental state. Clarkson warns:</w:t>
      </w:r>
    </w:p>
    <w:p w14:paraId="39CBC22F" w14:textId="77777777" w:rsidR="009B302A" w:rsidRPr="009E788D" w:rsidRDefault="009B302A" w:rsidP="009B302A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"This casts the net of theft too wide and removes it too far from its paradigm."</w:t>
      </w:r>
    </w:p>
    <w:p w14:paraId="58E55579" w14:textId="77777777" w:rsidR="009B302A" w:rsidRPr="009E788D" w:rsidRDefault="00BB029D" w:rsidP="009B302A">
      <w:pPr>
        <w:spacing w:line="360" w:lineRule="auto"/>
        <w:rPr>
          <w:rFonts w:ascii="Times New Roman" w:hAnsi="Times New Roman"/>
          <w:lang w:val="en-HK"/>
        </w:rPr>
      </w:pPr>
      <w:r w:rsidRPr="00BB029D">
        <w:rPr>
          <w:rFonts w:ascii="Times New Roman" w:hAnsi="Times New Roman"/>
          <w:noProof/>
          <w:lang w:val="en-HK"/>
          <w14:ligatures w14:val="standardContextual"/>
        </w:rPr>
        <w:pict w14:anchorId="5488CAC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0CD8F9" w14:textId="77777777" w:rsidR="009B302A" w:rsidRPr="009E788D" w:rsidRDefault="009B302A" w:rsidP="009B302A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Statutory Reform</w:t>
      </w:r>
    </w:p>
    <w:p w14:paraId="14ECB661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lang w:val="en-HK"/>
        </w:rPr>
      </w:pPr>
      <w:r w:rsidRPr="009E788D">
        <w:rPr>
          <w:rFonts w:ascii="Times New Roman" w:hAnsi="Times New Roman"/>
          <w:lang w:val="en-HK"/>
        </w:rPr>
        <w:t xml:space="preserve">Clarkson emphasizes the need for </w:t>
      </w:r>
      <w:r w:rsidRPr="009E788D">
        <w:rPr>
          <w:rFonts w:ascii="Times New Roman" w:hAnsi="Times New Roman"/>
          <w:b/>
          <w:bCs/>
          <w:lang w:val="en-HK"/>
        </w:rPr>
        <w:t>legislative action to restore clarity and preserve moral distinctions between theft and deception offenses:</w:t>
      </w:r>
    </w:p>
    <w:p w14:paraId="581D6CB2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Objective Wrongdoing</w:t>
      </w:r>
      <w:r w:rsidRPr="009E788D">
        <w:rPr>
          <w:rFonts w:ascii="Times New Roman" w:hAnsi="Times New Roman"/>
          <w:lang w:val="en-HK"/>
        </w:rPr>
        <w:t xml:space="preserve">: Theft should require an "adverse interference or usurpation" of the owner’s rights, as suggested in </w:t>
      </w:r>
      <w:r w:rsidRPr="009E788D">
        <w:rPr>
          <w:rFonts w:ascii="Times New Roman" w:hAnsi="Times New Roman"/>
          <w:b/>
          <w:bCs/>
          <w:lang w:val="en-HK"/>
        </w:rPr>
        <w:t>R v Morris</w:t>
      </w:r>
      <w:r w:rsidRPr="009E788D">
        <w:rPr>
          <w:rFonts w:ascii="Times New Roman" w:hAnsi="Times New Roman"/>
          <w:lang w:val="en-HK"/>
        </w:rPr>
        <w:t>.</w:t>
      </w:r>
    </w:p>
    <w:p w14:paraId="7BDFD11C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b/>
          <w:bCs/>
          <w:lang w:val="en-HK"/>
        </w:rPr>
        <w:t>Unlawfulness</w:t>
      </w:r>
      <w:r w:rsidRPr="009E788D">
        <w:rPr>
          <w:rFonts w:ascii="Times New Roman" w:hAnsi="Times New Roman"/>
          <w:lang w:val="en-HK"/>
        </w:rPr>
        <w:t>: Incorporating a statutory definition of "unlawfulness" could help delineate theft from deception.</w:t>
      </w:r>
    </w:p>
    <w:p w14:paraId="54662751" w14:textId="77777777" w:rsidR="009B302A" w:rsidRPr="009E788D" w:rsidRDefault="009B302A" w:rsidP="009B302A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He concludes:</w:t>
      </w:r>
    </w:p>
    <w:p w14:paraId="6DFF29E9" w14:textId="77777777" w:rsidR="009B302A" w:rsidRPr="009E788D" w:rsidRDefault="009B302A" w:rsidP="009B302A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9E788D">
        <w:rPr>
          <w:rFonts w:ascii="Times New Roman" w:hAnsi="Times New Roman"/>
          <w:lang w:val="en-HK"/>
        </w:rPr>
        <w:t>"If Gomez precipitates</w:t>
      </w:r>
      <w:r w:rsidRPr="003D03A6">
        <w:rPr>
          <w:rFonts w:ascii="Times New Roman" w:eastAsia="PingFang TC" w:hAnsi="Times New Roman"/>
          <w:lang w:val="en-HK"/>
        </w:rPr>
        <w:t>沉澱</w:t>
      </w:r>
      <w:r w:rsidRPr="009E788D">
        <w:rPr>
          <w:rFonts w:ascii="Times New Roman" w:hAnsi="Times New Roman"/>
          <w:lang w:val="en-HK"/>
        </w:rPr>
        <w:t xml:space="preserve"> such a major statutory overhaul of the offense of theft, then perhaps all will not have been in vain."</w:t>
      </w:r>
    </w:p>
    <w:p w14:paraId="70F7C787" w14:textId="77777777" w:rsidR="009B302A" w:rsidRPr="003D03A6" w:rsidRDefault="009B302A" w:rsidP="009B302A">
      <w:pPr>
        <w:spacing w:line="360" w:lineRule="auto"/>
        <w:rPr>
          <w:rFonts w:ascii="Times New Roman" w:hAnsi="Times New Roman"/>
        </w:rPr>
      </w:pPr>
    </w:p>
    <w:p w14:paraId="6CAE77DB" w14:textId="77777777" w:rsidR="009B302A" w:rsidRDefault="009B302A" w:rsidP="009B302A"/>
    <w:p w14:paraId="6FE62EF5" w14:textId="77777777" w:rsidR="00CD39F1" w:rsidRDefault="00CD39F1"/>
    <w:sectPr w:rsidR="00CD39F1" w:rsidSect="009B3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C0293"/>
    <w:multiLevelType w:val="multilevel"/>
    <w:tmpl w:val="D30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015AA"/>
    <w:multiLevelType w:val="multilevel"/>
    <w:tmpl w:val="867A7D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97413017">
    <w:abstractNumId w:val="0"/>
  </w:num>
  <w:num w:numId="2" w16cid:durableId="211871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A"/>
    <w:rsid w:val="00012117"/>
    <w:rsid w:val="000147A9"/>
    <w:rsid w:val="000413D8"/>
    <w:rsid w:val="00042755"/>
    <w:rsid w:val="0006107D"/>
    <w:rsid w:val="000623A3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23837"/>
    <w:rsid w:val="00243CED"/>
    <w:rsid w:val="00247BCC"/>
    <w:rsid w:val="00257540"/>
    <w:rsid w:val="0026510F"/>
    <w:rsid w:val="00291F37"/>
    <w:rsid w:val="00297C6E"/>
    <w:rsid w:val="002D715D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458E"/>
    <w:rsid w:val="004F0E12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C4FF3"/>
    <w:rsid w:val="005C50B3"/>
    <w:rsid w:val="005C6B83"/>
    <w:rsid w:val="005D57DA"/>
    <w:rsid w:val="005E7702"/>
    <w:rsid w:val="005F33FC"/>
    <w:rsid w:val="00605F8E"/>
    <w:rsid w:val="00613954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B302A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B029D"/>
    <w:rsid w:val="00BC4186"/>
    <w:rsid w:val="00BC5F25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2C8D"/>
  <w15:chartTrackingRefBased/>
  <w15:docId w15:val="{23E0CC56-1959-7142-AA99-6428F383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A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3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3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B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3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1</cp:revision>
  <dcterms:created xsi:type="dcterms:W3CDTF">2025-01-14T12:29:00Z</dcterms:created>
  <dcterms:modified xsi:type="dcterms:W3CDTF">2025-01-14T12:30:00Z</dcterms:modified>
</cp:coreProperties>
</file>