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1186B" w14:textId="0FC2459A" w:rsidR="00933C15" w:rsidRPr="00933C15" w:rsidRDefault="00933C15" w:rsidP="00D76D15">
      <w:pPr>
        <w:spacing w:before="100" w:beforeAutospacing="1" w:after="100" w:afterAutospacing="1" w:line="360" w:lineRule="auto"/>
        <w:rPr>
          <w:rFonts w:ascii="Times New Roman" w:hAnsi="Times New Roman"/>
          <w:lang w:val="en-HK"/>
        </w:rPr>
      </w:pPr>
      <w:r w:rsidRPr="00933C15">
        <w:rPr>
          <w:rFonts w:ascii="Times New Roman" w:hAnsi="Times New Roman"/>
          <w:lang w:val="en-HK"/>
        </w:rPr>
        <w:t xml:space="preserve">Lynden Walters supports the inclusion of </w:t>
      </w:r>
      <w:r w:rsidRPr="00933C15">
        <w:rPr>
          <w:rFonts w:ascii="Times New Roman" w:hAnsi="Times New Roman"/>
          <w:b/>
          <w:bCs/>
          <w:lang w:val="en-HK"/>
        </w:rPr>
        <w:t>duress</w:t>
      </w:r>
      <w:r w:rsidRPr="00933C15">
        <w:rPr>
          <w:rFonts w:ascii="Times New Roman" w:hAnsi="Times New Roman"/>
          <w:lang w:val="en-HK"/>
        </w:rPr>
        <w:t xml:space="preserve"> as a defence to murder because it aligns with the principles of fairness, human frailty, and the foundational purpose of criminal law to ensure culpability reflects the actor’s moral blameworthiness. </w:t>
      </w:r>
    </w:p>
    <w:p w14:paraId="458286A1" w14:textId="77777777" w:rsidR="00933C15" w:rsidRPr="00933C15" w:rsidRDefault="00933C15" w:rsidP="00D76D15">
      <w:pPr>
        <w:spacing w:before="100" w:beforeAutospacing="1" w:after="100" w:afterAutospacing="1" w:line="360" w:lineRule="auto"/>
        <w:outlineLvl w:val="2"/>
        <w:rPr>
          <w:rFonts w:ascii="Times New Roman" w:hAnsi="Times New Roman"/>
          <w:b/>
          <w:bCs/>
          <w:lang w:val="en-HK"/>
        </w:rPr>
      </w:pPr>
      <w:r w:rsidRPr="00933C15">
        <w:rPr>
          <w:rFonts w:ascii="Times New Roman" w:hAnsi="Times New Roman"/>
          <w:b/>
          <w:bCs/>
          <w:lang w:val="en-HK"/>
        </w:rPr>
        <w:t>1. Recognition of Human Frailty</w:t>
      </w:r>
    </w:p>
    <w:p w14:paraId="3B73AC73" w14:textId="77777777" w:rsidR="00933C15" w:rsidRPr="00933C15" w:rsidRDefault="00933C15" w:rsidP="00D76D15">
      <w:pPr>
        <w:numPr>
          <w:ilvl w:val="0"/>
          <w:numId w:val="28"/>
        </w:numPr>
        <w:spacing w:before="100" w:beforeAutospacing="1" w:after="100" w:afterAutospacing="1" w:line="360" w:lineRule="auto"/>
        <w:rPr>
          <w:rFonts w:ascii="Times New Roman" w:hAnsi="Times New Roman"/>
          <w:lang w:val="en-HK"/>
        </w:rPr>
      </w:pPr>
      <w:r w:rsidRPr="00933C15">
        <w:rPr>
          <w:rFonts w:ascii="Times New Roman" w:hAnsi="Times New Roman"/>
          <w:lang w:val="en-HK"/>
        </w:rPr>
        <w:t xml:space="preserve">Walters believes that </w:t>
      </w:r>
      <w:r w:rsidRPr="00933C15">
        <w:rPr>
          <w:rFonts w:ascii="Times New Roman" w:hAnsi="Times New Roman"/>
          <w:b/>
          <w:bCs/>
          <w:lang w:val="en-HK"/>
        </w:rPr>
        <w:t>individuals under extreme and immediate threats</w:t>
      </w:r>
      <w:r w:rsidRPr="00933C15">
        <w:rPr>
          <w:rFonts w:ascii="Times New Roman" w:hAnsi="Times New Roman"/>
          <w:lang w:val="en-HK"/>
        </w:rPr>
        <w:t xml:space="preserve"> (e.g., threats of death or serious harm) cannot be reasonably expected to act heroically or resist coercion.</w:t>
      </w:r>
    </w:p>
    <w:p w14:paraId="5FAB8913" w14:textId="77777777" w:rsidR="00933C15" w:rsidRPr="00933C15" w:rsidRDefault="00933C15" w:rsidP="00D76D15">
      <w:pPr>
        <w:numPr>
          <w:ilvl w:val="0"/>
          <w:numId w:val="28"/>
        </w:numPr>
        <w:spacing w:before="100" w:beforeAutospacing="1" w:after="100" w:afterAutospacing="1" w:line="360" w:lineRule="auto"/>
        <w:rPr>
          <w:rFonts w:ascii="Times New Roman" w:hAnsi="Times New Roman"/>
          <w:lang w:val="en-HK"/>
        </w:rPr>
      </w:pPr>
      <w:r w:rsidRPr="00933C15">
        <w:rPr>
          <w:rFonts w:ascii="Times New Roman" w:hAnsi="Times New Roman"/>
          <w:lang w:val="en-HK"/>
        </w:rPr>
        <w:t>Criminal law should acknowledge the natural human instinct for self-preservation and avoid punishing individuals who had no realistic choice.</w:t>
      </w:r>
    </w:p>
    <w:p w14:paraId="52B67AD0" w14:textId="77777777" w:rsidR="00933C15" w:rsidRPr="00933C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1EA4771F">
          <v:rect id="_x0000_i1046" alt="" style="width:451.3pt;height:.05pt;mso-width-percent:0;mso-height-percent:0;mso-width-percent:0;mso-height-percent:0" o:hralign="center" o:hrstd="t" o:hr="t" fillcolor="#a0a0a0" stroked="f"/>
        </w:pict>
      </w:r>
    </w:p>
    <w:p w14:paraId="3D926065" w14:textId="77777777" w:rsidR="00933C15" w:rsidRPr="00933C15" w:rsidRDefault="00933C15" w:rsidP="00D76D15">
      <w:pPr>
        <w:spacing w:before="100" w:beforeAutospacing="1" w:after="100" w:afterAutospacing="1" w:line="360" w:lineRule="auto"/>
        <w:outlineLvl w:val="2"/>
        <w:rPr>
          <w:rFonts w:ascii="Times New Roman" w:hAnsi="Times New Roman"/>
          <w:b/>
          <w:bCs/>
          <w:lang w:val="en-HK"/>
        </w:rPr>
      </w:pPr>
      <w:r w:rsidRPr="00933C15">
        <w:rPr>
          <w:rFonts w:ascii="Times New Roman" w:hAnsi="Times New Roman"/>
          <w:b/>
          <w:bCs/>
          <w:lang w:val="en-HK"/>
        </w:rPr>
        <w:t>2. Focus on Excuse, Not Justification</w:t>
      </w:r>
    </w:p>
    <w:p w14:paraId="3388CC92" w14:textId="77777777" w:rsidR="00933C15" w:rsidRPr="00933C15" w:rsidRDefault="00933C15" w:rsidP="00D76D15">
      <w:pPr>
        <w:numPr>
          <w:ilvl w:val="0"/>
          <w:numId w:val="29"/>
        </w:numPr>
        <w:spacing w:before="100" w:beforeAutospacing="1" w:after="100" w:afterAutospacing="1" w:line="360" w:lineRule="auto"/>
        <w:rPr>
          <w:rFonts w:ascii="Times New Roman" w:hAnsi="Times New Roman"/>
          <w:lang w:val="en-HK"/>
        </w:rPr>
      </w:pPr>
      <w:r w:rsidRPr="00933C15">
        <w:rPr>
          <w:rFonts w:ascii="Times New Roman" w:hAnsi="Times New Roman"/>
          <w:lang w:val="en-HK"/>
        </w:rPr>
        <w:t>Duress as a defence does not approve or justify the wrongful act (e.g., killing under coercion); it simply excuses the individual because their culpability is negated by the circumstances.</w:t>
      </w:r>
    </w:p>
    <w:p w14:paraId="221CDAA0" w14:textId="77777777" w:rsidR="00933C15" w:rsidRPr="00933C15" w:rsidRDefault="00933C15" w:rsidP="00D76D15">
      <w:pPr>
        <w:numPr>
          <w:ilvl w:val="0"/>
          <w:numId w:val="29"/>
        </w:numPr>
        <w:spacing w:before="100" w:beforeAutospacing="1" w:after="100" w:afterAutospacing="1" w:line="360" w:lineRule="auto"/>
        <w:rPr>
          <w:rFonts w:ascii="Times New Roman" w:hAnsi="Times New Roman"/>
          <w:lang w:val="en-HK"/>
        </w:rPr>
      </w:pPr>
      <w:r w:rsidRPr="00933C15">
        <w:rPr>
          <w:rFonts w:ascii="Times New Roman" w:hAnsi="Times New Roman"/>
          <w:lang w:val="en-HK"/>
        </w:rPr>
        <w:t>Walters argues that denying duress in murder cases unfairly overlooks this crucial distinction.</w:t>
      </w:r>
    </w:p>
    <w:p w14:paraId="47FC00F2" w14:textId="77777777" w:rsidR="00933C15" w:rsidRPr="00933C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267A9430">
          <v:rect id="_x0000_i1045" alt="" style="width:451.3pt;height:.05pt;mso-width-percent:0;mso-height-percent:0;mso-width-percent:0;mso-height-percent:0" o:hralign="center" o:hrstd="t" o:hr="t" fillcolor="#a0a0a0" stroked="f"/>
        </w:pict>
      </w:r>
    </w:p>
    <w:p w14:paraId="29BD0F12" w14:textId="77777777" w:rsidR="00933C15" w:rsidRPr="00933C15" w:rsidRDefault="00933C15" w:rsidP="00D76D15">
      <w:pPr>
        <w:spacing w:before="100" w:beforeAutospacing="1" w:after="100" w:afterAutospacing="1" w:line="360" w:lineRule="auto"/>
        <w:outlineLvl w:val="2"/>
        <w:rPr>
          <w:rFonts w:ascii="Times New Roman" w:hAnsi="Times New Roman"/>
          <w:b/>
          <w:bCs/>
          <w:lang w:val="en-HK"/>
        </w:rPr>
      </w:pPr>
      <w:r w:rsidRPr="00933C15">
        <w:rPr>
          <w:rFonts w:ascii="Times New Roman" w:hAnsi="Times New Roman"/>
          <w:b/>
          <w:bCs/>
          <w:lang w:val="en-HK"/>
        </w:rPr>
        <w:t>3. No Threat to the Sanctity of Life</w:t>
      </w:r>
    </w:p>
    <w:p w14:paraId="54F7E022" w14:textId="77777777" w:rsidR="00933C15" w:rsidRPr="00933C15" w:rsidRDefault="00933C15" w:rsidP="00D76D15">
      <w:pPr>
        <w:spacing w:before="100" w:beforeAutospacing="1" w:after="100" w:afterAutospacing="1" w:line="360" w:lineRule="auto"/>
        <w:rPr>
          <w:rFonts w:ascii="Times New Roman" w:hAnsi="Times New Roman"/>
          <w:b/>
          <w:bCs/>
          <w:lang w:val="en-HK"/>
        </w:rPr>
      </w:pPr>
      <w:r w:rsidRPr="00933C15">
        <w:rPr>
          <w:rFonts w:ascii="Times New Roman" w:hAnsi="Times New Roman"/>
          <w:lang w:val="en-HK"/>
        </w:rPr>
        <w:t xml:space="preserve">Walters dismisses the argument that allowing duress in murder cases undermines the sanctity of life. He reasons that a </w:t>
      </w:r>
      <w:r w:rsidRPr="00933C15">
        <w:rPr>
          <w:rFonts w:ascii="Times New Roman" w:hAnsi="Times New Roman"/>
          <w:b/>
          <w:bCs/>
          <w:lang w:val="en-HK"/>
        </w:rPr>
        <w:t>successful duress defence does not condone the act of killing but recognizes the actor’s lack of moral blameworthiness.</w:t>
      </w:r>
    </w:p>
    <w:p w14:paraId="445E53D7" w14:textId="77777777" w:rsidR="00933C15" w:rsidRPr="00933C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4793CA8E">
          <v:rect id="_x0000_i1044" alt="" style="width:451.3pt;height:.05pt;mso-width-percent:0;mso-height-percent:0;mso-width-percent:0;mso-height-percent:0" o:hralign="center" o:hrstd="t" o:hr="t" fillcolor="#a0a0a0" stroked="f"/>
        </w:pict>
      </w:r>
    </w:p>
    <w:p w14:paraId="71C330A0" w14:textId="77777777" w:rsidR="00933C15" w:rsidRPr="00933C15" w:rsidRDefault="00933C15" w:rsidP="00D76D15">
      <w:pPr>
        <w:spacing w:before="100" w:beforeAutospacing="1" w:after="100" w:afterAutospacing="1" w:line="360" w:lineRule="auto"/>
        <w:outlineLvl w:val="2"/>
        <w:rPr>
          <w:rFonts w:ascii="Times New Roman" w:hAnsi="Times New Roman"/>
          <w:b/>
          <w:bCs/>
          <w:lang w:val="en-HK"/>
        </w:rPr>
      </w:pPr>
      <w:r w:rsidRPr="00933C15">
        <w:rPr>
          <w:rFonts w:ascii="Times New Roman" w:hAnsi="Times New Roman"/>
          <w:b/>
          <w:bCs/>
          <w:lang w:val="en-HK"/>
        </w:rPr>
        <w:t>4. Fairness in Criminal Responsibility</w:t>
      </w:r>
    </w:p>
    <w:p w14:paraId="682D5BF0" w14:textId="77777777" w:rsidR="00933C15" w:rsidRPr="00933C15" w:rsidRDefault="00933C15" w:rsidP="00D76D15">
      <w:pPr>
        <w:spacing w:before="100" w:beforeAutospacing="1" w:after="100" w:afterAutospacing="1" w:line="360" w:lineRule="auto"/>
        <w:rPr>
          <w:rFonts w:ascii="Times New Roman" w:hAnsi="Times New Roman"/>
          <w:lang w:val="en-HK"/>
        </w:rPr>
      </w:pPr>
      <w:r w:rsidRPr="00933C15">
        <w:rPr>
          <w:rFonts w:ascii="Times New Roman" w:hAnsi="Times New Roman"/>
          <w:lang w:val="en-HK"/>
        </w:rPr>
        <w:t xml:space="preserve">The law should reflect what is </w:t>
      </w:r>
      <w:r w:rsidRPr="00933C15">
        <w:rPr>
          <w:rFonts w:ascii="Times New Roman" w:hAnsi="Times New Roman"/>
          <w:b/>
          <w:bCs/>
          <w:lang w:val="en-HK"/>
        </w:rPr>
        <w:t>reasonable to expect from ordinary individuals</w:t>
      </w:r>
      <w:r w:rsidRPr="00933C15">
        <w:rPr>
          <w:rFonts w:ascii="Times New Roman" w:hAnsi="Times New Roman"/>
          <w:lang w:val="en-HK"/>
        </w:rPr>
        <w:t>. Denying duress imposes unrealistic expectations of heroism that most people cannot meet, leading to unjust convictions.</w:t>
      </w:r>
    </w:p>
    <w:p w14:paraId="2F2D0318" w14:textId="77777777" w:rsidR="00933C15" w:rsidRPr="00933C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lastRenderedPageBreak/>
        <w:pict w14:anchorId="0BCE909E">
          <v:rect id="_x0000_i1043" alt="" style="width:451.3pt;height:.05pt;mso-width-percent:0;mso-height-percent:0;mso-width-percent:0;mso-height-percent:0" o:hralign="center" o:hrstd="t" o:hr="t" fillcolor="#a0a0a0" stroked="f"/>
        </w:pict>
      </w:r>
    </w:p>
    <w:p w14:paraId="6CDC81B0" w14:textId="77777777" w:rsidR="00933C15" w:rsidRPr="00933C15" w:rsidRDefault="00933C15" w:rsidP="00D76D15">
      <w:pPr>
        <w:spacing w:before="100" w:beforeAutospacing="1" w:after="100" w:afterAutospacing="1" w:line="360" w:lineRule="auto"/>
        <w:outlineLvl w:val="2"/>
        <w:rPr>
          <w:rFonts w:ascii="Times New Roman" w:hAnsi="Times New Roman"/>
          <w:b/>
          <w:bCs/>
          <w:lang w:val="en-HK"/>
        </w:rPr>
      </w:pPr>
      <w:r w:rsidRPr="00933C15">
        <w:rPr>
          <w:rFonts w:ascii="Times New Roman" w:hAnsi="Times New Roman"/>
          <w:b/>
          <w:bCs/>
          <w:lang w:val="en-HK"/>
        </w:rPr>
        <w:t>5. Safeguards Against Abuse</w:t>
      </w:r>
    </w:p>
    <w:p w14:paraId="62683233" w14:textId="77777777" w:rsidR="00933C15" w:rsidRPr="00933C15" w:rsidRDefault="00933C15" w:rsidP="00D76D15">
      <w:pPr>
        <w:numPr>
          <w:ilvl w:val="0"/>
          <w:numId w:val="32"/>
        </w:numPr>
        <w:spacing w:before="100" w:beforeAutospacing="1" w:after="100" w:afterAutospacing="1" w:line="360" w:lineRule="auto"/>
        <w:rPr>
          <w:rFonts w:ascii="Times New Roman" w:hAnsi="Times New Roman"/>
          <w:b/>
          <w:bCs/>
          <w:lang w:val="en-HK"/>
        </w:rPr>
      </w:pPr>
      <w:r w:rsidRPr="00933C15">
        <w:rPr>
          <w:rFonts w:ascii="Times New Roman" w:hAnsi="Times New Roman"/>
          <w:lang w:val="en-HK"/>
        </w:rPr>
        <w:t xml:space="preserve">Walters highlights that </w:t>
      </w:r>
      <w:r w:rsidRPr="00933C15">
        <w:rPr>
          <w:rFonts w:ascii="Times New Roman" w:hAnsi="Times New Roman"/>
          <w:b/>
          <w:bCs/>
          <w:lang w:val="en-HK"/>
        </w:rPr>
        <w:t>existing restrictions on duress</w:t>
      </w:r>
      <w:r w:rsidRPr="00933C15">
        <w:rPr>
          <w:rFonts w:ascii="Times New Roman" w:hAnsi="Times New Roman"/>
          <w:lang w:val="en-HK"/>
        </w:rPr>
        <w:t xml:space="preserve"> (e.g., the threat must be immediate, serious, and unavoidable) </w:t>
      </w:r>
      <w:r w:rsidRPr="00933C15">
        <w:rPr>
          <w:rFonts w:ascii="Times New Roman" w:hAnsi="Times New Roman"/>
          <w:b/>
          <w:bCs/>
          <w:lang w:val="en-HK"/>
        </w:rPr>
        <w:t>ensure it is not easily abused.</w:t>
      </w:r>
    </w:p>
    <w:p w14:paraId="525AB2B5" w14:textId="77777777" w:rsidR="00933C15" w:rsidRPr="00933C15" w:rsidRDefault="00933C15" w:rsidP="00D76D15">
      <w:pPr>
        <w:numPr>
          <w:ilvl w:val="0"/>
          <w:numId w:val="32"/>
        </w:numPr>
        <w:spacing w:before="100" w:beforeAutospacing="1" w:after="100" w:afterAutospacing="1" w:line="360" w:lineRule="auto"/>
        <w:rPr>
          <w:rFonts w:ascii="Times New Roman" w:hAnsi="Times New Roman"/>
          <w:lang w:val="en-HK"/>
        </w:rPr>
      </w:pPr>
      <w:r w:rsidRPr="00933C15">
        <w:rPr>
          <w:rFonts w:ascii="Times New Roman" w:hAnsi="Times New Roman"/>
          <w:lang w:val="en-HK"/>
        </w:rPr>
        <w:t>Juries would remain cautious and unlikely to acquit unless the evidence of duress is overwhelming.</w:t>
      </w:r>
    </w:p>
    <w:p w14:paraId="06EDF082" w14:textId="14C96321" w:rsidR="00933C1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0E8EA783">
          <v:rect id="_x0000_i1042" alt="" style="width:451.3pt;height:.05pt;mso-width-percent:0;mso-height-percent:0;mso-width-percent:0;mso-height-percent:0" o:hralign="center" o:hrstd="t" o:hr="t" fillcolor="#a0a0a0" stroked="f"/>
        </w:pict>
      </w:r>
    </w:p>
    <w:p w14:paraId="1D490C7D" w14:textId="2D8CA04A" w:rsidR="007344DA" w:rsidRPr="00D76D15" w:rsidRDefault="007344DA" w:rsidP="00D76D15">
      <w:pPr>
        <w:spacing w:before="100" w:beforeAutospacing="1" w:after="100" w:afterAutospacing="1" w:line="360" w:lineRule="auto"/>
        <w:outlineLvl w:val="2"/>
        <w:rPr>
          <w:rFonts w:ascii="Times New Roman" w:hAnsi="Times New Roman"/>
          <w:b/>
          <w:bCs/>
          <w:lang w:val="en-HK"/>
        </w:rPr>
      </w:pPr>
      <w:r w:rsidRPr="00D76D15">
        <w:rPr>
          <w:rFonts w:ascii="Times New Roman" w:hAnsi="Times New Roman"/>
          <w:b/>
          <w:bCs/>
          <w:lang w:val="en-HK"/>
        </w:rPr>
        <w:t>1. Introduction</w:t>
      </w:r>
    </w:p>
    <w:p w14:paraId="1670D7DA" w14:textId="77777777" w:rsidR="007344DA" w:rsidRPr="00D76D15" w:rsidRDefault="007344DA" w:rsidP="00D76D15">
      <w:pPr>
        <w:spacing w:before="100" w:beforeAutospacing="1" w:after="100" w:afterAutospacing="1" w:line="360" w:lineRule="auto"/>
        <w:rPr>
          <w:rFonts w:ascii="Times New Roman" w:hAnsi="Times New Roman"/>
          <w:b/>
          <w:bCs/>
          <w:lang w:val="en-HK"/>
        </w:rPr>
      </w:pPr>
      <w:r w:rsidRPr="00D76D15">
        <w:rPr>
          <w:rFonts w:ascii="Times New Roman" w:hAnsi="Times New Roman"/>
          <w:lang w:val="en-HK"/>
        </w:rPr>
        <w:t xml:space="preserve">Walters begins by critiquing the general quality of judicial reasoning in criminal law decisions by the House of Lords during the 1980s. The article specifically targets their resolution of </w:t>
      </w:r>
      <w:r w:rsidRPr="00D76D15">
        <w:rPr>
          <w:rFonts w:ascii="Times New Roman" w:hAnsi="Times New Roman"/>
          <w:b/>
          <w:bCs/>
          <w:lang w:val="en-HK"/>
        </w:rPr>
        <w:t xml:space="preserve">whether duress can be a defence to murder in </w:t>
      </w:r>
      <w:r w:rsidRPr="00D76D15">
        <w:rPr>
          <w:rFonts w:ascii="Times New Roman" w:hAnsi="Times New Roman"/>
          <w:b/>
          <w:bCs/>
          <w:i/>
          <w:iCs/>
          <w:lang w:val="en-HK"/>
        </w:rPr>
        <w:t>R v Howe</w:t>
      </w:r>
      <w:r w:rsidRPr="00D76D15">
        <w:rPr>
          <w:rFonts w:ascii="Times New Roman" w:hAnsi="Times New Roman"/>
          <w:b/>
          <w:bCs/>
          <w:lang w:val="en-HK"/>
        </w:rPr>
        <w:t xml:space="preserve"> [1987] 1 All ER 771.</w:t>
      </w:r>
    </w:p>
    <w:p w14:paraId="021581C4"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asserts:</w:t>
      </w:r>
    </w:p>
    <w:p w14:paraId="0E1FFF31" w14:textId="77777777" w:rsidR="007344DA" w:rsidRPr="00D76D15" w:rsidRDefault="007344DA" w:rsidP="00D76D15">
      <w:pPr>
        <w:numPr>
          <w:ilvl w:val="1"/>
          <w:numId w:val="1"/>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judgment is emblematic of broader failings in the House of Lords' approach to criminal jurisprudence.</w:t>
      </w:r>
    </w:p>
    <w:p w14:paraId="7C8DBD1C" w14:textId="77777777" w:rsidR="007344DA" w:rsidRPr="00D76D15" w:rsidRDefault="007344DA" w:rsidP="00D76D15">
      <w:pPr>
        <w:numPr>
          <w:ilvl w:val="1"/>
          <w:numId w:val="1"/>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Decisions often lack coherence, technical competence, and adherence to established principles.</w:t>
      </w:r>
    </w:p>
    <w:p w14:paraId="649CE8DC" w14:textId="77777777" w:rsidR="007344DA" w:rsidRPr="00D76D15" w:rsidRDefault="007344DA"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Key Observations on General Critiques:</w:t>
      </w:r>
    </w:p>
    <w:p w14:paraId="729E2C57"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notes precedents of judicial inconsistency:</w:t>
      </w:r>
    </w:p>
    <w:p w14:paraId="3917FF71" w14:textId="0E6A3217" w:rsidR="007344DA" w:rsidRPr="00D76D15" w:rsidRDefault="007344DA" w:rsidP="00D76D15">
      <w:pPr>
        <w:spacing w:line="360" w:lineRule="auto"/>
        <w:rPr>
          <w:rFonts w:ascii="Times New Roman" w:hAnsi="Times New Roman"/>
          <w:lang w:val="en-HK"/>
        </w:rPr>
      </w:pPr>
      <w:r w:rsidRPr="00D76D15">
        <w:rPr>
          <w:rFonts w:ascii="Times New Roman" w:hAnsi="Times New Roman"/>
          <w:i/>
          <w:iCs/>
          <w:lang w:val="en-HK"/>
        </w:rPr>
        <w:t>Moloney</w:t>
      </w:r>
      <w:r w:rsidRPr="00D76D15">
        <w:rPr>
          <w:rFonts w:ascii="Times New Roman" w:hAnsi="Times New Roman"/>
          <w:lang w:val="en-HK"/>
        </w:rPr>
        <w:t xml:space="preserve"> [1985] AC 905 and </w:t>
      </w:r>
      <w:r w:rsidRPr="00D76D15">
        <w:rPr>
          <w:rFonts w:ascii="Times New Roman" w:hAnsi="Times New Roman"/>
          <w:i/>
          <w:iCs/>
          <w:lang w:val="en-HK"/>
        </w:rPr>
        <w:t>Hancock &amp; Shankland</w:t>
      </w:r>
      <w:r w:rsidRPr="00D76D15">
        <w:rPr>
          <w:rFonts w:ascii="Times New Roman" w:hAnsi="Times New Roman"/>
          <w:lang w:val="en-HK"/>
        </w:rPr>
        <w:t xml:space="preserve"> [1986] AC 455 left the mental element in murder "hopelessly opaque"</w:t>
      </w:r>
      <w:r w:rsidR="00DD5425" w:rsidRPr="00D76D15">
        <w:rPr>
          <w:rFonts w:ascii="Times New Roman" w:hAnsi="Times New Roman"/>
          <w:lang w:val="en-HK"/>
        </w:rPr>
        <w:t xml:space="preserve"> </w:t>
      </w:r>
      <w:r w:rsidR="00DD5425" w:rsidRPr="00D76D15">
        <w:rPr>
          <w:rFonts w:ascii="Microsoft JhengHei" w:eastAsia="Microsoft JhengHei" w:hAnsi="Microsoft JhengHei" w:cs="Microsoft JhengHei"/>
          <w:lang w:val="en-HK"/>
        </w:rPr>
        <w:t>無可救藥的不透</w:t>
      </w:r>
      <w:r w:rsidR="00DD5425" w:rsidRPr="00D76D15">
        <w:rPr>
          <w:rFonts w:ascii="PingFang TC" w:eastAsia="PingFang TC" w:hAnsi="PingFang TC" w:cs="PingFang TC"/>
          <w:lang w:val="en-HK"/>
        </w:rPr>
        <w:t>明</w:t>
      </w:r>
      <w:r w:rsidRPr="00D76D15">
        <w:rPr>
          <w:rFonts w:ascii="Times New Roman" w:hAnsi="Times New Roman"/>
          <w:lang w:val="en-HK"/>
        </w:rPr>
        <w:t xml:space="preserve"> (Walters, p. 61).</w:t>
      </w:r>
    </w:p>
    <w:p w14:paraId="68AF52DD"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i/>
          <w:iCs/>
          <w:lang w:val="en-HK"/>
        </w:rPr>
        <w:t>Anderton v Ryan</w:t>
      </w:r>
      <w:r w:rsidRPr="00D76D15">
        <w:rPr>
          <w:rFonts w:ascii="Times New Roman" w:hAnsi="Times New Roman"/>
          <w:lang w:val="en-HK"/>
        </w:rPr>
        <w:t xml:space="preserve"> [1985] AC 560 was overturned in </w:t>
      </w:r>
      <w:r w:rsidRPr="00D76D15">
        <w:rPr>
          <w:rFonts w:ascii="Times New Roman" w:hAnsi="Times New Roman"/>
          <w:i/>
          <w:iCs/>
          <w:lang w:val="en-HK"/>
        </w:rPr>
        <w:t>R v Shivpuri</w:t>
      </w:r>
      <w:r w:rsidRPr="00D76D15">
        <w:rPr>
          <w:rFonts w:ascii="Times New Roman" w:hAnsi="Times New Roman"/>
          <w:lang w:val="en-HK"/>
        </w:rPr>
        <w:t xml:space="preserve"> [1986] 2 WLR 988, showcasing the House of Lords' "degree of ineptitude."</w:t>
      </w:r>
    </w:p>
    <w:p w14:paraId="290AC6B2"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also references criticism by other scholars:</w:t>
      </w:r>
    </w:p>
    <w:p w14:paraId="1D756F69" w14:textId="68EC08FD"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lastRenderedPageBreak/>
        <w:t xml:space="preserve">Glanville Williams argued that the Lords' reasoning in </w:t>
      </w:r>
      <w:r w:rsidRPr="00D76D15">
        <w:rPr>
          <w:rFonts w:ascii="Times New Roman" w:hAnsi="Times New Roman"/>
          <w:i/>
          <w:iCs/>
          <w:lang w:val="en-HK"/>
        </w:rPr>
        <w:t>Anderton</w:t>
      </w:r>
      <w:r w:rsidRPr="00D76D15">
        <w:rPr>
          <w:rFonts w:ascii="Times New Roman" w:hAnsi="Times New Roman"/>
          <w:lang w:val="en-HK"/>
        </w:rPr>
        <w:t xml:space="preserve"> was so flawed it necessitated immediate reversal</w:t>
      </w:r>
      <w:r w:rsidR="00DD5425" w:rsidRPr="00D76D15">
        <w:rPr>
          <w:rFonts w:ascii="Times New Roman" w:hAnsi="Times New Roman"/>
          <w:lang w:val="en-HK"/>
        </w:rPr>
        <w:t xml:space="preserve"> -- </w:t>
      </w:r>
      <w:r w:rsidRPr="00D76D15">
        <w:rPr>
          <w:rFonts w:ascii="Times New Roman" w:hAnsi="Times New Roman"/>
          <w:lang w:val="en-HK"/>
        </w:rPr>
        <w:t xml:space="preserve">“The Lords and Impossible Attempts, or Quis </w:t>
      </w:r>
      <w:proofErr w:type="spellStart"/>
      <w:r w:rsidRPr="00D76D15">
        <w:rPr>
          <w:rFonts w:ascii="Times New Roman" w:hAnsi="Times New Roman"/>
          <w:lang w:val="en-HK"/>
        </w:rPr>
        <w:t>Custodiet</w:t>
      </w:r>
      <w:proofErr w:type="spellEnd"/>
      <w:r w:rsidRPr="00D76D15">
        <w:rPr>
          <w:rFonts w:ascii="Times New Roman" w:hAnsi="Times New Roman"/>
          <w:lang w:val="en-HK"/>
        </w:rPr>
        <w:t xml:space="preserve"> Ipsos Custodes?” (1986) 45 CLJ 33.</w:t>
      </w:r>
    </w:p>
    <w:p w14:paraId="3D3FD354" w14:textId="77777777" w:rsidR="007344DA" w:rsidRPr="00D76D15" w:rsidRDefault="007344DA"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Focus on Duress and Murder:</w:t>
      </w:r>
    </w:p>
    <w:p w14:paraId="549B2298"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sets the stage for an analysis of </w:t>
      </w:r>
      <w:r w:rsidRPr="00D76D15">
        <w:rPr>
          <w:rFonts w:ascii="Times New Roman" w:hAnsi="Times New Roman"/>
          <w:i/>
          <w:iCs/>
          <w:lang w:val="en-HK"/>
        </w:rPr>
        <w:t>Howe</w:t>
      </w:r>
      <w:r w:rsidRPr="00D76D15">
        <w:rPr>
          <w:rFonts w:ascii="Times New Roman" w:hAnsi="Times New Roman"/>
          <w:lang w:val="en-HK"/>
        </w:rPr>
        <w:t>, emphasizing its broader significance as a "retrograde step" in criminal law. The article asserts that:</w:t>
      </w:r>
    </w:p>
    <w:p w14:paraId="5E8AFC54"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i/>
          <w:iCs/>
          <w:lang w:val="en-HK"/>
        </w:rPr>
        <w:t>Howe</w:t>
      </w:r>
      <w:r w:rsidRPr="00D76D15">
        <w:rPr>
          <w:rFonts w:ascii="Times New Roman" w:hAnsi="Times New Roman"/>
          <w:lang w:val="en-HK"/>
        </w:rPr>
        <w:t xml:space="preserve"> reflects a judicial failure to articulate clear reasoning.</w:t>
      </w:r>
    </w:p>
    <w:p w14:paraId="14FF1DED"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judgment misunderstands the relationship between justification, excuse, and mitigation, essential concepts in criminal law.</w:t>
      </w:r>
    </w:p>
    <w:p w14:paraId="1A2BC6CC" w14:textId="77777777" w:rsidR="007344DA"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6E02A044">
          <v:rect id="_x0000_i1041" alt="" style="width:451.3pt;height:.05pt;mso-width-percent:0;mso-height-percent:0;mso-width-percent:0;mso-height-percent:0" o:hralign="center" o:hrstd="t" o:hr="t" fillcolor="#a0a0a0" stroked="f"/>
        </w:pict>
      </w:r>
    </w:p>
    <w:p w14:paraId="1C762E58" w14:textId="77777777" w:rsidR="007344DA" w:rsidRPr="00D76D15" w:rsidRDefault="007344DA" w:rsidP="00D76D15">
      <w:pPr>
        <w:spacing w:before="100" w:beforeAutospacing="1" w:after="100" w:afterAutospacing="1" w:line="360" w:lineRule="auto"/>
        <w:outlineLvl w:val="2"/>
        <w:rPr>
          <w:rFonts w:ascii="Times New Roman" w:hAnsi="Times New Roman"/>
          <w:b/>
          <w:bCs/>
          <w:lang w:val="en-HK"/>
        </w:rPr>
      </w:pPr>
      <w:r w:rsidRPr="00D76D15">
        <w:rPr>
          <w:rFonts w:ascii="Times New Roman" w:hAnsi="Times New Roman"/>
          <w:b/>
          <w:bCs/>
          <w:lang w:val="en-HK"/>
        </w:rPr>
        <w:t>2. Arguments Against Duress in Murder Charges</w:t>
      </w:r>
    </w:p>
    <w:p w14:paraId="7CDC9C37" w14:textId="77777777" w:rsidR="007344DA" w:rsidRPr="00D76D15" w:rsidRDefault="007344DA"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2.1 The Precedent Argument</w:t>
      </w:r>
    </w:p>
    <w:p w14:paraId="3661D74D"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House of Lords' Reasoning</w:t>
      </w:r>
      <w:r w:rsidRPr="00D76D15">
        <w:rPr>
          <w:rFonts w:ascii="Times New Roman" w:hAnsi="Times New Roman"/>
          <w:lang w:val="en-HK"/>
        </w:rPr>
        <w:t>:</w:t>
      </w:r>
    </w:p>
    <w:p w14:paraId="628D7F69"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unanimously held that duress cannot be a defence to murder, citing a "heavy preponderance of authority" to support this position (Lord Hailsham at 776).</w:t>
      </w:r>
    </w:p>
    <w:p w14:paraId="695DC233"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The judgment heavily relied on </w:t>
      </w:r>
      <w:r w:rsidRPr="00D76D15">
        <w:rPr>
          <w:rFonts w:ascii="Times New Roman" w:hAnsi="Times New Roman"/>
          <w:i/>
          <w:iCs/>
          <w:lang w:val="en-HK"/>
        </w:rPr>
        <w:t>Dudley and Stephens</w:t>
      </w:r>
      <w:r w:rsidRPr="00D76D15">
        <w:rPr>
          <w:rFonts w:ascii="Times New Roman" w:hAnsi="Times New Roman"/>
          <w:lang w:val="en-HK"/>
        </w:rPr>
        <w:t xml:space="preserve"> (1884) 14 QBD 273, where necessity was rejected as a defence to murder. Lords Hailsham, Bridge, and Mackay argued that duress and necessity were conceptually similar.</w:t>
      </w:r>
    </w:p>
    <w:p w14:paraId="4CEFFD50"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Critique</w:t>
      </w:r>
      <w:r w:rsidRPr="00D76D15">
        <w:rPr>
          <w:rFonts w:ascii="Times New Roman" w:hAnsi="Times New Roman"/>
          <w:lang w:val="en-HK"/>
        </w:rPr>
        <w:t>:</w:t>
      </w:r>
    </w:p>
    <w:p w14:paraId="2DD5B749"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challenges the reliance on </w:t>
      </w:r>
      <w:r w:rsidRPr="00D76D15">
        <w:rPr>
          <w:rFonts w:ascii="Times New Roman" w:hAnsi="Times New Roman"/>
          <w:i/>
          <w:iCs/>
          <w:lang w:val="en-HK"/>
        </w:rPr>
        <w:t>Dudley and Stephens</w:t>
      </w:r>
      <w:r w:rsidRPr="00D76D15">
        <w:rPr>
          <w:rFonts w:ascii="Times New Roman" w:hAnsi="Times New Roman"/>
          <w:lang w:val="en-HK"/>
        </w:rPr>
        <w:t>:</w:t>
      </w:r>
    </w:p>
    <w:p w14:paraId="7AE54176" w14:textId="77777777" w:rsidR="007344DA" w:rsidRPr="00D76D15" w:rsidRDefault="007344DA" w:rsidP="00D76D15">
      <w:pPr>
        <w:numPr>
          <w:ilvl w:val="2"/>
          <w:numId w:val="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The case involved sailors killing a cabin boy to survive starvation. While </w:t>
      </w:r>
      <w:r w:rsidRPr="00D76D15">
        <w:rPr>
          <w:rFonts w:ascii="Times New Roman" w:hAnsi="Times New Roman"/>
          <w:b/>
          <w:bCs/>
          <w:lang w:val="en-HK"/>
        </w:rPr>
        <w:t>necessity was rejected as a defence</w:t>
      </w:r>
      <w:r w:rsidRPr="00D76D15">
        <w:rPr>
          <w:rFonts w:ascii="Times New Roman" w:hAnsi="Times New Roman"/>
          <w:lang w:val="en-HK"/>
        </w:rPr>
        <w:t xml:space="preserve">, Walters argues that its </w:t>
      </w:r>
      <w:r w:rsidRPr="00D76D15">
        <w:rPr>
          <w:rFonts w:ascii="Times New Roman" w:hAnsi="Times New Roman"/>
          <w:b/>
          <w:bCs/>
          <w:lang w:val="en-HK"/>
        </w:rPr>
        <w:t>reasoning is ambiguous</w:t>
      </w:r>
      <w:r w:rsidRPr="00D76D15">
        <w:rPr>
          <w:rFonts w:ascii="Times New Roman" w:hAnsi="Times New Roman"/>
          <w:lang w:val="en-HK"/>
        </w:rPr>
        <w:t xml:space="preserve"> and historically specific.</w:t>
      </w:r>
    </w:p>
    <w:p w14:paraId="480D32D2" w14:textId="77777777" w:rsidR="007344DA" w:rsidRPr="00D76D15" w:rsidRDefault="007344DA" w:rsidP="00D76D15">
      <w:pPr>
        <w:numPr>
          <w:ilvl w:val="2"/>
          <w:numId w:val="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Glanville Williams and </w:t>
      </w:r>
      <w:proofErr w:type="spellStart"/>
      <w:r w:rsidRPr="00D76D15">
        <w:rPr>
          <w:rFonts w:ascii="Times New Roman" w:hAnsi="Times New Roman"/>
          <w:lang w:val="en-HK"/>
        </w:rPr>
        <w:t>Glazebrook</w:t>
      </w:r>
      <w:proofErr w:type="spellEnd"/>
      <w:r w:rsidRPr="00D76D15">
        <w:rPr>
          <w:rFonts w:ascii="Times New Roman" w:hAnsi="Times New Roman"/>
          <w:lang w:val="en-HK"/>
        </w:rPr>
        <w:t xml:space="preserve"> have criticized the case for its "feebleness of reasoning" and lack of modern applicability (Glanville Williams, "A Commentary on R v </w:t>
      </w:r>
      <w:r w:rsidRPr="00D76D15">
        <w:rPr>
          <w:rFonts w:ascii="Times New Roman" w:hAnsi="Times New Roman"/>
          <w:lang w:val="en-HK"/>
        </w:rPr>
        <w:lastRenderedPageBreak/>
        <w:t xml:space="preserve">Dudley and Stephens," 1978; </w:t>
      </w:r>
      <w:proofErr w:type="spellStart"/>
      <w:r w:rsidRPr="00D76D15">
        <w:rPr>
          <w:rFonts w:ascii="Times New Roman" w:hAnsi="Times New Roman"/>
          <w:lang w:val="en-HK"/>
        </w:rPr>
        <w:t>Glazebrook</w:t>
      </w:r>
      <w:proofErr w:type="spellEnd"/>
      <w:r w:rsidRPr="00D76D15">
        <w:rPr>
          <w:rFonts w:ascii="Times New Roman" w:hAnsi="Times New Roman"/>
          <w:lang w:val="en-HK"/>
        </w:rPr>
        <w:t>, "The Necessity Plea in English Criminal Law," 1972).</w:t>
      </w:r>
    </w:p>
    <w:p w14:paraId="3D636BCB" w14:textId="77777777" w:rsidR="007344DA" w:rsidRPr="00D76D15" w:rsidRDefault="007344DA" w:rsidP="00D76D15">
      <w:pPr>
        <w:numPr>
          <w:ilvl w:val="2"/>
          <w:numId w:val="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asserts that </w:t>
      </w:r>
      <w:r w:rsidRPr="00D76D15">
        <w:rPr>
          <w:rFonts w:ascii="Times New Roman" w:hAnsi="Times New Roman"/>
          <w:i/>
          <w:iCs/>
          <w:lang w:val="en-HK"/>
        </w:rPr>
        <w:t>Dudley</w:t>
      </w:r>
      <w:r w:rsidRPr="00D76D15">
        <w:rPr>
          <w:rFonts w:ascii="Times New Roman" w:hAnsi="Times New Roman"/>
          <w:lang w:val="en-HK"/>
        </w:rPr>
        <w:t xml:space="preserve"> reflects outdated views and fails to address excusatory defences like duress.</w:t>
      </w:r>
    </w:p>
    <w:p w14:paraId="2A2B2BDB"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Judicial Oversight</w:t>
      </w:r>
      <w:r w:rsidRPr="00D76D15">
        <w:rPr>
          <w:rFonts w:ascii="Times New Roman" w:hAnsi="Times New Roman"/>
          <w:lang w:val="en-HK"/>
        </w:rPr>
        <w:t>:</w:t>
      </w:r>
    </w:p>
    <w:p w14:paraId="553E339E"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observes that </w:t>
      </w:r>
      <w:r w:rsidRPr="00D76D15">
        <w:rPr>
          <w:rFonts w:ascii="Times New Roman" w:hAnsi="Times New Roman"/>
          <w:i/>
          <w:iCs/>
          <w:lang w:val="en-HK"/>
        </w:rPr>
        <w:t>Dudley</w:t>
      </w:r>
      <w:r w:rsidRPr="00D76D15">
        <w:rPr>
          <w:rFonts w:ascii="Times New Roman" w:hAnsi="Times New Roman"/>
          <w:lang w:val="en-HK"/>
        </w:rPr>
        <w:t xml:space="preserve"> was interpreted as conclusive authority without critical examination. For example:</w:t>
      </w:r>
    </w:p>
    <w:p w14:paraId="4E4F240B" w14:textId="77777777" w:rsidR="007344DA" w:rsidRPr="00D76D15" w:rsidRDefault="007344DA" w:rsidP="00D76D15">
      <w:pPr>
        <w:spacing w:before="100" w:beforeAutospacing="1" w:after="100" w:afterAutospacing="1" w:line="360" w:lineRule="auto"/>
        <w:rPr>
          <w:rFonts w:ascii="Times New Roman" w:hAnsi="Times New Roman"/>
          <w:b/>
          <w:bCs/>
          <w:lang w:val="en-HK"/>
        </w:rPr>
      </w:pPr>
      <w:r w:rsidRPr="00D76D15">
        <w:rPr>
          <w:rFonts w:ascii="Times New Roman" w:hAnsi="Times New Roman"/>
          <w:lang w:val="en-HK"/>
        </w:rPr>
        <w:t xml:space="preserve">Lord Hailsham claimed </w:t>
      </w:r>
      <w:r w:rsidRPr="00D76D15">
        <w:rPr>
          <w:rFonts w:ascii="Times New Roman" w:hAnsi="Times New Roman"/>
          <w:i/>
          <w:iCs/>
          <w:lang w:val="en-HK"/>
        </w:rPr>
        <w:t>Dudley</w:t>
      </w:r>
      <w:r w:rsidRPr="00D76D15">
        <w:rPr>
          <w:rFonts w:ascii="Times New Roman" w:hAnsi="Times New Roman"/>
          <w:lang w:val="en-HK"/>
        </w:rPr>
        <w:t xml:space="preserve"> enjoyed "</w:t>
      </w:r>
      <w:r w:rsidRPr="00D76D15">
        <w:rPr>
          <w:rFonts w:ascii="Times New Roman" w:hAnsi="Times New Roman"/>
          <w:b/>
          <w:bCs/>
          <w:lang w:val="en-HK"/>
        </w:rPr>
        <w:t>very wide acceptance</w:t>
      </w:r>
      <w:r w:rsidRPr="00D76D15">
        <w:rPr>
          <w:rFonts w:ascii="Times New Roman" w:hAnsi="Times New Roman"/>
          <w:lang w:val="en-HK"/>
        </w:rPr>
        <w:t xml:space="preserve">" (at 778), </w:t>
      </w:r>
      <w:r w:rsidRPr="00D76D15">
        <w:rPr>
          <w:rFonts w:ascii="Times New Roman" w:hAnsi="Times New Roman"/>
          <w:b/>
          <w:bCs/>
          <w:lang w:val="en-HK"/>
        </w:rPr>
        <w:t>despite historical controversy surrounding its reasoning.</w:t>
      </w:r>
    </w:p>
    <w:p w14:paraId="4D268633"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Pre-Lynch Judicial Authority</w:t>
      </w:r>
      <w:r w:rsidRPr="00D76D15">
        <w:rPr>
          <w:rFonts w:ascii="Times New Roman" w:hAnsi="Times New Roman"/>
          <w:lang w:val="en-HK"/>
        </w:rPr>
        <w:t>:</w:t>
      </w:r>
    </w:p>
    <w:p w14:paraId="59F721F3"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also cited obiter dicta from earlier cases, including:</w:t>
      </w:r>
    </w:p>
    <w:p w14:paraId="78DE55CB" w14:textId="77777777" w:rsidR="007344DA" w:rsidRPr="00D76D15" w:rsidRDefault="007344DA" w:rsidP="00D76D15">
      <w:pPr>
        <w:numPr>
          <w:ilvl w:val="2"/>
          <w:numId w:val="4"/>
        </w:numPr>
        <w:spacing w:before="100" w:beforeAutospacing="1" w:after="100" w:afterAutospacing="1" w:line="360" w:lineRule="auto"/>
        <w:rPr>
          <w:rFonts w:ascii="Times New Roman" w:hAnsi="Times New Roman"/>
          <w:lang w:val="en-HK"/>
        </w:rPr>
      </w:pPr>
      <w:r w:rsidRPr="00D76D15">
        <w:rPr>
          <w:rFonts w:ascii="Times New Roman" w:hAnsi="Times New Roman"/>
          <w:i/>
          <w:iCs/>
          <w:lang w:val="en-HK"/>
        </w:rPr>
        <w:t>A-G v Whelan</w:t>
      </w:r>
      <w:r w:rsidRPr="00D76D15">
        <w:rPr>
          <w:rFonts w:ascii="Times New Roman" w:hAnsi="Times New Roman"/>
          <w:lang w:val="en-HK"/>
        </w:rPr>
        <w:t xml:space="preserve"> [1934] IR 518: Suggested that duress should be excluded from murder but without substantive reasoning.</w:t>
      </w:r>
    </w:p>
    <w:p w14:paraId="048E49E1" w14:textId="77777777" w:rsidR="007344DA" w:rsidRPr="00D76D15" w:rsidRDefault="007344DA" w:rsidP="00D76D15">
      <w:pPr>
        <w:numPr>
          <w:ilvl w:val="2"/>
          <w:numId w:val="4"/>
        </w:numPr>
        <w:spacing w:before="100" w:beforeAutospacing="1" w:after="100" w:afterAutospacing="1" w:line="360" w:lineRule="auto"/>
        <w:rPr>
          <w:rFonts w:ascii="Times New Roman" w:hAnsi="Times New Roman"/>
          <w:lang w:val="en-HK"/>
        </w:rPr>
      </w:pPr>
      <w:proofErr w:type="spellStart"/>
      <w:r w:rsidRPr="00D76D15">
        <w:rPr>
          <w:rFonts w:ascii="Times New Roman" w:hAnsi="Times New Roman"/>
          <w:i/>
          <w:iCs/>
          <w:lang w:val="en-HK"/>
        </w:rPr>
        <w:t>Steane</w:t>
      </w:r>
      <w:proofErr w:type="spellEnd"/>
      <w:r w:rsidRPr="00D76D15">
        <w:rPr>
          <w:rFonts w:ascii="Times New Roman" w:hAnsi="Times New Roman"/>
          <w:lang w:val="en-HK"/>
        </w:rPr>
        <w:t xml:space="preserve"> [1947] KB 997 and </w:t>
      </w:r>
      <w:proofErr w:type="spellStart"/>
      <w:r w:rsidRPr="00D76D15">
        <w:rPr>
          <w:rFonts w:ascii="Times New Roman" w:hAnsi="Times New Roman"/>
          <w:i/>
          <w:iCs/>
          <w:lang w:val="en-HK"/>
        </w:rPr>
        <w:t>Bourne</w:t>
      </w:r>
      <w:proofErr w:type="spellEnd"/>
      <w:r w:rsidRPr="00D76D15">
        <w:rPr>
          <w:rFonts w:ascii="Times New Roman" w:hAnsi="Times New Roman"/>
          <w:lang w:val="en-HK"/>
        </w:rPr>
        <w:t xml:space="preserve"> (1952) 36 Cr App R 125: These cases reiterated Hale’s historical opinion that one should die rather than kill an innocent (</w:t>
      </w:r>
      <w:r w:rsidRPr="00D76D15">
        <w:rPr>
          <w:rFonts w:ascii="Times New Roman" w:hAnsi="Times New Roman"/>
          <w:i/>
          <w:iCs/>
          <w:lang w:val="en-HK"/>
        </w:rPr>
        <w:t>Pleas of the Crown</w:t>
      </w:r>
      <w:r w:rsidRPr="00D76D15">
        <w:rPr>
          <w:rFonts w:ascii="Times New Roman" w:hAnsi="Times New Roman"/>
          <w:lang w:val="en-HK"/>
        </w:rPr>
        <w:t>, Vol. 1, p. 51).</w:t>
      </w:r>
    </w:p>
    <w:p w14:paraId="61B4FD40"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Assessment</w:t>
      </w:r>
      <w:r w:rsidRPr="00D76D15">
        <w:rPr>
          <w:rFonts w:ascii="Times New Roman" w:hAnsi="Times New Roman"/>
          <w:lang w:val="en-HK"/>
        </w:rPr>
        <w:t>:</w:t>
      </w:r>
    </w:p>
    <w:p w14:paraId="77646926"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contends that the House overstated the authority of these cases, as most were dicta or historical opinions lacking modern justification. He argues that the precedent value of cases like </w:t>
      </w:r>
      <w:r w:rsidRPr="00D76D15">
        <w:rPr>
          <w:rFonts w:ascii="Times New Roman" w:hAnsi="Times New Roman"/>
          <w:i/>
          <w:iCs/>
          <w:lang w:val="en-HK"/>
        </w:rPr>
        <w:t>Tyler and Price</w:t>
      </w:r>
      <w:r w:rsidRPr="00D76D15">
        <w:rPr>
          <w:rFonts w:ascii="Times New Roman" w:hAnsi="Times New Roman"/>
          <w:lang w:val="en-HK"/>
        </w:rPr>
        <w:t xml:space="preserve"> (1838) 5 C &amp; P 616 is weak, describing them as "flimsy and unconvincing."</w:t>
      </w:r>
    </w:p>
    <w:p w14:paraId="6222BC08" w14:textId="77777777" w:rsidR="007344DA"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75CB4D4E">
          <v:rect id="_x0000_i1040" alt="" style="width:451.3pt;height:.05pt;mso-width-percent:0;mso-height-percent:0;mso-width-percent:0;mso-height-percent:0" o:hralign="center" o:hrstd="t" o:hr="t" fillcolor="#a0a0a0" stroked="f"/>
        </w:pict>
      </w:r>
    </w:p>
    <w:p w14:paraId="69946807" w14:textId="77777777" w:rsidR="007344DA" w:rsidRPr="00D76D15" w:rsidRDefault="007344DA"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2.2 The "Best Left to Parliament" Argument</w:t>
      </w:r>
    </w:p>
    <w:p w14:paraId="7D67CEAC" w14:textId="77777777" w:rsidR="007344DA" w:rsidRPr="00D76D15" w:rsidRDefault="007344DA" w:rsidP="00D76D15">
      <w:pPr>
        <w:numPr>
          <w:ilvl w:val="0"/>
          <w:numId w:val="5"/>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House of Lords' Reasoning</w:t>
      </w:r>
      <w:r w:rsidRPr="00D76D15">
        <w:rPr>
          <w:rFonts w:ascii="Times New Roman" w:hAnsi="Times New Roman"/>
          <w:lang w:val="en-HK"/>
        </w:rPr>
        <w:t>:</w:t>
      </w:r>
    </w:p>
    <w:p w14:paraId="12709F89" w14:textId="77777777" w:rsidR="007344DA" w:rsidRPr="00D76D15" w:rsidRDefault="007344DA" w:rsidP="00D76D15">
      <w:pPr>
        <w:spacing w:before="100" w:beforeAutospacing="1" w:after="100" w:afterAutospacing="1" w:line="360" w:lineRule="auto"/>
        <w:rPr>
          <w:rFonts w:ascii="Times New Roman" w:hAnsi="Times New Roman"/>
          <w:b/>
          <w:bCs/>
          <w:lang w:val="en-HK"/>
        </w:rPr>
      </w:pPr>
      <w:r w:rsidRPr="00D76D15">
        <w:rPr>
          <w:rFonts w:ascii="Times New Roman" w:hAnsi="Times New Roman"/>
          <w:lang w:val="en-HK"/>
        </w:rPr>
        <w:lastRenderedPageBreak/>
        <w:t xml:space="preserve">The Lords argued that reforming the defence of duress in murder cases </w:t>
      </w:r>
      <w:r w:rsidRPr="00D76D15">
        <w:rPr>
          <w:rFonts w:ascii="Times New Roman" w:hAnsi="Times New Roman"/>
          <w:b/>
          <w:bCs/>
          <w:lang w:val="en-HK"/>
        </w:rPr>
        <w:t>would require precise legislative intervention.</w:t>
      </w:r>
    </w:p>
    <w:p w14:paraId="05A518C6"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Hailsham cited examples of heinous crimes (e.g., the Holocaust and Moors murders) to argue that judicial reform risked undermining public confidence in the law (at 781).</w:t>
      </w:r>
    </w:p>
    <w:p w14:paraId="29B41AC7"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Critique</w:t>
      </w:r>
      <w:r w:rsidRPr="00D76D15">
        <w:rPr>
          <w:rFonts w:ascii="Times New Roman" w:hAnsi="Times New Roman"/>
          <w:lang w:val="en-HK"/>
        </w:rPr>
        <w:t>:</w:t>
      </w:r>
    </w:p>
    <w:p w14:paraId="7D741CA1"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critiques this approach as </w:t>
      </w:r>
      <w:r w:rsidRPr="00D76D15">
        <w:rPr>
          <w:rFonts w:ascii="Times New Roman" w:hAnsi="Times New Roman"/>
          <w:b/>
          <w:bCs/>
          <w:lang w:val="en-HK"/>
        </w:rPr>
        <w:t>overly cautious</w:t>
      </w:r>
      <w:r w:rsidRPr="00D76D15">
        <w:rPr>
          <w:rFonts w:ascii="Times New Roman" w:hAnsi="Times New Roman"/>
          <w:lang w:val="en-HK"/>
        </w:rPr>
        <w:t>:</w:t>
      </w:r>
    </w:p>
    <w:p w14:paraId="6A7B529C" w14:textId="77777777" w:rsidR="007344DA" w:rsidRPr="00D76D15" w:rsidRDefault="007344DA" w:rsidP="00D76D15">
      <w:pPr>
        <w:numPr>
          <w:ilvl w:val="2"/>
          <w:numId w:val="5"/>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He highlights Lord Reid’s view in </w:t>
      </w:r>
      <w:r w:rsidRPr="00D76D15">
        <w:rPr>
          <w:rFonts w:ascii="Times New Roman" w:hAnsi="Times New Roman"/>
          <w:i/>
          <w:iCs/>
          <w:lang w:val="en-HK"/>
        </w:rPr>
        <w:t>Myers v DPP</w:t>
      </w:r>
      <w:r w:rsidRPr="00D76D15">
        <w:rPr>
          <w:rFonts w:ascii="Times New Roman" w:hAnsi="Times New Roman"/>
          <w:lang w:val="en-HK"/>
        </w:rPr>
        <w:t xml:space="preserve"> [1965] AC 1001, emphasizing that the common law must adapt to "changing economic conditions and habits of thought" (Lord Mackay, at 793).</w:t>
      </w:r>
    </w:p>
    <w:p w14:paraId="181D09C2" w14:textId="77777777" w:rsidR="007344DA" w:rsidRPr="00D76D15" w:rsidRDefault="007344DA" w:rsidP="00D76D15">
      <w:pPr>
        <w:numPr>
          <w:ilvl w:val="2"/>
          <w:numId w:val="5"/>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argues that duress is a relatively self-contained defence and judicial reform would not cause widespread uncertainty.</w:t>
      </w:r>
    </w:p>
    <w:p w14:paraId="2D0C1E36" w14:textId="77777777" w:rsidR="007344DA" w:rsidRPr="00D76D15" w:rsidRDefault="007344DA" w:rsidP="00D76D15">
      <w:pPr>
        <w:numPr>
          <w:ilvl w:val="2"/>
          <w:numId w:val="5"/>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The House misunderstood the Law Commission's proposals in </w:t>
      </w:r>
      <w:r w:rsidRPr="00D76D15">
        <w:rPr>
          <w:rFonts w:ascii="Times New Roman" w:hAnsi="Times New Roman"/>
          <w:i/>
          <w:iCs/>
          <w:lang w:val="en-HK"/>
        </w:rPr>
        <w:t>Report No. 83</w:t>
      </w:r>
      <w:r w:rsidRPr="00D76D15">
        <w:rPr>
          <w:rFonts w:ascii="Times New Roman" w:hAnsi="Times New Roman"/>
          <w:lang w:val="en-HK"/>
        </w:rPr>
        <w:t xml:space="preserve"> (1977). Walters notes:</w:t>
      </w:r>
    </w:p>
    <w:p w14:paraId="44EFC313" w14:textId="77777777" w:rsidR="007344DA" w:rsidRPr="00D76D15" w:rsidRDefault="007344DA" w:rsidP="00D76D15">
      <w:pPr>
        <w:spacing w:before="100" w:beforeAutospacing="1" w:after="100" w:afterAutospacing="1" w:line="360" w:lineRule="auto"/>
        <w:rPr>
          <w:rFonts w:ascii="Times New Roman" w:hAnsi="Times New Roman"/>
          <w:b/>
          <w:bCs/>
          <w:lang w:val="en-HK"/>
        </w:rPr>
      </w:pPr>
      <w:r w:rsidRPr="00D76D15">
        <w:rPr>
          <w:rFonts w:ascii="Times New Roman" w:hAnsi="Times New Roman"/>
          <w:lang w:val="en-HK"/>
        </w:rPr>
        <w:t xml:space="preserve">The Commission’s draft bill was actually </w:t>
      </w:r>
      <w:r w:rsidRPr="00D76D15">
        <w:rPr>
          <w:rFonts w:ascii="Times New Roman" w:hAnsi="Times New Roman"/>
          <w:b/>
          <w:bCs/>
          <w:lang w:val="en-HK"/>
        </w:rPr>
        <w:t xml:space="preserve">less restrictive than Lord Lane’s test in </w:t>
      </w:r>
      <w:r w:rsidRPr="00D76D15">
        <w:rPr>
          <w:rFonts w:ascii="Times New Roman" w:hAnsi="Times New Roman"/>
          <w:b/>
          <w:bCs/>
          <w:i/>
          <w:iCs/>
          <w:lang w:val="en-HK"/>
        </w:rPr>
        <w:t>R v Graham</w:t>
      </w:r>
      <w:r w:rsidRPr="00D76D15">
        <w:rPr>
          <w:rFonts w:ascii="Times New Roman" w:hAnsi="Times New Roman"/>
          <w:b/>
          <w:bCs/>
          <w:lang w:val="en-HK"/>
        </w:rPr>
        <w:t xml:space="preserve"> [1982] 1 All ER 801, which required a person of "reasonable firmness" to resist the threat.</w:t>
      </w:r>
    </w:p>
    <w:p w14:paraId="3D1B985A" w14:textId="77777777" w:rsidR="007344DA" w:rsidRPr="00D76D15" w:rsidRDefault="007344DA" w:rsidP="00D76D15">
      <w:pPr>
        <w:numPr>
          <w:ilvl w:val="2"/>
          <w:numId w:val="5"/>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contends that the Lords misread Parliament’s inaction as disapproval, failing to consider other possible reasons for the delay.</w:t>
      </w:r>
    </w:p>
    <w:p w14:paraId="66B0967A" w14:textId="77777777" w:rsidR="007344DA"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1361AC3D">
          <v:rect id="_x0000_i1039" alt="" style="width:451.3pt;height:.05pt;mso-width-percent:0;mso-height-percent:0;mso-width-percent:0;mso-height-percent:0" o:hralign="center" o:hrstd="t" o:hr="t" fillcolor="#a0a0a0" stroked="f"/>
        </w:pict>
      </w:r>
    </w:p>
    <w:p w14:paraId="1F89A1BC" w14:textId="77777777" w:rsidR="007344DA" w:rsidRPr="00D76D15" w:rsidRDefault="007344DA"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2.3 The Sanctity of Life and Morality Argument</w:t>
      </w:r>
    </w:p>
    <w:p w14:paraId="7E0E73D9"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House of Lords' Reasoning</w:t>
      </w:r>
      <w:r w:rsidRPr="00D76D15">
        <w:rPr>
          <w:rFonts w:ascii="Times New Roman" w:hAnsi="Times New Roman"/>
          <w:lang w:val="en-HK"/>
        </w:rPr>
        <w:t>:</w:t>
      </w:r>
    </w:p>
    <w:p w14:paraId="0B7F41C6"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argued that allowing duress as a defence would undermine the principle of the sanctity of life.</w:t>
      </w:r>
    </w:p>
    <w:p w14:paraId="2C0AF8A9"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Griffiths emphasized that human life must be upheld as an absolute value, asserting: "I would do nothing to undermine [the sanctity of human life], be it ever so slight" (at 789).</w:t>
      </w:r>
    </w:p>
    <w:p w14:paraId="3BF239EC"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lastRenderedPageBreak/>
        <w:t>Critique</w:t>
      </w:r>
      <w:r w:rsidRPr="00D76D15">
        <w:rPr>
          <w:rFonts w:ascii="Times New Roman" w:hAnsi="Times New Roman"/>
          <w:lang w:val="en-HK"/>
        </w:rPr>
        <w:t>:</w:t>
      </w:r>
    </w:p>
    <w:p w14:paraId="56A4D3FF"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challenges this argument as inconsistent with existing law:</w:t>
      </w:r>
    </w:p>
    <w:p w14:paraId="0C65BF7F" w14:textId="77777777" w:rsidR="007344DA" w:rsidRPr="00D76D15" w:rsidRDefault="007344DA" w:rsidP="00D76D15">
      <w:pPr>
        <w:numPr>
          <w:ilvl w:val="2"/>
          <w:numId w:val="6"/>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In self-defence, the killing of an "innocent" attacker (e.g., someone insane or underage) is permissible (Smith &amp; Hogan, </w:t>
      </w:r>
      <w:r w:rsidRPr="00D76D15">
        <w:rPr>
          <w:rFonts w:ascii="Times New Roman" w:hAnsi="Times New Roman"/>
          <w:i/>
          <w:iCs/>
          <w:lang w:val="en-HK"/>
        </w:rPr>
        <w:t>Criminal Law</w:t>
      </w:r>
      <w:r w:rsidRPr="00D76D15">
        <w:rPr>
          <w:rFonts w:ascii="Times New Roman" w:hAnsi="Times New Roman"/>
          <w:lang w:val="en-HK"/>
        </w:rPr>
        <w:t xml:space="preserve">, 5th </w:t>
      </w:r>
      <w:proofErr w:type="spellStart"/>
      <w:r w:rsidRPr="00D76D15">
        <w:rPr>
          <w:rFonts w:ascii="Times New Roman" w:hAnsi="Times New Roman"/>
          <w:lang w:val="en-HK"/>
        </w:rPr>
        <w:t>edn</w:t>
      </w:r>
      <w:proofErr w:type="spellEnd"/>
      <w:r w:rsidRPr="00D76D15">
        <w:rPr>
          <w:rFonts w:ascii="Times New Roman" w:hAnsi="Times New Roman"/>
          <w:lang w:val="en-HK"/>
        </w:rPr>
        <w:t>, p. 328).</w:t>
      </w:r>
    </w:p>
    <w:p w14:paraId="36702728" w14:textId="77777777" w:rsidR="007344DA" w:rsidRPr="00D76D15" w:rsidRDefault="007344DA" w:rsidP="00D76D15">
      <w:pPr>
        <w:numPr>
          <w:ilvl w:val="2"/>
          <w:numId w:val="6"/>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Provocation under the Homicide Act 1957 (s 3) allows the defence even when the provocative act originates from someone other than the victim.</w:t>
      </w:r>
    </w:p>
    <w:p w14:paraId="079AEFF8"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He disputes the claim that </w:t>
      </w:r>
      <w:r w:rsidRPr="00D76D15">
        <w:rPr>
          <w:rFonts w:ascii="Times New Roman" w:hAnsi="Times New Roman"/>
          <w:b/>
          <w:bCs/>
          <w:lang w:val="en-HK"/>
        </w:rPr>
        <w:t>denying duress would deter coerced individuals</w:t>
      </w:r>
      <w:r w:rsidRPr="00D76D15">
        <w:rPr>
          <w:rFonts w:ascii="Times New Roman" w:hAnsi="Times New Roman"/>
          <w:lang w:val="en-HK"/>
        </w:rPr>
        <w:t>:</w:t>
      </w:r>
    </w:p>
    <w:p w14:paraId="5DF4A6AD"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argues that </w:t>
      </w:r>
      <w:r w:rsidRPr="00D76D15">
        <w:rPr>
          <w:rFonts w:ascii="Times New Roman" w:hAnsi="Times New Roman"/>
          <w:b/>
          <w:bCs/>
          <w:lang w:val="en-HK"/>
        </w:rPr>
        <w:t>self-preservation instincts override concerns about future legal consequences</w:t>
      </w:r>
      <w:r w:rsidRPr="00D76D15">
        <w:rPr>
          <w:rFonts w:ascii="Times New Roman" w:hAnsi="Times New Roman"/>
          <w:lang w:val="en-HK"/>
        </w:rPr>
        <w:t xml:space="preserve"> (Hall, </w:t>
      </w:r>
      <w:r w:rsidRPr="00D76D15">
        <w:rPr>
          <w:rFonts w:ascii="Times New Roman" w:hAnsi="Times New Roman"/>
          <w:i/>
          <w:iCs/>
          <w:lang w:val="en-HK"/>
        </w:rPr>
        <w:t>General Principles of Criminal Law</w:t>
      </w:r>
      <w:r w:rsidRPr="00D76D15">
        <w:rPr>
          <w:rFonts w:ascii="Times New Roman" w:hAnsi="Times New Roman"/>
          <w:lang w:val="en-HK"/>
        </w:rPr>
        <w:t xml:space="preserve">, 2nd </w:t>
      </w:r>
      <w:proofErr w:type="spellStart"/>
      <w:r w:rsidRPr="00D76D15">
        <w:rPr>
          <w:rFonts w:ascii="Times New Roman" w:hAnsi="Times New Roman"/>
          <w:lang w:val="en-HK"/>
        </w:rPr>
        <w:t>edn</w:t>
      </w:r>
      <w:proofErr w:type="spellEnd"/>
      <w:r w:rsidRPr="00D76D15">
        <w:rPr>
          <w:rFonts w:ascii="Times New Roman" w:hAnsi="Times New Roman"/>
          <w:lang w:val="en-HK"/>
        </w:rPr>
        <w:t>, pp. 444-448).</w:t>
      </w:r>
    </w:p>
    <w:p w14:paraId="0DAB33C9" w14:textId="77777777" w:rsidR="007344DA"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2519603A">
          <v:rect id="_x0000_i1038" alt="" style="width:451.3pt;height:.05pt;mso-width-percent:0;mso-height-percent:0;mso-width-percent:0;mso-height-percent:0" o:hralign="center" o:hrstd="t" o:hr="t" fillcolor="#a0a0a0" stroked="f"/>
        </w:pict>
      </w:r>
    </w:p>
    <w:p w14:paraId="7BEE5FF0" w14:textId="77777777" w:rsidR="007344DA" w:rsidRPr="00D76D15" w:rsidRDefault="007344DA"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2.4 The Mitigation Argument</w:t>
      </w:r>
    </w:p>
    <w:p w14:paraId="02E363B1"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House of Lords' Reasoning</w:t>
      </w:r>
      <w:r w:rsidRPr="00D76D15">
        <w:rPr>
          <w:rFonts w:ascii="Times New Roman" w:hAnsi="Times New Roman"/>
          <w:lang w:val="en-HK"/>
        </w:rPr>
        <w:t>:</w:t>
      </w:r>
    </w:p>
    <w:p w14:paraId="6874272F"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suggested that hardship could be mitigated through mechanisms like prosecutorial discretion, sentencing leniency, and pardons.</w:t>
      </w:r>
    </w:p>
    <w:p w14:paraId="4B102485"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Hailsham noted that trial judges could make no minimum sentence recommendations for cases involving duress (at 781).</w:t>
      </w:r>
    </w:p>
    <w:p w14:paraId="4555E91E"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Critique</w:t>
      </w:r>
      <w:r w:rsidRPr="00D76D15">
        <w:rPr>
          <w:rFonts w:ascii="Times New Roman" w:hAnsi="Times New Roman"/>
          <w:lang w:val="en-HK"/>
        </w:rPr>
        <w:t>:</w:t>
      </w:r>
    </w:p>
    <w:p w14:paraId="0BDD05D5" w14:textId="77777777" w:rsidR="007344DA" w:rsidRPr="00D76D15" w:rsidRDefault="007344DA"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dismisses these as insufficient:</w:t>
      </w:r>
    </w:p>
    <w:p w14:paraId="39357F5E" w14:textId="77777777" w:rsidR="007344DA" w:rsidRPr="00D76D15" w:rsidRDefault="007344DA" w:rsidP="00D76D15">
      <w:pPr>
        <w:numPr>
          <w:ilvl w:val="2"/>
          <w:numId w:val="7"/>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Discretionary mechanisms </w:t>
      </w:r>
      <w:r w:rsidRPr="00D76D15">
        <w:rPr>
          <w:rFonts w:ascii="Times New Roman" w:hAnsi="Times New Roman"/>
          <w:b/>
          <w:bCs/>
          <w:lang w:val="en-HK"/>
        </w:rPr>
        <w:t>lack certainty</w:t>
      </w:r>
      <w:r w:rsidRPr="00D76D15">
        <w:rPr>
          <w:rFonts w:ascii="Times New Roman" w:hAnsi="Times New Roman"/>
          <w:lang w:val="en-HK"/>
        </w:rPr>
        <w:t xml:space="preserve"> and fairness compared to a full defence.</w:t>
      </w:r>
    </w:p>
    <w:p w14:paraId="5463FB76" w14:textId="77777777" w:rsidR="007344DA" w:rsidRPr="00D76D15" w:rsidRDefault="007344DA" w:rsidP="00D76D15">
      <w:pPr>
        <w:numPr>
          <w:ilvl w:val="2"/>
          <w:numId w:val="7"/>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Pardons imply guilt, contradicting the excusatory nature of duress (Lord Edmund-Davies in </w:t>
      </w:r>
      <w:r w:rsidRPr="00D76D15">
        <w:rPr>
          <w:rFonts w:ascii="Times New Roman" w:hAnsi="Times New Roman"/>
          <w:i/>
          <w:iCs/>
          <w:lang w:val="en-HK"/>
        </w:rPr>
        <w:t>Lynch</w:t>
      </w:r>
      <w:r w:rsidRPr="00D76D15">
        <w:rPr>
          <w:rFonts w:ascii="Times New Roman" w:hAnsi="Times New Roman"/>
          <w:lang w:val="en-HK"/>
        </w:rPr>
        <w:t xml:space="preserve"> [1975] AC 653, at 707).</w:t>
      </w:r>
    </w:p>
    <w:p w14:paraId="1AB2AE31" w14:textId="77777777" w:rsidR="007344DA"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598D5029">
          <v:rect id="_x0000_i1037" alt="" style="width:451.3pt;height:.05pt;mso-width-percent:0;mso-height-percent:0;mso-width-percent:0;mso-height-percent:0" o:hralign="center" o:hrstd="t" o:hr="t" fillcolor="#a0a0a0" stroked="f"/>
        </w:pict>
      </w:r>
    </w:p>
    <w:p w14:paraId="6F1B42DF" w14:textId="77777777" w:rsidR="00DD5425" w:rsidRPr="00D76D15" w:rsidRDefault="00DD5425" w:rsidP="00D76D15">
      <w:pPr>
        <w:spacing w:before="100" w:beforeAutospacing="1" w:after="100" w:afterAutospacing="1" w:line="360" w:lineRule="auto"/>
        <w:outlineLvl w:val="2"/>
        <w:rPr>
          <w:rFonts w:ascii="Times New Roman" w:hAnsi="Times New Roman"/>
          <w:b/>
          <w:bCs/>
          <w:lang w:val="en-HK"/>
        </w:rPr>
      </w:pPr>
      <w:r w:rsidRPr="00D76D15">
        <w:rPr>
          <w:rFonts w:ascii="Times New Roman" w:hAnsi="Times New Roman"/>
          <w:b/>
          <w:bCs/>
          <w:lang w:val="en-HK"/>
        </w:rPr>
        <w:t>3. The Sanctity of Life/Morality Argument</w:t>
      </w:r>
    </w:p>
    <w:p w14:paraId="03E161D9"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lastRenderedPageBreak/>
        <w:t>House of Lords' Reasoning</w:t>
      </w:r>
    </w:p>
    <w:p w14:paraId="78736678"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anchored their decision in two interrelated policy considerations:</w:t>
      </w:r>
    </w:p>
    <w:p w14:paraId="7E2F02F9" w14:textId="77777777" w:rsidR="00DD5425" w:rsidRPr="00D76D15" w:rsidRDefault="00DD5425" w:rsidP="00D76D15">
      <w:pPr>
        <w:numPr>
          <w:ilvl w:val="0"/>
          <w:numId w:val="8"/>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law must not condone the killing of an innocent person under any circumstances, even to save one’s own life.</w:t>
      </w:r>
    </w:p>
    <w:p w14:paraId="6C92148C" w14:textId="77777777" w:rsidR="00DD5425" w:rsidRPr="00D76D15" w:rsidRDefault="00DD5425" w:rsidP="00D76D15">
      <w:pPr>
        <w:numPr>
          <w:ilvl w:val="0"/>
          <w:numId w:val="8"/>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principle of sanctity of life must remain inviolable to preserve societal respect for human life.</w:t>
      </w:r>
    </w:p>
    <w:p w14:paraId="3B2B3612"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Key points included:</w:t>
      </w:r>
    </w:p>
    <w:p w14:paraId="03C62A15" w14:textId="77777777" w:rsidR="00DD5425" w:rsidRPr="00D76D15" w:rsidRDefault="00DD5425" w:rsidP="00D76D15">
      <w:pPr>
        <w:numPr>
          <w:ilvl w:val="0"/>
          <w:numId w:val="9"/>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Moral Absolutism</w:t>
      </w:r>
      <w:r w:rsidRPr="00D76D15">
        <w:rPr>
          <w:rFonts w:ascii="Times New Roman" w:hAnsi="Times New Roman"/>
          <w:lang w:val="en-HK"/>
        </w:rPr>
        <w:t>: Lord Griffiths stated, “I would do nothing to undermine [the sanctity of human life], be it ever so slight” (</w:t>
      </w:r>
      <w:r w:rsidRPr="00D76D15">
        <w:rPr>
          <w:rFonts w:ascii="Times New Roman" w:hAnsi="Times New Roman"/>
          <w:i/>
          <w:iCs/>
          <w:lang w:val="en-HK"/>
        </w:rPr>
        <w:t>R v Howe</w:t>
      </w:r>
      <w:r w:rsidRPr="00D76D15">
        <w:rPr>
          <w:rFonts w:ascii="Times New Roman" w:hAnsi="Times New Roman"/>
          <w:lang w:val="en-HK"/>
        </w:rPr>
        <w:t xml:space="preserve"> [1987] 1 All ER 771, at 789).</w:t>
      </w:r>
    </w:p>
    <w:p w14:paraId="64491D6D" w14:textId="77777777" w:rsidR="00DD5425" w:rsidRPr="00D76D15" w:rsidRDefault="00DD5425" w:rsidP="00D76D15">
      <w:pPr>
        <w:numPr>
          <w:ilvl w:val="0"/>
          <w:numId w:val="9"/>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Deterrence Argument</w:t>
      </w:r>
      <w:r w:rsidRPr="00D76D15">
        <w:rPr>
          <w:rFonts w:ascii="Times New Roman" w:hAnsi="Times New Roman"/>
          <w:lang w:val="en-HK"/>
        </w:rPr>
        <w:t>: The Lords contended that the knowledge of inevitable legal culpability would deter coerced individuals from succumbing to duress.</w:t>
      </w:r>
    </w:p>
    <w:p w14:paraId="63FAC878"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6724E1D0">
          <v:rect id="_x0000_i1036" alt="" style="width:451.3pt;height:.05pt;mso-width-percent:0;mso-height-percent:0;mso-width-percent:0;mso-height-percent:0" o:hralign="center" o:hrstd="t" o:hr="t" fillcolor="#a0a0a0" stroked="f"/>
        </w:pict>
      </w:r>
    </w:p>
    <w:p w14:paraId="26E996AF"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Critique of the Sanctity of Life Argument</w:t>
      </w:r>
    </w:p>
    <w:p w14:paraId="6A469169"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challenges the Lords’ reasoning on several grounds, arguing that their stance was overly simplistic and inconsistent with existing legal principles.</w:t>
      </w:r>
    </w:p>
    <w:p w14:paraId="3045612E"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3.1 Morality and Legal Guilt</w:t>
      </w:r>
    </w:p>
    <w:p w14:paraId="70ADFB19" w14:textId="77777777" w:rsidR="00DD5425" w:rsidRPr="00D76D15" w:rsidRDefault="00DD5425" w:rsidP="00D76D15">
      <w:pPr>
        <w:numPr>
          <w:ilvl w:val="0"/>
          <w:numId w:val="10"/>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asserts that the Lords’ reliance on a rigid moral principle of sanctity of life is flawed because morality is subjective and variable. Hogan critiques this assumption, asking, "Whose morality? Is there some book on the library shelves which provides us all with an agreed guide?" (Hogan, </w:t>
      </w:r>
      <w:r w:rsidRPr="00D76D15">
        <w:rPr>
          <w:rFonts w:ascii="Times New Roman" w:hAnsi="Times New Roman"/>
          <w:i/>
          <w:iCs/>
          <w:lang w:val="en-HK"/>
        </w:rPr>
        <w:t>The Law Magazine</w:t>
      </w:r>
      <w:r w:rsidRPr="00D76D15">
        <w:rPr>
          <w:rFonts w:ascii="Times New Roman" w:hAnsi="Times New Roman"/>
          <w:lang w:val="en-HK"/>
        </w:rPr>
        <w:t>, May 1987, p. 33).</w:t>
      </w:r>
    </w:p>
    <w:p w14:paraId="5D86E2AB" w14:textId="77777777" w:rsidR="00DD5425" w:rsidRPr="00D76D15" w:rsidRDefault="00DD5425" w:rsidP="00D76D15">
      <w:pPr>
        <w:numPr>
          <w:ilvl w:val="0"/>
          <w:numId w:val="10"/>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notes the inconsistency between moral absolutes and legal culpability:</w:t>
      </w:r>
    </w:p>
    <w:p w14:paraId="1AB2AC3D"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law already qualifies the sanctity of life in cases of:</w:t>
      </w:r>
    </w:p>
    <w:p w14:paraId="53866C23" w14:textId="77777777" w:rsidR="00DD5425" w:rsidRPr="00D76D15" w:rsidRDefault="00DD5425" w:rsidP="00D76D15">
      <w:pPr>
        <w:numPr>
          <w:ilvl w:val="2"/>
          <w:numId w:val="10"/>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Self-Defence</w:t>
      </w:r>
      <w:r w:rsidRPr="00D76D15">
        <w:rPr>
          <w:rFonts w:ascii="Times New Roman" w:hAnsi="Times New Roman"/>
          <w:lang w:val="en-HK"/>
        </w:rPr>
        <w:t xml:space="preserve">: The killing of an "innocent" attacker, such as someone insane or underage, is permissible (Smith &amp; Hogan, </w:t>
      </w:r>
      <w:r w:rsidRPr="00D76D15">
        <w:rPr>
          <w:rFonts w:ascii="Times New Roman" w:hAnsi="Times New Roman"/>
          <w:i/>
          <w:iCs/>
          <w:lang w:val="en-HK"/>
        </w:rPr>
        <w:t>Criminal Law</w:t>
      </w:r>
      <w:r w:rsidRPr="00D76D15">
        <w:rPr>
          <w:rFonts w:ascii="Times New Roman" w:hAnsi="Times New Roman"/>
          <w:lang w:val="en-HK"/>
        </w:rPr>
        <w:t xml:space="preserve">, 5th </w:t>
      </w:r>
      <w:proofErr w:type="spellStart"/>
      <w:r w:rsidRPr="00D76D15">
        <w:rPr>
          <w:rFonts w:ascii="Times New Roman" w:hAnsi="Times New Roman"/>
          <w:lang w:val="en-HK"/>
        </w:rPr>
        <w:t>edn</w:t>
      </w:r>
      <w:proofErr w:type="spellEnd"/>
      <w:r w:rsidRPr="00D76D15">
        <w:rPr>
          <w:rFonts w:ascii="Times New Roman" w:hAnsi="Times New Roman"/>
          <w:lang w:val="en-HK"/>
        </w:rPr>
        <w:t>, p. 328).</w:t>
      </w:r>
    </w:p>
    <w:p w14:paraId="66EF5B98" w14:textId="77777777" w:rsidR="00DD5425" w:rsidRPr="00D76D15" w:rsidRDefault="00DD5425" w:rsidP="00D76D15">
      <w:pPr>
        <w:numPr>
          <w:ilvl w:val="2"/>
          <w:numId w:val="10"/>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Provocation</w:t>
      </w:r>
      <w:r w:rsidRPr="00D76D15">
        <w:rPr>
          <w:rFonts w:ascii="Times New Roman" w:hAnsi="Times New Roman"/>
          <w:lang w:val="en-HK"/>
        </w:rPr>
        <w:t>: The Homicide Act 1957, s. 3, allows a partial defence even when provocation originates from someone other than the victim.</w:t>
      </w:r>
    </w:p>
    <w:p w14:paraId="0799D11B"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lastRenderedPageBreak/>
        <w:t>Walters argues that these exceptions demonstrate that the sanctity of life is not an absolute value in criminal law.</w:t>
      </w:r>
    </w:p>
    <w:p w14:paraId="32F7A817"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3.2 Deterrence and Duress</w:t>
      </w:r>
    </w:p>
    <w:p w14:paraId="61F8456F" w14:textId="77777777" w:rsidR="00DD5425" w:rsidRPr="00D76D15" w:rsidRDefault="00DD5425" w:rsidP="00D76D15">
      <w:pPr>
        <w:numPr>
          <w:ilvl w:val="0"/>
          <w:numId w:val="11"/>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critiques the deterrence argument, asserting that self-preservation instincts often override concerns about future legal consequences. He cites Hall’s analysis in </w:t>
      </w:r>
      <w:r w:rsidRPr="00D76D15">
        <w:rPr>
          <w:rFonts w:ascii="Times New Roman" w:hAnsi="Times New Roman"/>
          <w:i/>
          <w:iCs/>
          <w:lang w:val="en-HK"/>
        </w:rPr>
        <w:t>General Principles of Criminal Law</w:t>
      </w:r>
      <w:r w:rsidRPr="00D76D15">
        <w:rPr>
          <w:rFonts w:ascii="Times New Roman" w:hAnsi="Times New Roman"/>
          <w:lang w:val="en-HK"/>
        </w:rPr>
        <w:t xml:space="preserve"> (2nd </w:t>
      </w:r>
      <w:proofErr w:type="spellStart"/>
      <w:r w:rsidRPr="00D76D15">
        <w:rPr>
          <w:rFonts w:ascii="Times New Roman" w:hAnsi="Times New Roman"/>
          <w:lang w:val="en-HK"/>
        </w:rPr>
        <w:t>edn</w:t>
      </w:r>
      <w:proofErr w:type="spellEnd"/>
      <w:r w:rsidRPr="00D76D15">
        <w:rPr>
          <w:rFonts w:ascii="Times New Roman" w:hAnsi="Times New Roman"/>
          <w:lang w:val="en-HK"/>
        </w:rPr>
        <w:t>, pp. 444–448), which argues that the threat of immediate harm typically outweighs the deterrent effect of punishment.</w:t>
      </w:r>
    </w:p>
    <w:p w14:paraId="0C8C8D51" w14:textId="77777777" w:rsidR="00DD5425" w:rsidRPr="00D76D15" w:rsidRDefault="00DD5425" w:rsidP="00D76D15">
      <w:pPr>
        <w:numPr>
          <w:ilvl w:val="0"/>
          <w:numId w:val="11"/>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emphasizes that coerced individuals are unlikely to be deterred by the prospect of legal culpability unless they possess "heroic qualities," rendering the argument ineffective in practice.</w:t>
      </w:r>
    </w:p>
    <w:p w14:paraId="071615AD"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3.3 Excuse and Public Perception</w:t>
      </w:r>
    </w:p>
    <w:p w14:paraId="754A38A1" w14:textId="77777777" w:rsidR="00DD5425" w:rsidRPr="00D76D15" w:rsidRDefault="00DD5425" w:rsidP="00D76D15">
      <w:pPr>
        <w:numPr>
          <w:ilvl w:val="0"/>
          <w:numId w:val="12"/>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argues that allowing duress as a defence does not signify societal approval of killing. He clarifies the distinction between:</w:t>
      </w:r>
    </w:p>
    <w:p w14:paraId="3B6B6DD4"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Justification</w:t>
      </w:r>
      <w:r w:rsidRPr="00D76D15">
        <w:rPr>
          <w:rFonts w:ascii="Times New Roman" w:hAnsi="Times New Roman"/>
          <w:lang w:val="en-HK"/>
        </w:rPr>
        <w:t>: Where the act itself is deemed acceptable by law.</w:t>
      </w:r>
    </w:p>
    <w:p w14:paraId="236122BA"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Excuse</w:t>
      </w:r>
      <w:r w:rsidRPr="00D76D15">
        <w:rPr>
          <w:rFonts w:ascii="Times New Roman" w:hAnsi="Times New Roman"/>
          <w:lang w:val="en-HK"/>
        </w:rPr>
        <w:t>: Where the act remains wrongful, but the actor’s culpability is negated due to the circumstances.</w:t>
      </w:r>
    </w:p>
    <w:p w14:paraId="607E02B3" w14:textId="77777777" w:rsidR="00DD5425" w:rsidRPr="00D76D15" w:rsidRDefault="00DD5425" w:rsidP="00D76D15">
      <w:pPr>
        <w:numPr>
          <w:ilvl w:val="0"/>
          <w:numId w:val="12"/>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He notes that public perception might misconstrue acquittals as quasi-justifications. However, given the rarity of successful duress pleas in murder cases, Walters deems this concern negligible.</w:t>
      </w:r>
    </w:p>
    <w:p w14:paraId="5D3A71A8"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3.4 Practical Implications</w:t>
      </w:r>
    </w:p>
    <w:p w14:paraId="262711B3"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contends that the restrictive definition of duress in </w:t>
      </w:r>
      <w:r w:rsidRPr="00D76D15">
        <w:rPr>
          <w:rFonts w:ascii="Times New Roman" w:hAnsi="Times New Roman"/>
          <w:i/>
          <w:iCs/>
          <w:lang w:val="en-HK"/>
        </w:rPr>
        <w:t>Howe</w:t>
      </w:r>
      <w:r w:rsidRPr="00D76D15">
        <w:rPr>
          <w:rFonts w:ascii="Times New Roman" w:hAnsi="Times New Roman"/>
          <w:lang w:val="en-HK"/>
        </w:rPr>
        <w:t xml:space="preserve"> and prior cases would ensure that only the most extreme and compelling cases succeed:</w:t>
      </w:r>
    </w:p>
    <w:p w14:paraId="43DEC76F" w14:textId="77777777" w:rsidR="00DD5425" w:rsidRPr="00D76D15" w:rsidRDefault="00DD5425" w:rsidP="00D76D15">
      <w:pPr>
        <w:numPr>
          <w:ilvl w:val="1"/>
          <w:numId w:val="13"/>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The </w:t>
      </w:r>
      <w:r w:rsidRPr="00D76D15">
        <w:rPr>
          <w:rFonts w:ascii="Times New Roman" w:hAnsi="Times New Roman"/>
          <w:i/>
          <w:iCs/>
          <w:lang w:val="en-HK"/>
        </w:rPr>
        <w:t>Fitzpatrick Principle</w:t>
      </w:r>
      <w:r w:rsidRPr="00D76D15">
        <w:rPr>
          <w:rFonts w:ascii="Times New Roman" w:hAnsi="Times New Roman"/>
          <w:lang w:val="en-HK"/>
        </w:rPr>
        <w:t xml:space="preserve"> denies the defence to those who voluntarily expose themselves to the risk of duress (e.g., terrorists or gang members).</w:t>
      </w:r>
    </w:p>
    <w:p w14:paraId="5495CB22" w14:textId="77777777" w:rsidR="00DD5425" w:rsidRPr="00D76D15" w:rsidRDefault="00DD5425" w:rsidP="00D76D15">
      <w:pPr>
        <w:numPr>
          <w:ilvl w:val="1"/>
          <w:numId w:val="13"/>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Lord Lane’s objective test in </w:t>
      </w:r>
      <w:r w:rsidRPr="00D76D15">
        <w:rPr>
          <w:rFonts w:ascii="Times New Roman" w:hAnsi="Times New Roman"/>
          <w:i/>
          <w:iCs/>
          <w:lang w:val="en-HK"/>
        </w:rPr>
        <w:t>R v Graham</w:t>
      </w:r>
      <w:r w:rsidRPr="00D76D15">
        <w:rPr>
          <w:rFonts w:ascii="Times New Roman" w:hAnsi="Times New Roman"/>
          <w:lang w:val="en-HK"/>
        </w:rPr>
        <w:t xml:space="preserve"> [1982] 1 All ER 801 requires a person of "reasonable firmness" to resist the threat.</w:t>
      </w:r>
    </w:p>
    <w:p w14:paraId="119EC114" w14:textId="77777777" w:rsidR="00DD5425" w:rsidRPr="00D76D15" w:rsidRDefault="00DD5425" w:rsidP="00D76D15">
      <w:pPr>
        <w:numPr>
          <w:ilvl w:val="1"/>
          <w:numId w:val="13"/>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lastRenderedPageBreak/>
        <w:t>Threats must involve death or serious injury, and the defendant must have no safe avenue of escape.</w:t>
      </w:r>
    </w:p>
    <w:p w14:paraId="1261DB0F"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0CF7C986">
          <v:rect id="_x0000_i1035" alt="" style="width:451.3pt;height:.05pt;mso-width-percent:0;mso-height-percent:0;mso-width-percent:0;mso-height-percent:0" o:hralign="center" o:hrstd="t" o:hr="t" fillcolor="#a0a0a0" stroked="f"/>
        </w:pict>
      </w:r>
    </w:p>
    <w:p w14:paraId="4F1D8A2B" w14:textId="77777777" w:rsidR="00DD5425" w:rsidRPr="00D76D15" w:rsidRDefault="00DD5425" w:rsidP="00D76D15">
      <w:pPr>
        <w:spacing w:before="100" w:beforeAutospacing="1" w:after="100" w:afterAutospacing="1" w:line="360" w:lineRule="auto"/>
        <w:outlineLvl w:val="2"/>
        <w:rPr>
          <w:rFonts w:ascii="Times New Roman" w:hAnsi="Times New Roman"/>
          <w:b/>
          <w:bCs/>
          <w:lang w:val="en-HK"/>
        </w:rPr>
      </w:pPr>
      <w:r w:rsidRPr="00D76D15">
        <w:rPr>
          <w:rFonts w:ascii="Times New Roman" w:hAnsi="Times New Roman"/>
          <w:b/>
          <w:bCs/>
          <w:lang w:val="en-HK"/>
        </w:rPr>
        <w:t>4. The Mitigation Argument</w:t>
      </w:r>
    </w:p>
    <w:p w14:paraId="3B4A648B"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House of Lords' Reasoning</w:t>
      </w:r>
    </w:p>
    <w:p w14:paraId="300008EE"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expressed sympathy for defendants who kill under duress but rejected the extension of duress to murder. Instead, they proposed alternative mechanisms to address hardship:</w:t>
      </w:r>
    </w:p>
    <w:p w14:paraId="0C636389" w14:textId="77777777" w:rsidR="00DD5425" w:rsidRPr="00D76D15" w:rsidRDefault="00DD5425" w:rsidP="00D76D15">
      <w:pPr>
        <w:numPr>
          <w:ilvl w:val="0"/>
          <w:numId w:val="14"/>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Reduction of Murder to Manslaughter</w:t>
      </w:r>
      <w:r w:rsidRPr="00D76D15">
        <w:rPr>
          <w:rFonts w:ascii="Times New Roman" w:hAnsi="Times New Roman"/>
          <w:lang w:val="en-HK"/>
        </w:rPr>
        <w:t>:</w:t>
      </w:r>
    </w:p>
    <w:p w14:paraId="5BEE46C6"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considered whether duress could, like provocation or diminished responsibility, reduce murder to manslaughter.</w:t>
      </w:r>
    </w:p>
    <w:p w14:paraId="5F1E091F"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Hailsham rejected this suggestion, arguing that duress differs fundamentally from provocation and diminished responsibility (at 782).</w:t>
      </w:r>
    </w:p>
    <w:p w14:paraId="1E50D962" w14:textId="77777777" w:rsidR="00DD5425" w:rsidRPr="00D76D15" w:rsidRDefault="00DD5425" w:rsidP="00D76D15">
      <w:pPr>
        <w:numPr>
          <w:ilvl w:val="0"/>
          <w:numId w:val="14"/>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Discretionary Measures</w:t>
      </w:r>
      <w:r w:rsidRPr="00D76D15">
        <w:rPr>
          <w:rFonts w:ascii="Times New Roman" w:hAnsi="Times New Roman"/>
          <w:lang w:val="en-HK"/>
        </w:rPr>
        <w:t>:</w:t>
      </w:r>
    </w:p>
    <w:p w14:paraId="1EB04664"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identified several avenues for mitigating the impact of duress:</w:t>
      </w:r>
    </w:p>
    <w:p w14:paraId="6B89303C" w14:textId="77777777" w:rsidR="00DD5425" w:rsidRPr="00D76D15" w:rsidRDefault="00DD5425" w:rsidP="00D76D15">
      <w:pPr>
        <w:numPr>
          <w:ilvl w:val="2"/>
          <w:numId w:val="1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Prosecutorial discretion to refrain from bringing charges.</w:t>
      </w:r>
    </w:p>
    <w:p w14:paraId="090C59B3" w14:textId="77777777" w:rsidR="00DD5425" w:rsidRPr="00D76D15" w:rsidRDefault="00DD5425" w:rsidP="00D76D15">
      <w:pPr>
        <w:numPr>
          <w:ilvl w:val="2"/>
          <w:numId w:val="1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Sentencing leniency by trial judges.</w:t>
      </w:r>
    </w:p>
    <w:p w14:paraId="39D9CAB8" w14:textId="77777777" w:rsidR="00DD5425" w:rsidRPr="00D76D15" w:rsidRDefault="00DD5425" w:rsidP="00D76D15">
      <w:pPr>
        <w:numPr>
          <w:ilvl w:val="2"/>
          <w:numId w:val="1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Royal Pardon or intervention by the Parole Board.</w:t>
      </w:r>
    </w:p>
    <w:p w14:paraId="7342D280"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18FACECE">
          <v:rect id="_x0000_i1034" alt="" style="width:451.3pt;height:.05pt;mso-width-percent:0;mso-height-percent:0;mso-width-percent:0;mso-height-percent:0" o:hralign="center" o:hrstd="t" o:hr="t" fillcolor="#a0a0a0" stroked="f"/>
        </w:pict>
      </w:r>
    </w:p>
    <w:p w14:paraId="65927AA6"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Critique of the Mitigation Argument</w:t>
      </w:r>
    </w:p>
    <w:p w14:paraId="3F781FC6"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critiques these alternatives as inadequate and unprincipled, emphasizing their failure to address the unique nature of duress.</w:t>
      </w:r>
    </w:p>
    <w:p w14:paraId="7E67D73A"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4.1 Reduction to Manslaughter</w:t>
      </w:r>
    </w:p>
    <w:p w14:paraId="70B8C647"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lastRenderedPageBreak/>
        <w:t>Walters challenges the rejection of manslaughter as an alternative verdict:</w:t>
      </w:r>
    </w:p>
    <w:p w14:paraId="7B9B7585"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He argues that duress, like provocation, represents a "concession to human frailty." If provocation justifies a partial defence, there is no principled reason to deny the same treatment to duress.</w:t>
      </w:r>
    </w:p>
    <w:p w14:paraId="15F86688"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Hailsham’s rejection is described as lacking clear analysis. Walters observes that the Lords’ reliance on the Law Commission’s stance (that duress, when applicable, should result in acquittal) is inconsistent with their decision to uphold murder convictions under duress.</w:t>
      </w:r>
    </w:p>
    <w:p w14:paraId="75822294"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4.2 Discretionary Measures</w:t>
      </w:r>
    </w:p>
    <w:p w14:paraId="1C758A4B"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criticizes the reliance on discretionary mechanisms as uncertain, unfair, and contrary to the principles of criminal justice:</w:t>
      </w:r>
    </w:p>
    <w:p w14:paraId="644722C1" w14:textId="77777777" w:rsidR="00DD5425" w:rsidRPr="00D76D15" w:rsidRDefault="00DD5425" w:rsidP="00D76D15">
      <w:pPr>
        <w:numPr>
          <w:ilvl w:val="1"/>
          <w:numId w:val="16"/>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Discretionary decisions (e.g., prosecution, parole) lack the predictability and clarity of a formal defence.</w:t>
      </w:r>
    </w:p>
    <w:p w14:paraId="180D3935" w14:textId="77777777" w:rsidR="00DD5425" w:rsidRPr="00D76D15" w:rsidRDefault="00DD5425" w:rsidP="00D76D15">
      <w:pPr>
        <w:numPr>
          <w:ilvl w:val="1"/>
          <w:numId w:val="16"/>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Factors influencing discretionary decisions often extend beyond legal issues, introducing considerations of policy or expediency that undermine the fairness of the process.</w:t>
      </w:r>
    </w:p>
    <w:p w14:paraId="4E5859BB" w14:textId="77777777" w:rsidR="00DD5425" w:rsidRPr="00D76D15" w:rsidRDefault="00DD5425" w:rsidP="00D76D15">
      <w:pPr>
        <w:numPr>
          <w:ilvl w:val="1"/>
          <w:numId w:val="16"/>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quotes Lord Edmund-Davies in </w:t>
      </w:r>
      <w:r w:rsidRPr="00D76D15">
        <w:rPr>
          <w:rFonts w:ascii="Times New Roman" w:hAnsi="Times New Roman"/>
          <w:i/>
          <w:iCs/>
          <w:lang w:val="en-HK"/>
        </w:rPr>
        <w:t>Lynch</w:t>
      </w:r>
      <w:r w:rsidRPr="00D76D15">
        <w:rPr>
          <w:rFonts w:ascii="Times New Roman" w:hAnsi="Times New Roman"/>
          <w:lang w:val="en-HK"/>
        </w:rPr>
        <w:t xml:space="preserve"> [1975] AC 653: "Even the exercise of the Royal Prerogative involves the notion that there must have been a degree of wrongdoing, for </w:t>
      </w:r>
      <w:proofErr w:type="spellStart"/>
      <w:r w:rsidRPr="00D76D15">
        <w:rPr>
          <w:rFonts w:ascii="Times New Roman" w:hAnsi="Times New Roman"/>
          <w:lang w:val="en-HK"/>
        </w:rPr>
        <w:t>were</w:t>
      </w:r>
      <w:proofErr w:type="spellEnd"/>
      <w:r w:rsidRPr="00D76D15">
        <w:rPr>
          <w:rFonts w:ascii="Times New Roman" w:hAnsi="Times New Roman"/>
          <w:lang w:val="en-HK"/>
        </w:rPr>
        <w:t xml:space="preserve"> it otherwise no 'pardon' would be called for" (at 707).</w:t>
      </w:r>
    </w:p>
    <w:p w14:paraId="2E772C9B"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4.3 The Role of Excuse</w:t>
      </w:r>
    </w:p>
    <w:p w14:paraId="2CF70FB3"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emphasizes the distinction between mitigation and excuse:</w:t>
      </w:r>
    </w:p>
    <w:p w14:paraId="1D221441" w14:textId="77777777" w:rsidR="00DD5425" w:rsidRPr="00D76D15" w:rsidRDefault="00DD5425" w:rsidP="00D76D15">
      <w:pPr>
        <w:spacing w:before="100" w:beforeAutospacing="1" w:after="100" w:afterAutospacing="1" w:line="360" w:lineRule="auto"/>
        <w:rPr>
          <w:rFonts w:ascii="Times New Roman" w:hAnsi="Times New Roman"/>
          <w:b/>
          <w:bCs/>
          <w:color w:val="2F5496" w:themeColor="accent1" w:themeShade="BF"/>
          <w:lang w:val="en-HK"/>
        </w:rPr>
      </w:pPr>
      <w:r w:rsidRPr="00D76D15">
        <w:rPr>
          <w:rFonts w:ascii="Times New Roman" w:hAnsi="Times New Roman"/>
          <w:lang w:val="en-HK"/>
        </w:rPr>
        <w:t xml:space="preserve">Mitigation </w:t>
      </w:r>
      <w:r w:rsidRPr="00D76D15">
        <w:rPr>
          <w:rFonts w:ascii="Times New Roman" w:hAnsi="Times New Roman"/>
          <w:b/>
          <w:bCs/>
          <w:lang w:val="en-HK"/>
        </w:rPr>
        <w:t>entails holding the defendant criminally responsible</w:t>
      </w:r>
      <w:r w:rsidRPr="00D76D15">
        <w:rPr>
          <w:rFonts w:ascii="Times New Roman" w:hAnsi="Times New Roman"/>
          <w:lang w:val="en-HK"/>
        </w:rPr>
        <w:t xml:space="preserve">, whereas an </w:t>
      </w:r>
      <w:r w:rsidRPr="00D76D15">
        <w:rPr>
          <w:rFonts w:ascii="Times New Roman" w:hAnsi="Times New Roman"/>
          <w:b/>
          <w:bCs/>
          <w:color w:val="2F5496" w:themeColor="accent1" w:themeShade="BF"/>
          <w:lang w:val="en-HK"/>
        </w:rPr>
        <w:t>excuse absolves them of responsibility entirely.</w:t>
      </w:r>
    </w:p>
    <w:p w14:paraId="3F6FCD5E"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Lords’ reliance on discretionary mitigation blurs this distinction, undermining the doctrinal coherence of criminal law.</w:t>
      </w:r>
    </w:p>
    <w:p w14:paraId="3F265B20"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4.4 Practical Concerns</w:t>
      </w:r>
    </w:p>
    <w:p w14:paraId="3D82BB82"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critiques the suggestion that hardship could be addressed through sentencing leniency:</w:t>
      </w:r>
    </w:p>
    <w:p w14:paraId="5B603EBF"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lastRenderedPageBreak/>
        <w:t>Murder carries a mandatory life sentence, leaving trial judges little discretion. While judges can recommend no minimum term, this is an insufficient remedy for the injustice of a wrongful conviction.</w:t>
      </w:r>
    </w:p>
    <w:p w14:paraId="1653FB08"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68DC865B">
          <v:rect id="_x0000_i1033" alt="" style="width:451.3pt;height:.05pt;mso-width-percent:0;mso-height-percent:0;mso-width-percent:0;mso-height-percent:0" o:hralign="center" o:hrstd="t" o:hr="t" fillcolor="#a0a0a0" stroked="f"/>
        </w:pict>
      </w:r>
    </w:p>
    <w:p w14:paraId="15F83360" w14:textId="77777777" w:rsidR="00DD5425" w:rsidRPr="00D76D15" w:rsidRDefault="00DD5425" w:rsidP="00D76D15">
      <w:pPr>
        <w:spacing w:before="100" w:beforeAutospacing="1" w:after="100" w:afterAutospacing="1" w:line="360" w:lineRule="auto"/>
        <w:outlineLvl w:val="2"/>
        <w:rPr>
          <w:rFonts w:ascii="Times New Roman" w:hAnsi="Times New Roman"/>
          <w:b/>
          <w:bCs/>
          <w:lang w:val="en-HK"/>
        </w:rPr>
      </w:pPr>
      <w:r w:rsidRPr="00D76D15">
        <w:rPr>
          <w:rFonts w:ascii="Times New Roman" w:hAnsi="Times New Roman"/>
          <w:b/>
          <w:bCs/>
          <w:lang w:val="en-HK"/>
        </w:rPr>
        <w:t>5. Continuing Confusion Between Justification and Excuse</w:t>
      </w:r>
    </w:p>
    <w:p w14:paraId="6DD7A9B6"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Overview</w:t>
      </w:r>
    </w:p>
    <w:p w14:paraId="0596A208"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critiques the House of Lords for demonstrating a poor understanding of the distinction between justification and excuse. This distinction is pivotal in criminal law because it determines whether an act is legally acceptable or whether culpability is negated due to the actor's circumstances.</w:t>
      </w:r>
    </w:p>
    <w:p w14:paraId="7ED2CA92"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5E89EB3D">
          <v:rect id="_x0000_i1032" alt="" style="width:451.3pt;height:.05pt;mso-width-percent:0;mso-height-percent:0;mso-width-percent:0;mso-height-percent:0" o:hralign="center" o:hrstd="t" o:hr="t" fillcolor="#a0a0a0" stroked="f"/>
        </w:pict>
      </w:r>
    </w:p>
    <w:p w14:paraId="77B22FAF"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5.1 Key Concepts</w:t>
      </w:r>
    </w:p>
    <w:p w14:paraId="09DC34F4" w14:textId="77777777" w:rsidR="00DD5425" w:rsidRPr="00D76D15" w:rsidRDefault="00DD5425" w:rsidP="00D76D15">
      <w:pPr>
        <w:numPr>
          <w:ilvl w:val="0"/>
          <w:numId w:val="20"/>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Justification</w:t>
      </w:r>
      <w:r w:rsidRPr="00D76D15">
        <w:rPr>
          <w:rFonts w:ascii="Times New Roman" w:hAnsi="Times New Roman"/>
          <w:lang w:val="en-HK"/>
        </w:rPr>
        <w:t>:</w:t>
      </w:r>
    </w:p>
    <w:p w14:paraId="5FE8292A"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Focuses </w:t>
      </w:r>
      <w:r w:rsidRPr="00D76D15">
        <w:rPr>
          <w:rFonts w:ascii="Times New Roman" w:hAnsi="Times New Roman"/>
          <w:b/>
          <w:bCs/>
          <w:lang w:val="en-HK"/>
        </w:rPr>
        <w:t>on the act itself</w:t>
      </w:r>
      <w:r w:rsidRPr="00D76D15">
        <w:rPr>
          <w:rFonts w:ascii="Times New Roman" w:hAnsi="Times New Roman"/>
          <w:lang w:val="en-HK"/>
        </w:rPr>
        <w:t>, deeming it acceptable under the circumstances because it aligns with societal values.</w:t>
      </w:r>
    </w:p>
    <w:p w14:paraId="688016C2"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Example: Self-defence justifies the use of force to protect oneself from harm.</w:t>
      </w:r>
    </w:p>
    <w:p w14:paraId="14F5FCE7" w14:textId="77777777" w:rsidR="00DD5425" w:rsidRPr="00D76D15" w:rsidRDefault="00DD5425" w:rsidP="00D76D15">
      <w:pPr>
        <w:numPr>
          <w:ilvl w:val="0"/>
          <w:numId w:val="20"/>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Excuse</w:t>
      </w:r>
      <w:r w:rsidRPr="00D76D15">
        <w:rPr>
          <w:rFonts w:ascii="Times New Roman" w:hAnsi="Times New Roman"/>
          <w:lang w:val="en-HK"/>
        </w:rPr>
        <w:t>:</w:t>
      </w:r>
    </w:p>
    <w:p w14:paraId="3BF3D706"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Focuses on the actor, </w:t>
      </w:r>
      <w:r w:rsidRPr="00D76D15">
        <w:rPr>
          <w:rFonts w:ascii="Times New Roman" w:hAnsi="Times New Roman"/>
          <w:b/>
          <w:bCs/>
          <w:lang w:val="en-HK"/>
        </w:rPr>
        <w:t>acknowledging that while the act is wrongful</w:t>
      </w:r>
      <w:r w:rsidRPr="00D76D15">
        <w:rPr>
          <w:rFonts w:ascii="Times New Roman" w:hAnsi="Times New Roman"/>
          <w:lang w:val="en-HK"/>
        </w:rPr>
        <w:t xml:space="preserve">, the actor's culpability is negated because they </w:t>
      </w:r>
      <w:r w:rsidRPr="00D76D15">
        <w:rPr>
          <w:rFonts w:ascii="Times New Roman" w:hAnsi="Times New Roman"/>
          <w:b/>
          <w:bCs/>
          <w:lang w:val="en-HK"/>
        </w:rPr>
        <w:t>could not reasonably have acted otherwise</w:t>
      </w:r>
      <w:r w:rsidRPr="00D76D15">
        <w:rPr>
          <w:rFonts w:ascii="Times New Roman" w:hAnsi="Times New Roman"/>
          <w:lang w:val="en-HK"/>
        </w:rPr>
        <w:t>.</w:t>
      </w:r>
    </w:p>
    <w:p w14:paraId="148CE85C"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Example: Duress excuses the actor’s conduct by recognizing their response to an overwhelming external threat.</w:t>
      </w:r>
    </w:p>
    <w:p w14:paraId="7CBAC977" w14:textId="77777777" w:rsidR="00DD5425" w:rsidRPr="00D76D15" w:rsidRDefault="00DD5425" w:rsidP="00D76D15">
      <w:pPr>
        <w:numPr>
          <w:ilvl w:val="0"/>
          <w:numId w:val="20"/>
        </w:numPr>
        <w:spacing w:before="100" w:beforeAutospacing="1" w:after="100" w:afterAutospacing="1" w:line="360" w:lineRule="auto"/>
        <w:rPr>
          <w:rFonts w:ascii="Times New Roman" w:hAnsi="Times New Roman"/>
          <w:lang w:val="en-HK"/>
        </w:rPr>
      </w:pPr>
      <w:r w:rsidRPr="00D76D15">
        <w:rPr>
          <w:rFonts w:ascii="Times New Roman" w:hAnsi="Times New Roman"/>
          <w:b/>
          <w:bCs/>
          <w:lang w:val="en-HK"/>
        </w:rPr>
        <w:t>Mitigation</w:t>
      </w:r>
      <w:r w:rsidRPr="00D76D15">
        <w:rPr>
          <w:rFonts w:ascii="Times New Roman" w:hAnsi="Times New Roman"/>
          <w:lang w:val="en-HK"/>
        </w:rPr>
        <w:t>:</w:t>
      </w:r>
    </w:p>
    <w:p w14:paraId="24CFD557"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actor is held criminally responsible, but their punishment is reduced due to extenuating circumstances.</w:t>
      </w:r>
    </w:p>
    <w:p w14:paraId="54382EDD"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lastRenderedPageBreak/>
        <w:pict w14:anchorId="6C125A00">
          <v:rect id="_x0000_i1031" alt="" style="width:451.3pt;height:.05pt;mso-width-percent:0;mso-height-percent:0;mso-width-percent:0;mso-height-percent:0" o:hralign="center" o:hrstd="t" o:hr="t" fillcolor="#a0a0a0" stroked="f"/>
        </w:pict>
      </w:r>
    </w:p>
    <w:p w14:paraId="0A6AC056"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 xml:space="preserve">5.2 Critique of Judicial Reasoning in </w:t>
      </w:r>
      <w:r w:rsidRPr="00D76D15">
        <w:rPr>
          <w:rFonts w:ascii="Times New Roman" w:hAnsi="Times New Roman"/>
          <w:b/>
          <w:bCs/>
          <w:i/>
          <w:iCs/>
          <w:lang w:val="en-HK"/>
        </w:rPr>
        <w:t>Howe</w:t>
      </w:r>
    </w:p>
    <w:p w14:paraId="3C6153DF"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5.2.1 Superficial Understanding</w:t>
      </w:r>
    </w:p>
    <w:p w14:paraId="7CDB676D"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acknowledges that the Lords refrained from conflating justification and excuse. However, he criticizes their failure to grasp the nuances of excusatory defences:</w:t>
      </w:r>
    </w:p>
    <w:p w14:paraId="081BC380"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Bridge referred to duress as lacking "any underlying principle" and claimed it was "difficult to rationalize by reference to any coherent principle of jurisprudence" (</w:t>
      </w:r>
      <w:r w:rsidRPr="00D76D15">
        <w:rPr>
          <w:rFonts w:ascii="Times New Roman" w:hAnsi="Times New Roman"/>
          <w:i/>
          <w:iCs/>
          <w:lang w:val="en-HK"/>
        </w:rPr>
        <w:t>Howe</w:t>
      </w:r>
      <w:r w:rsidRPr="00D76D15">
        <w:rPr>
          <w:rFonts w:ascii="Times New Roman" w:hAnsi="Times New Roman"/>
          <w:lang w:val="en-HK"/>
        </w:rPr>
        <w:t>, at 783).</w:t>
      </w:r>
    </w:p>
    <w:p w14:paraId="2C27C591"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counters that duress has a well-established rationale as a concession to human frailty, a principle enshrined in English law and judicial precedent.</w:t>
      </w:r>
    </w:p>
    <w:p w14:paraId="0CD30AC5" w14:textId="77777777" w:rsidR="00DD5425" w:rsidRPr="00D76D15" w:rsidRDefault="00DD5425" w:rsidP="00D76D15">
      <w:pPr>
        <w:spacing w:before="100" w:beforeAutospacing="1" w:after="100" w:afterAutospacing="1" w:line="360" w:lineRule="auto"/>
        <w:outlineLvl w:val="4"/>
        <w:rPr>
          <w:rFonts w:ascii="Times New Roman" w:hAnsi="Times New Roman"/>
          <w:b/>
          <w:bCs/>
          <w:lang w:val="en-HK"/>
        </w:rPr>
      </w:pPr>
      <w:r w:rsidRPr="00D76D15">
        <w:rPr>
          <w:rFonts w:ascii="Times New Roman" w:hAnsi="Times New Roman"/>
          <w:b/>
          <w:bCs/>
          <w:lang w:val="en-HK"/>
        </w:rPr>
        <w:t xml:space="preserve">5.2.2 Reliance on </w:t>
      </w:r>
      <w:proofErr w:type="spellStart"/>
      <w:r w:rsidRPr="00D76D15">
        <w:rPr>
          <w:rFonts w:ascii="Times New Roman" w:hAnsi="Times New Roman"/>
          <w:b/>
          <w:bCs/>
          <w:lang w:val="en-HK"/>
        </w:rPr>
        <w:t>Coercee’s</w:t>
      </w:r>
      <w:proofErr w:type="spellEnd"/>
      <w:r w:rsidRPr="00D76D15">
        <w:rPr>
          <w:rFonts w:ascii="Times New Roman" w:hAnsi="Times New Roman"/>
          <w:b/>
          <w:bCs/>
          <w:lang w:val="en-HK"/>
        </w:rPr>
        <w:t xml:space="preserve"> Volition</w:t>
      </w:r>
    </w:p>
    <w:p w14:paraId="1750D8CC"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Lord Bridge argued that the defence of duress assumes a fallacy: that the </w:t>
      </w:r>
      <w:proofErr w:type="spellStart"/>
      <w:r w:rsidRPr="00D76D15">
        <w:rPr>
          <w:rFonts w:ascii="Times New Roman" w:hAnsi="Times New Roman"/>
          <w:lang w:val="en-HK"/>
        </w:rPr>
        <w:t>coercee</w:t>
      </w:r>
      <w:proofErr w:type="spellEnd"/>
      <w:r w:rsidRPr="00D76D15">
        <w:rPr>
          <w:rFonts w:ascii="Times New Roman" w:hAnsi="Times New Roman"/>
          <w:lang w:val="en-HK"/>
        </w:rPr>
        <w:t xml:space="preserve"> is entirely deprived of volition. He cited Lord Edmund-Davies’ speech in </w:t>
      </w:r>
      <w:r w:rsidRPr="00D76D15">
        <w:rPr>
          <w:rFonts w:ascii="Times New Roman" w:hAnsi="Times New Roman"/>
          <w:i/>
          <w:iCs/>
          <w:lang w:val="en-HK"/>
        </w:rPr>
        <w:t>Lynch v DPP for Northern Ireland</w:t>
      </w:r>
      <w:r w:rsidRPr="00D76D15">
        <w:rPr>
          <w:rFonts w:ascii="Times New Roman" w:hAnsi="Times New Roman"/>
          <w:lang w:val="en-HK"/>
        </w:rPr>
        <w:t xml:space="preserve"> [1975] AC 653, at 709–711.</w:t>
      </w:r>
    </w:p>
    <w:p w14:paraId="1399CA8D"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rejects this reasoning, emphasizing that excusatory defences do not depend on a total absence of volition. Instead, they recognize that the actor’s choices were constrained to the point that society cannot reasonably expect a different response.</w:t>
      </w:r>
    </w:p>
    <w:p w14:paraId="0DFC3ECB"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17139FD9">
          <v:rect id="_x0000_i1030" alt="" style="width:451.3pt;height:.05pt;mso-width-percent:0;mso-height-percent:0;mso-width-percent:0;mso-height-percent:0" o:hralign="center" o:hrstd="t" o:hr="t" fillcolor="#a0a0a0" stroked="f"/>
        </w:pict>
      </w:r>
    </w:p>
    <w:p w14:paraId="2101B4BC"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5.3 Theoretical Foundations of Duress</w:t>
      </w:r>
    </w:p>
    <w:p w14:paraId="597F529B"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provides a robust explanation of duress as an excusatory defence:</w:t>
      </w:r>
    </w:p>
    <w:p w14:paraId="0490FB00"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Duress reflects the principle that "criminal responsibility should not be imposed on an individual who could not reasonably have been expected to act otherwise."</w:t>
      </w:r>
    </w:p>
    <w:p w14:paraId="48F9D7B0"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This rationale is supported by Lord Lane’s objective test in </w:t>
      </w:r>
      <w:r w:rsidRPr="00D76D15">
        <w:rPr>
          <w:rFonts w:ascii="Times New Roman" w:hAnsi="Times New Roman"/>
          <w:i/>
          <w:iCs/>
          <w:lang w:val="en-HK"/>
        </w:rPr>
        <w:t>R v Graham</w:t>
      </w:r>
      <w:r w:rsidRPr="00D76D15">
        <w:rPr>
          <w:rFonts w:ascii="Times New Roman" w:hAnsi="Times New Roman"/>
          <w:lang w:val="en-HK"/>
        </w:rPr>
        <w:t xml:space="preserve"> [1982] 1 All ER 801, which requires the jury to consider whether a "person of reasonable firmness" would have resisted the threat.</w:t>
      </w:r>
    </w:p>
    <w:p w14:paraId="33D4469E"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lastRenderedPageBreak/>
        <w:t xml:space="preserve">Walters critiques the Lords for failing to articulate this principle coherently in </w:t>
      </w:r>
      <w:r w:rsidRPr="00D76D15">
        <w:rPr>
          <w:rFonts w:ascii="Times New Roman" w:hAnsi="Times New Roman"/>
          <w:i/>
          <w:iCs/>
          <w:lang w:val="en-HK"/>
        </w:rPr>
        <w:t>Howe</w:t>
      </w:r>
      <w:r w:rsidRPr="00D76D15">
        <w:rPr>
          <w:rFonts w:ascii="Times New Roman" w:hAnsi="Times New Roman"/>
          <w:lang w:val="en-HK"/>
        </w:rPr>
        <w:t>. He argues that the judgment reflects a fundamental misunderstanding of how and why excusatory defences operate.</w:t>
      </w:r>
    </w:p>
    <w:p w14:paraId="71A5E068"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66E8063F">
          <v:rect id="_x0000_i1029" alt="" style="width:451.3pt;height:.05pt;mso-width-percent:0;mso-height-percent:0;mso-width-percent:0;mso-height-percent:0" o:hralign="center" o:hrstd="t" o:hr="t" fillcolor="#a0a0a0" stroked="f"/>
        </w:pict>
      </w:r>
    </w:p>
    <w:p w14:paraId="039EDACA"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5.4 Errors in Lord Hailsham’s Analysis</w:t>
      </w:r>
    </w:p>
    <w:p w14:paraId="003C252B"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Hailsham described duress as a concession to human frailty, allowing a "reasonable man to make a conscious choice between the reality of the immediate threat and what he may reasonably regard as the lesser of two evils" (</w:t>
      </w:r>
      <w:r w:rsidRPr="00D76D15">
        <w:rPr>
          <w:rFonts w:ascii="Times New Roman" w:hAnsi="Times New Roman"/>
          <w:i/>
          <w:iCs/>
          <w:lang w:val="en-HK"/>
        </w:rPr>
        <w:t>Howe</w:t>
      </w:r>
      <w:r w:rsidRPr="00D76D15">
        <w:rPr>
          <w:rFonts w:ascii="Times New Roman" w:hAnsi="Times New Roman"/>
          <w:lang w:val="en-HK"/>
        </w:rPr>
        <w:t>, at 782).</w:t>
      </w:r>
    </w:p>
    <w:p w14:paraId="1E6A956D"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argues this conflates justification and excuse:</w:t>
      </w:r>
    </w:p>
    <w:p w14:paraId="79F32FEB" w14:textId="77777777" w:rsidR="00DD5425" w:rsidRPr="00D76D15" w:rsidRDefault="00DD5425" w:rsidP="00D76D15">
      <w:pPr>
        <w:numPr>
          <w:ilvl w:val="2"/>
          <w:numId w:val="2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In justification, the actor balances competing harms to determine the lesser evil.</w:t>
      </w:r>
    </w:p>
    <w:p w14:paraId="018230E1" w14:textId="77777777" w:rsidR="00DD5425" w:rsidRPr="00D76D15" w:rsidRDefault="00DD5425" w:rsidP="00D76D15">
      <w:pPr>
        <w:numPr>
          <w:ilvl w:val="2"/>
          <w:numId w:val="24"/>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In excuse, the focus is on the actor’s inability to resist the threat, irrespective of whether the harm averted outweighs the harm caused.</w:t>
      </w:r>
    </w:p>
    <w:p w14:paraId="7A99C76E"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cites Fletcher (</w:t>
      </w:r>
      <w:r w:rsidRPr="00D76D15">
        <w:rPr>
          <w:rFonts w:ascii="Times New Roman" w:hAnsi="Times New Roman"/>
          <w:i/>
          <w:iCs/>
          <w:lang w:val="en-HK"/>
        </w:rPr>
        <w:t>Rethinking Criminal Law</w:t>
      </w:r>
      <w:r w:rsidRPr="00D76D15">
        <w:rPr>
          <w:rFonts w:ascii="Times New Roman" w:hAnsi="Times New Roman"/>
          <w:lang w:val="en-HK"/>
        </w:rPr>
        <w:t>, 1978) to clarify this distinction: "The comparison of interests is but the vehicle for determining what we may rationally and fairly expect of the actor under the circumstances."</w:t>
      </w:r>
    </w:p>
    <w:p w14:paraId="7884C0CB"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6E44847D">
          <v:rect id="_x0000_i1028" alt="" style="width:451.3pt;height:.05pt;mso-width-percent:0;mso-height-percent:0;mso-width-percent:0;mso-height-percent:0" o:hralign="center" o:hrstd="t" o:hr="t" fillcolor="#a0a0a0" stroked="f"/>
        </w:pict>
      </w:r>
    </w:p>
    <w:p w14:paraId="17E51E77"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5.5 Misuse of Rights Language</w:t>
      </w:r>
    </w:p>
    <w:p w14:paraId="4BCE724D"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Lord Mackay described it as "repugnant" for the law to "recognize in any individual in any circumstances, however extreme, the right to choose that one innocent person should be killed rather than another" (</w:t>
      </w:r>
      <w:r w:rsidRPr="00D76D15">
        <w:rPr>
          <w:rFonts w:ascii="Times New Roman" w:hAnsi="Times New Roman"/>
          <w:i/>
          <w:iCs/>
          <w:lang w:val="en-HK"/>
        </w:rPr>
        <w:t>Howe</w:t>
      </w:r>
      <w:r w:rsidRPr="00D76D15">
        <w:rPr>
          <w:rFonts w:ascii="Times New Roman" w:hAnsi="Times New Roman"/>
          <w:lang w:val="en-HK"/>
        </w:rPr>
        <w:t>, at 798).</w:t>
      </w:r>
    </w:p>
    <w:p w14:paraId="4A03E138"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argues this reasoning is flawed:</w:t>
      </w:r>
    </w:p>
    <w:p w14:paraId="11E3F4BE" w14:textId="77777777" w:rsidR="00DD5425" w:rsidRPr="00D76D15" w:rsidRDefault="00DD5425" w:rsidP="00D76D15">
      <w:pPr>
        <w:numPr>
          <w:ilvl w:val="2"/>
          <w:numId w:val="25"/>
        </w:numPr>
        <w:spacing w:before="100" w:beforeAutospacing="1" w:after="100" w:afterAutospacing="1" w:line="360" w:lineRule="auto"/>
        <w:rPr>
          <w:rFonts w:ascii="Times New Roman" w:hAnsi="Times New Roman"/>
          <w:b/>
          <w:bCs/>
          <w:color w:val="2F5496" w:themeColor="accent1" w:themeShade="BF"/>
          <w:lang w:val="en-HK"/>
        </w:rPr>
      </w:pPr>
      <w:r w:rsidRPr="00D76D15">
        <w:rPr>
          <w:rFonts w:ascii="Times New Roman" w:hAnsi="Times New Roman"/>
          <w:b/>
          <w:bCs/>
          <w:color w:val="2F5496" w:themeColor="accent1" w:themeShade="BF"/>
          <w:lang w:val="en-HK"/>
        </w:rPr>
        <w:t>Excusatory defences do not involve "rights" or privileges. Instead, they focus on whether the actor’s circumstances negate criminal culpability.</w:t>
      </w:r>
    </w:p>
    <w:p w14:paraId="7130D6DE" w14:textId="77777777" w:rsidR="00DD5425" w:rsidRPr="00D76D15" w:rsidRDefault="00DD5425" w:rsidP="00D76D15">
      <w:pPr>
        <w:numPr>
          <w:ilvl w:val="2"/>
          <w:numId w:val="25"/>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misuse of rights language reflects a misunderstanding of the conceptual framework underlying duress.</w:t>
      </w:r>
    </w:p>
    <w:p w14:paraId="79AFE52D"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lastRenderedPageBreak/>
        <w:pict w14:anchorId="559B94F0">
          <v:rect id="_x0000_i1027" alt="" style="width:451.3pt;height:.05pt;mso-width-percent:0;mso-height-percent:0;mso-width-percent:0;mso-height-percent:0" o:hralign="center" o:hrstd="t" o:hr="t" fillcolor="#a0a0a0" stroked="f"/>
        </w:pict>
      </w:r>
    </w:p>
    <w:p w14:paraId="6BF7EA27"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 xml:space="preserve">5.6 The Authority of </w:t>
      </w:r>
      <w:r w:rsidRPr="00D76D15">
        <w:rPr>
          <w:rFonts w:ascii="Times New Roman" w:hAnsi="Times New Roman"/>
          <w:b/>
          <w:bCs/>
          <w:i/>
          <w:iCs/>
          <w:lang w:val="en-HK"/>
        </w:rPr>
        <w:t>Dudley and Stephens</w:t>
      </w:r>
    </w:p>
    <w:p w14:paraId="20DECF48"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critiques the Lords’ unquestioning reliance on </w:t>
      </w:r>
      <w:r w:rsidRPr="00D76D15">
        <w:rPr>
          <w:rFonts w:ascii="Times New Roman" w:hAnsi="Times New Roman"/>
          <w:i/>
          <w:iCs/>
          <w:lang w:val="en-HK"/>
        </w:rPr>
        <w:t>R v Dudley and Stephens</w:t>
      </w:r>
      <w:r w:rsidRPr="00D76D15">
        <w:rPr>
          <w:rFonts w:ascii="Times New Roman" w:hAnsi="Times New Roman"/>
          <w:lang w:val="en-HK"/>
        </w:rPr>
        <w:t xml:space="preserve"> (1884) 14 QBD 273:</w:t>
      </w:r>
    </w:p>
    <w:p w14:paraId="1EC2D367" w14:textId="77777777" w:rsidR="00DD5425" w:rsidRPr="00D76D15" w:rsidRDefault="00DD5425" w:rsidP="00D76D15">
      <w:pPr>
        <w:numPr>
          <w:ilvl w:val="1"/>
          <w:numId w:val="26"/>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He notes that the case focused on justification, not excuse, and therefore provides no authoritative guidance on whether killing under duress can be excused.</w:t>
      </w:r>
    </w:p>
    <w:p w14:paraId="3334CC84" w14:textId="77777777" w:rsidR="00DD5425" w:rsidRPr="00D76D15" w:rsidRDefault="00DD5425" w:rsidP="00D76D15">
      <w:pPr>
        <w:numPr>
          <w:ilvl w:val="1"/>
          <w:numId w:val="26"/>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 xml:space="preserve">Walters argues that the Lords’ failure to critically </w:t>
      </w:r>
      <w:proofErr w:type="spellStart"/>
      <w:r w:rsidRPr="00D76D15">
        <w:rPr>
          <w:rFonts w:ascii="Times New Roman" w:hAnsi="Times New Roman"/>
          <w:lang w:val="en-HK"/>
        </w:rPr>
        <w:t>analyze</w:t>
      </w:r>
      <w:proofErr w:type="spellEnd"/>
      <w:r w:rsidRPr="00D76D15">
        <w:rPr>
          <w:rFonts w:ascii="Times New Roman" w:hAnsi="Times New Roman"/>
          <w:lang w:val="en-HK"/>
        </w:rPr>
        <w:t xml:space="preserve"> </w:t>
      </w:r>
      <w:r w:rsidRPr="00D76D15">
        <w:rPr>
          <w:rFonts w:ascii="Times New Roman" w:hAnsi="Times New Roman"/>
          <w:i/>
          <w:iCs/>
          <w:lang w:val="en-HK"/>
        </w:rPr>
        <w:t>Dudley</w:t>
      </w:r>
      <w:r w:rsidRPr="00D76D15">
        <w:rPr>
          <w:rFonts w:ascii="Times New Roman" w:hAnsi="Times New Roman"/>
          <w:lang w:val="en-HK"/>
        </w:rPr>
        <w:t xml:space="preserve"> demonstrates their limited understanding of excusatory defences.</w:t>
      </w:r>
    </w:p>
    <w:p w14:paraId="0B96C357"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4CAD99D2">
          <v:rect id="_x0000_i1026" alt="" style="width:451.3pt;height:.05pt;mso-width-percent:0;mso-height-percent:0;mso-width-percent:0;mso-height-percent:0" o:hralign="center" o:hrstd="t" o:hr="t" fillcolor="#a0a0a0" stroked="f"/>
        </w:pict>
      </w:r>
    </w:p>
    <w:p w14:paraId="31D09CD9" w14:textId="77777777" w:rsidR="00DD5425" w:rsidRPr="00D76D15" w:rsidRDefault="00DD5425" w:rsidP="00D76D15">
      <w:pPr>
        <w:spacing w:before="100" w:beforeAutospacing="1" w:after="100" w:afterAutospacing="1" w:line="360" w:lineRule="auto"/>
        <w:outlineLvl w:val="3"/>
        <w:rPr>
          <w:rFonts w:ascii="Times New Roman" w:hAnsi="Times New Roman"/>
          <w:b/>
          <w:bCs/>
          <w:lang w:val="en-HK"/>
        </w:rPr>
      </w:pPr>
      <w:r w:rsidRPr="00D76D15">
        <w:rPr>
          <w:rFonts w:ascii="Times New Roman" w:hAnsi="Times New Roman"/>
          <w:b/>
          <w:bCs/>
          <w:lang w:val="en-HK"/>
        </w:rPr>
        <w:t>5.7 Implications of Conceptual Confusion</w:t>
      </w:r>
    </w:p>
    <w:p w14:paraId="2B1E0C2C" w14:textId="77777777" w:rsidR="00DD5425" w:rsidRPr="00D76D15" w:rsidRDefault="00DD5425" w:rsidP="00D76D15">
      <w:pPr>
        <w:spacing w:before="100" w:beforeAutospacing="1" w:after="100" w:afterAutospacing="1" w:line="360" w:lineRule="auto"/>
        <w:rPr>
          <w:rFonts w:ascii="Times New Roman" w:hAnsi="Times New Roman"/>
          <w:lang w:val="en-HK"/>
        </w:rPr>
      </w:pPr>
      <w:r w:rsidRPr="00D76D15">
        <w:rPr>
          <w:rFonts w:ascii="Times New Roman" w:hAnsi="Times New Roman"/>
          <w:lang w:val="en-HK"/>
        </w:rPr>
        <w:t>Walters argues that the Lords’ confusion between justification and excuse undermines the coherence of their decision:</w:t>
      </w:r>
    </w:p>
    <w:p w14:paraId="3AC5B792" w14:textId="77777777" w:rsidR="00DD5425" w:rsidRPr="00D76D15" w:rsidRDefault="00DD5425" w:rsidP="00D76D15">
      <w:pPr>
        <w:numPr>
          <w:ilvl w:val="1"/>
          <w:numId w:val="27"/>
        </w:numPr>
        <w:spacing w:before="100" w:beforeAutospacing="1" w:after="100" w:afterAutospacing="1" w:line="360" w:lineRule="auto"/>
        <w:rPr>
          <w:rFonts w:ascii="Times New Roman" w:hAnsi="Times New Roman"/>
          <w:b/>
          <w:bCs/>
          <w:lang w:val="en-HK"/>
        </w:rPr>
      </w:pPr>
      <w:r w:rsidRPr="00D76D15">
        <w:rPr>
          <w:rFonts w:ascii="Times New Roman" w:hAnsi="Times New Roman"/>
          <w:lang w:val="en-HK"/>
        </w:rPr>
        <w:t xml:space="preserve">By </w:t>
      </w:r>
      <w:r w:rsidRPr="00D76D15">
        <w:rPr>
          <w:rFonts w:ascii="Times New Roman" w:hAnsi="Times New Roman"/>
          <w:b/>
          <w:bCs/>
          <w:lang w:val="en-HK"/>
        </w:rPr>
        <w:t>failing to address duress as an excusatory defence</w:t>
      </w:r>
      <w:r w:rsidRPr="00D76D15">
        <w:rPr>
          <w:rFonts w:ascii="Times New Roman" w:hAnsi="Times New Roman"/>
          <w:lang w:val="en-HK"/>
        </w:rPr>
        <w:t xml:space="preserve">, the </w:t>
      </w:r>
      <w:r w:rsidRPr="00D76D15">
        <w:rPr>
          <w:rFonts w:ascii="Times New Roman" w:hAnsi="Times New Roman"/>
          <w:b/>
          <w:bCs/>
          <w:lang w:val="en-HK"/>
        </w:rPr>
        <w:t>Lords missed an opportunity to clarify its role in criminal law.</w:t>
      </w:r>
    </w:p>
    <w:p w14:paraId="4E202FBC" w14:textId="77777777" w:rsidR="00DD5425" w:rsidRPr="00D76D15" w:rsidRDefault="00DD5425" w:rsidP="00D76D15">
      <w:pPr>
        <w:numPr>
          <w:ilvl w:val="1"/>
          <w:numId w:val="27"/>
        </w:numPr>
        <w:spacing w:before="100" w:beforeAutospacing="1" w:after="100" w:afterAutospacing="1" w:line="360" w:lineRule="auto"/>
        <w:rPr>
          <w:rFonts w:ascii="Times New Roman" w:hAnsi="Times New Roman"/>
          <w:lang w:val="en-HK"/>
        </w:rPr>
      </w:pPr>
      <w:r w:rsidRPr="00D76D15">
        <w:rPr>
          <w:rFonts w:ascii="Times New Roman" w:hAnsi="Times New Roman"/>
          <w:lang w:val="en-HK"/>
        </w:rPr>
        <w:t>The judgment perpetuates misconceptions about the theoretical foundations of criminal responsibility.</w:t>
      </w:r>
    </w:p>
    <w:p w14:paraId="43D41504" w14:textId="77777777" w:rsidR="00DD5425" w:rsidRPr="00D76D15" w:rsidRDefault="005D6B99" w:rsidP="00D76D15">
      <w:pPr>
        <w:spacing w:line="360" w:lineRule="auto"/>
        <w:rPr>
          <w:rFonts w:ascii="Times New Roman" w:hAnsi="Times New Roman"/>
          <w:lang w:val="en-HK"/>
        </w:rPr>
      </w:pPr>
      <w:r w:rsidRPr="005D6B99">
        <w:rPr>
          <w:rFonts w:ascii="Times New Roman" w:hAnsi="Times New Roman"/>
          <w:noProof/>
          <w:lang w:val="en-HK"/>
          <w14:ligatures w14:val="standardContextual"/>
        </w:rPr>
        <w:pict w14:anchorId="3AF2F6F0">
          <v:rect id="_x0000_i1025" alt="" style="width:451.3pt;height:.05pt;mso-width-percent:0;mso-height-percent:0;mso-width-percent:0;mso-height-percent:0" o:hralign="center" o:hrstd="t" o:hr="t" fillcolor="#a0a0a0" stroked="f"/>
        </w:pict>
      </w:r>
    </w:p>
    <w:p w14:paraId="27B8CAB2" w14:textId="77777777" w:rsidR="00CD39F1" w:rsidRPr="00D76D15" w:rsidRDefault="00CD39F1" w:rsidP="00D76D15">
      <w:pPr>
        <w:spacing w:line="360" w:lineRule="auto"/>
      </w:pPr>
    </w:p>
    <w:sectPr w:rsidR="00CD39F1" w:rsidRPr="00D76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756"/>
    <w:multiLevelType w:val="multilevel"/>
    <w:tmpl w:val="39C82B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F0703"/>
    <w:multiLevelType w:val="multilevel"/>
    <w:tmpl w:val="E2847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75A0"/>
    <w:multiLevelType w:val="multilevel"/>
    <w:tmpl w:val="D31EB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0803"/>
    <w:multiLevelType w:val="multilevel"/>
    <w:tmpl w:val="FFBC7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83193"/>
    <w:multiLevelType w:val="multilevel"/>
    <w:tmpl w:val="3B429FA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C356C9A"/>
    <w:multiLevelType w:val="multilevel"/>
    <w:tmpl w:val="20A49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67FE0"/>
    <w:multiLevelType w:val="multilevel"/>
    <w:tmpl w:val="F144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87522"/>
    <w:multiLevelType w:val="multilevel"/>
    <w:tmpl w:val="D86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4DCF"/>
    <w:multiLevelType w:val="multilevel"/>
    <w:tmpl w:val="79D20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FD43CDD"/>
    <w:multiLevelType w:val="multilevel"/>
    <w:tmpl w:val="54E8C8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13E6E40"/>
    <w:multiLevelType w:val="multilevel"/>
    <w:tmpl w:val="1FDEE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008DB"/>
    <w:multiLevelType w:val="multilevel"/>
    <w:tmpl w:val="DAA6AF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A443127"/>
    <w:multiLevelType w:val="multilevel"/>
    <w:tmpl w:val="B63EF9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3F4296"/>
    <w:multiLevelType w:val="multilevel"/>
    <w:tmpl w:val="89D2B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E1364"/>
    <w:multiLevelType w:val="multilevel"/>
    <w:tmpl w:val="421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C74C7"/>
    <w:multiLevelType w:val="multilevel"/>
    <w:tmpl w:val="A0B017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885BDB"/>
    <w:multiLevelType w:val="multilevel"/>
    <w:tmpl w:val="52F8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C33B1"/>
    <w:multiLevelType w:val="multilevel"/>
    <w:tmpl w:val="B3D8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279FE"/>
    <w:multiLevelType w:val="multilevel"/>
    <w:tmpl w:val="A7889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7004AC8"/>
    <w:multiLevelType w:val="multilevel"/>
    <w:tmpl w:val="2A8C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07C40"/>
    <w:multiLevelType w:val="multilevel"/>
    <w:tmpl w:val="0030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D3944"/>
    <w:multiLevelType w:val="multilevel"/>
    <w:tmpl w:val="F91EB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C180C"/>
    <w:multiLevelType w:val="multilevel"/>
    <w:tmpl w:val="7A3A8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B46CA"/>
    <w:multiLevelType w:val="multilevel"/>
    <w:tmpl w:val="D1F68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8522A"/>
    <w:multiLevelType w:val="multilevel"/>
    <w:tmpl w:val="C26C28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501"/>
        </w:tabs>
        <w:ind w:left="501"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30C41F5"/>
    <w:multiLevelType w:val="multilevel"/>
    <w:tmpl w:val="12F4A26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4144238"/>
    <w:multiLevelType w:val="multilevel"/>
    <w:tmpl w:val="396E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F3AE3"/>
    <w:multiLevelType w:val="multilevel"/>
    <w:tmpl w:val="8A9052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54D77A0"/>
    <w:multiLevelType w:val="multilevel"/>
    <w:tmpl w:val="292AA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103D3"/>
    <w:multiLevelType w:val="multilevel"/>
    <w:tmpl w:val="DC38EB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71F365C"/>
    <w:multiLevelType w:val="multilevel"/>
    <w:tmpl w:val="3D7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A11E0"/>
    <w:multiLevelType w:val="multilevel"/>
    <w:tmpl w:val="C756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06561">
    <w:abstractNumId w:val="9"/>
  </w:num>
  <w:num w:numId="2" w16cid:durableId="978730282">
    <w:abstractNumId w:val="22"/>
  </w:num>
  <w:num w:numId="3" w16cid:durableId="338046441">
    <w:abstractNumId w:val="17"/>
  </w:num>
  <w:num w:numId="4" w16cid:durableId="533271786">
    <w:abstractNumId w:val="5"/>
  </w:num>
  <w:num w:numId="5" w16cid:durableId="1232083493">
    <w:abstractNumId w:val="0"/>
  </w:num>
  <w:num w:numId="6" w16cid:durableId="1823037700">
    <w:abstractNumId w:val="16"/>
  </w:num>
  <w:num w:numId="7" w16cid:durableId="829102698">
    <w:abstractNumId w:val="19"/>
  </w:num>
  <w:num w:numId="8" w16cid:durableId="20710480">
    <w:abstractNumId w:val="29"/>
  </w:num>
  <w:num w:numId="9" w16cid:durableId="2030136368">
    <w:abstractNumId w:val="15"/>
  </w:num>
  <w:num w:numId="10" w16cid:durableId="239951605">
    <w:abstractNumId w:val="24"/>
  </w:num>
  <w:num w:numId="11" w16cid:durableId="127943568">
    <w:abstractNumId w:val="12"/>
  </w:num>
  <w:num w:numId="12" w16cid:durableId="924647487">
    <w:abstractNumId w:val="11"/>
  </w:num>
  <w:num w:numId="13" w16cid:durableId="1440953176">
    <w:abstractNumId w:val="10"/>
  </w:num>
  <w:num w:numId="14" w16cid:durableId="1061294480">
    <w:abstractNumId w:val="4"/>
  </w:num>
  <w:num w:numId="15" w16cid:durableId="508448262">
    <w:abstractNumId w:val="3"/>
  </w:num>
  <w:num w:numId="16" w16cid:durableId="517305889">
    <w:abstractNumId w:val="2"/>
  </w:num>
  <w:num w:numId="17" w16cid:durableId="629752757">
    <w:abstractNumId w:val="6"/>
  </w:num>
  <w:num w:numId="18" w16cid:durableId="1407261854">
    <w:abstractNumId w:val="13"/>
  </w:num>
  <w:num w:numId="19" w16cid:durableId="986400010">
    <w:abstractNumId w:val="30"/>
  </w:num>
  <w:num w:numId="20" w16cid:durableId="1910381817">
    <w:abstractNumId w:val="25"/>
  </w:num>
  <w:num w:numId="21" w16cid:durableId="2137986724">
    <w:abstractNumId w:val="23"/>
  </w:num>
  <w:num w:numId="22" w16cid:durableId="727724508">
    <w:abstractNumId w:val="26"/>
  </w:num>
  <w:num w:numId="23" w16cid:durableId="430393646">
    <w:abstractNumId w:val="31"/>
  </w:num>
  <w:num w:numId="24" w16cid:durableId="424503265">
    <w:abstractNumId w:val="20"/>
  </w:num>
  <w:num w:numId="25" w16cid:durableId="1139954616">
    <w:abstractNumId w:val="28"/>
  </w:num>
  <w:num w:numId="26" w16cid:durableId="143162287">
    <w:abstractNumId w:val="1"/>
  </w:num>
  <w:num w:numId="27" w16cid:durableId="548110055">
    <w:abstractNumId w:val="21"/>
  </w:num>
  <w:num w:numId="28" w16cid:durableId="1382824844">
    <w:abstractNumId w:val="27"/>
  </w:num>
  <w:num w:numId="29" w16cid:durableId="89551443">
    <w:abstractNumId w:val="8"/>
  </w:num>
  <w:num w:numId="30" w16cid:durableId="1108700301">
    <w:abstractNumId w:val="7"/>
  </w:num>
  <w:num w:numId="31" w16cid:durableId="1536774914">
    <w:abstractNumId w:val="14"/>
  </w:num>
  <w:num w:numId="32" w16cid:durableId="11065411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5C"/>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9245C"/>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D6B99"/>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344DA"/>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3C15"/>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76D15"/>
    <w:rsid w:val="00DA31CB"/>
    <w:rsid w:val="00DA3D31"/>
    <w:rsid w:val="00DA4488"/>
    <w:rsid w:val="00DB2E35"/>
    <w:rsid w:val="00DC0040"/>
    <w:rsid w:val="00DC0B7B"/>
    <w:rsid w:val="00DC228E"/>
    <w:rsid w:val="00DC495B"/>
    <w:rsid w:val="00DC7181"/>
    <w:rsid w:val="00DD45CC"/>
    <w:rsid w:val="00DD5425"/>
    <w:rsid w:val="00DD6F5C"/>
    <w:rsid w:val="00DE6C87"/>
    <w:rsid w:val="00E14A1A"/>
    <w:rsid w:val="00E14E1F"/>
    <w:rsid w:val="00E2730E"/>
    <w:rsid w:val="00E438AC"/>
    <w:rsid w:val="00E5689E"/>
    <w:rsid w:val="00E60DF5"/>
    <w:rsid w:val="00E64DD3"/>
    <w:rsid w:val="00E80D33"/>
    <w:rsid w:val="00E95D8D"/>
    <w:rsid w:val="00EA6ED5"/>
    <w:rsid w:val="00EB0415"/>
    <w:rsid w:val="00EB7051"/>
    <w:rsid w:val="00EC32AE"/>
    <w:rsid w:val="00EC68EB"/>
    <w:rsid w:val="00EC7C43"/>
    <w:rsid w:val="00EE4F6A"/>
    <w:rsid w:val="00EF3EF4"/>
    <w:rsid w:val="00F012E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EC27"/>
  <w15:chartTrackingRefBased/>
  <w15:docId w15:val="{B9B925C1-CBC9-5844-9AC8-D884745C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1924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4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245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924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1924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24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24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24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24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45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9245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19245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19245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19245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9245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9245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9245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9245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924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45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924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45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924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245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9245C"/>
    <w:pPr>
      <w:ind w:left="720"/>
      <w:contextualSpacing/>
    </w:pPr>
  </w:style>
  <w:style w:type="character" w:styleId="IntenseEmphasis">
    <w:name w:val="Intense Emphasis"/>
    <w:basedOn w:val="DefaultParagraphFont"/>
    <w:uiPriority w:val="21"/>
    <w:qFormat/>
    <w:rsid w:val="0019245C"/>
    <w:rPr>
      <w:i/>
      <w:iCs/>
      <w:color w:val="2F5496" w:themeColor="accent1" w:themeShade="BF"/>
    </w:rPr>
  </w:style>
  <w:style w:type="paragraph" w:styleId="IntenseQuote">
    <w:name w:val="Intense Quote"/>
    <w:basedOn w:val="Normal"/>
    <w:next w:val="Normal"/>
    <w:link w:val="IntenseQuoteChar"/>
    <w:uiPriority w:val="30"/>
    <w:qFormat/>
    <w:rsid w:val="00192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45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9245C"/>
    <w:rPr>
      <w:b/>
      <w:bCs/>
      <w:smallCaps/>
      <w:color w:val="2F5496" w:themeColor="accent1" w:themeShade="BF"/>
      <w:spacing w:val="5"/>
    </w:rPr>
  </w:style>
  <w:style w:type="character" w:styleId="Strong">
    <w:name w:val="Strong"/>
    <w:basedOn w:val="DefaultParagraphFont"/>
    <w:uiPriority w:val="22"/>
    <w:qFormat/>
    <w:rsid w:val="007344DA"/>
    <w:rPr>
      <w:b/>
      <w:bCs/>
    </w:rPr>
  </w:style>
  <w:style w:type="character" w:styleId="Emphasis">
    <w:name w:val="Emphasis"/>
    <w:basedOn w:val="DefaultParagraphFont"/>
    <w:uiPriority w:val="20"/>
    <w:qFormat/>
    <w:rsid w:val="007344DA"/>
    <w:rPr>
      <w:i/>
      <w:iCs/>
    </w:rPr>
  </w:style>
  <w:style w:type="paragraph" w:styleId="NormalWeb">
    <w:name w:val="Normal (Web)"/>
    <w:basedOn w:val="Normal"/>
    <w:uiPriority w:val="99"/>
    <w:semiHidden/>
    <w:unhideWhenUsed/>
    <w:rsid w:val="007344DA"/>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788773">
      <w:bodyDiv w:val="1"/>
      <w:marLeft w:val="0"/>
      <w:marRight w:val="0"/>
      <w:marTop w:val="0"/>
      <w:marBottom w:val="0"/>
      <w:divBdr>
        <w:top w:val="none" w:sz="0" w:space="0" w:color="auto"/>
        <w:left w:val="none" w:sz="0" w:space="0" w:color="auto"/>
        <w:bottom w:val="none" w:sz="0" w:space="0" w:color="auto"/>
        <w:right w:val="none" w:sz="0" w:space="0" w:color="auto"/>
      </w:divBdr>
    </w:div>
    <w:div w:id="364407709">
      <w:bodyDiv w:val="1"/>
      <w:marLeft w:val="0"/>
      <w:marRight w:val="0"/>
      <w:marTop w:val="0"/>
      <w:marBottom w:val="0"/>
      <w:divBdr>
        <w:top w:val="none" w:sz="0" w:space="0" w:color="auto"/>
        <w:left w:val="none" w:sz="0" w:space="0" w:color="auto"/>
        <w:bottom w:val="none" w:sz="0" w:space="0" w:color="auto"/>
        <w:right w:val="none" w:sz="0" w:space="0" w:color="auto"/>
      </w:divBdr>
    </w:div>
    <w:div w:id="1044981001">
      <w:bodyDiv w:val="1"/>
      <w:marLeft w:val="0"/>
      <w:marRight w:val="0"/>
      <w:marTop w:val="0"/>
      <w:marBottom w:val="0"/>
      <w:divBdr>
        <w:top w:val="none" w:sz="0" w:space="0" w:color="auto"/>
        <w:left w:val="none" w:sz="0" w:space="0" w:color="auto"/>
        <w:bottom w:val="none" w:sz="0" w:space="0" w:color="auto"/>
        <w:right w:val="none" w:sz="0" w:space="0" w:color="auto"/>
      </w:divBdr>
    </w:div>
    <w:div w:id="1237865688">
      <w:bodyDiv w:val="1"/>
      <w:marLeft w:val="0"/>
      <w:marRight w:val="0"/>
      <w:marTop w:val="0"/>
      <w:marBottom w:val="0"/>
      <w:divBdr>
        <w:top w:val="none" w:sz="0" w:space="0" w:color="auto"/>
        <w:left w:val="none" w:sz="0" w:space="0" w:color="auto"/>
        <w:bottom w:val="none" w:sz="0" w:space="0" w:color="auto"/>
        <w:right w:val="none" w:sz="0" w:space="0" w:color="auto"/>
      </w:divBdr>
    </w:div>
    <w:div w:id="137064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2868</Words>
  <Characters>16351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2025-01-21T17:46:00Z</dcterms:created>
  <dcterms:modified xsi:type="dcterms:W3CDTF">2025-01-21T17:47:00Z</dcterms:modified>
</cp:coreProperties>
</file>