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FF256" w14:textId="77777777" w:rsidR="001978BA" w:rsidRPr="001978BA" w:rsidRDefault="001978BA" w:rsidP="006536FD">
      <w:pPr>
        <w:spacing w:before="100" w:beforeAutospacing="1" w:after="100" w:afterAutospacing="1" w:line="360" w:lineRule="auto"/>
        <w:outlineLvl w:val="1"/>
        <w:rPr>
          <w:rFonts w:ascii="Times New Roman" w:hAnsi="Times New Roman"/>
          <w:b/>
          <w:bCs/>
          <w:lang w:val="en-HK"/>
        </w:rPr>
      </w:pPr>
      <w:r w:rsidRPr="001978BA">
        <w:rPr>
          <w:rFonts w:ascii="Times New Roman" w:hAnsi="Times New Roman"/>
          <w:b/>
          <w:bCs/>
          <w:lang w:val="en-HK"/>
        </w:rPr>
        <w:t>1. The Cases</w:t>
      </w:r>
    </w:p>
    <w:p w14:paraId="30F09ED7" w14:textId="77777777" w:rsidR="001978BA" w:rsidRPr="001978BA" w:rsidRDefault="001978BA" w:rsidP="006536FD">
      <w:pPr>
        <w:numPr>
          <w:ilvl w:val="0"/>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 xml:space="preserve">Empirical studies covering verdicts of not guilty by reason of insanity (NGRI) between 1975 and 2001 reveal epilepsy accounts for approximately 7.3% of special verdicts under the </w:t>
      </w:r>
      <w:proofErr w:type="spellStart"/>
      <w:r w:rsidRPr="001978BA">
        <w:rPr>
          <w:rFonts w:ascii="Times New Roman" w:hAnsi="Times New Roman"/>
          <w:lang w:val="en-HK"/>
        </w:rPr>
        <w:t>M'Naghten</w:t>
      </w:r>
      <w:proofErr w:type="spellEnd"/>
      <w:r w:rsidRPr="001978BA">
        <w:rPr>
          <w:rFonts w:ascii="Times New Roman" w:hAnsi="Times New Roman"/>
          <w:lang w:val="en-HK"/>
        </w:rPr>
        <w:t xml:space="preserve"> Rules.</w:t>
      </w:r>
    </w:p>
    <w:p w14:paraId="1A0A7087" w14:textId="77777777" w:rsidR="001978BA" w:rsidRPr="001978BA" w:rsidRDefault="001978BA" w:rsidP="006536FD">
      <w:pPr>
        <w:numPr>
          <w:ilvl w:val="0"/>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Initially, 14 cases involving epileptic automatism were identified. After medical review, one was excluded due to dissociative seizures rather than epilepsy.</w:t>
      </w:r>
    </w:p>
    <w:p w14:paraId="1D8BBD64" w14:textId="77777777" w:rsidR="001978BA" w:rsidRPr="001978BA" w:rsidRDefault="001978BA" w:rsidP="006536FD">
      <w:pPr>
        <w:numPr>
          <w:ilvl w:val="0"/>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Key observations from the remaining 13 cases:</w:t>
      </w:r>
    </w:p>
    <w:p w14:paraId="14ED70B5" w14:textId="77777777" w:rsidR="001978BA" w:rsidRPr="001978BA" w:rsidRDefault="001978BA" w:rsidP="006536FD">
      <w:pPr>
        <w:numPr>
          <w:ilvl w:val="1"/>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Defendants were predominantly male (92.3%), white (84.6%), and UK-born (84.6%).</w:t>
      </w:r>
    </w:p>
    <w:p w14:paraId="74099F40" w14:textId="77777777" w:rsidR="001978BA" w:rsidRPr="001978BA" w:rsidRDefault="001978BA" w:rsidP="006536FD">
      <w:pPr>
        <w:numPr>
          <w:ilvl w:val="1"/>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Charges included murder, grievous bodily harm (GBH), attempted murder, arson, kidnapping, child abduction, and assault.</w:t>
      </w:r>
    </w:p>
    <w:p w14:paraId="302F4FBD" w14:textId="77777777" w:rsidR="001978BA" w:rsidRPr="001978BA" w:rsidRDefault="001978BA" w:rsidP="006536FD">
      <w:pPr>
        <w:numPr>
          <w:ilvl w:val="1"/>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 xml:space="preserve">Before the </w:t>
      </w:r>
      <w:r w:rsidRPr="001978BA">
        <w:rPr>
          <w:rFonts w:ascii="Times New Roman" w:hAnsi="Times New Roman"/>
          <w:b/>
          <w:bCs/>
          <w:lang w:val="en-HK"/>
        </w:rPr>
        <w:t>Criminal Procedure (Insanity and Unfitness to Plead) Act 1991</w:t>
      </w:r>
      <w:r w:rsidRPr="001978BA">
        <w:rPr>
          <w:rFonts w:ascii="Times New Roman" w:hAnsi="Times New Roman"/>
          <w:lang w:val="en-HK"/>
        </w:rPr>
        <w:t xml:space="preserve">, all defendants </w:t>
      </w:r>
      <w:r w:rsidRPr="001978BA">
        <w:rPr>
          <w:rFonts w:ascii="Times New Roman" w:hAnsi="Times New Roman"/>
          <w:b/>
          <w:bCs/>
          <w:lang w:val="en-HK"/>
        </w:rPr>
        <w:t>received mandatory indefinite hospitalisation.</w:t>
      </w:r>
    </w:p>
    <w:p w14:paraId="2212D84F" w14:textId="797BA722" w:rsidR="001978BA" w:rsidRPr="001978BA" w:rsidRDefault="001978BA" w:rsidP="006536FD">
      <w:pPr>
        <w:numPr>
          <w:ilvl w:val="1"/>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Post-1991 Act, courts gained flexibility. Consequently, seven of eight cases resulted in community-based non-custodial disposals</w:t>
      </w:r>
      <w:r w:rsidR="001E4BD9" w:rsidRPr="006536FD">
        <w:rPr>
          <w:rFonts w:ascii="Times New Roman" w:hAnsi="Times New Roman"/>
          <w:lang w:val="en-HK"/>
        </w:rPr>
        <w:t xml:space="preserve"> </w:t>
      </w:r>
      <w:r w:rsidR="001E4BD9" w:rsidRPr="006536FD">
        <w:rPr>
          <w:rFonts w:ascii="Times New Roman" w:eastAsia="Microsoft JhengHei" w:hAnsi="Times New Roman"/>
          <w:color w:val="000000"/>
          <w:shd w:val="clear" w:color="auto" w:fill="EFF6FF"/>
        </w:rPr>
        <w:t>基於社區的非羈押處置</w:t>
      </w:r>
      <w:r w:rsidRPr="001978BA">
        <w:rPr>
          <w:rFonts w:ascii="Times New Roman" w:hAnsi="Times New Roman"/>
          <w:lang w:val="en-HK"/>
        </w:rPr>
        <w:t>, despite involving serious crimes.</w:t>
      </w:r>
    </w:p>
    <w:p w14:paraId="48010F96" w14:textId="77777777" w:rsidR="001978BA" w:rsidRPr="006536FD" w:rsidRDefault="001978BA" w:rsidP="006536FD">
      <w:pPr>
        <w:numPr>
          <w:ilvl w:val="0"/>
          <w:numId w:val="1"/>
        </w:numPr>
        <w:spacing w:before="100" w:beforeAutospacing="1" w:after="100" w:afterAutospacing="1" w:line="360" w:lineRule="auto"/>
        <w:rPr>
          <w:rFonts w:ascii="Times New Roman" w:hAnsi="Times New Roman"/>
          <w:lang w:val="en-HK"/>
        </w:rPr>
      </w:pPr>
      <w:r w:rsidRPr="001978BA">
        <w:rPr>
          <w:rFonts w:ascii="Times New Roman" w:hAnsi="Times New Roman"/>
          <w:lang w:val="en-HK"/>
        </w:rPr>
        <w:t>Medical records indicated multiple psychiatric co-morbidities, particularly personality disorders and alcohol-related issues, frequently co-existing alongside epilepsy.</w:t>
      </w:r>
    </w:p>
    <w:p w14:paraId="57C6023A" w14:textId="7FBBCD88" w:rsidR="001E4BD9" w:rsidRPr="001E4BD9" w:rsidRDefault="001E4BD9" w:rsidP="006536FD">
      <w:pPr>
        <w:spacing w:before="100" w:beforeAutospacing="1" w:after="100" w:afterAutospacing="1" w:line="360" w:lineRule="auto"/>
        <w:outlineLvl w:val="1"/>
        <w:rPr>
          <w:rFonts w:ascii="Times New Roman" w:hAnsi="Times New Roman"/>
          <w:b/>
          <w:bCs/>
          <w:lang w:val="en-HK"/>
        </w:rPr>
      </w:pPr>
      <w:r w:rsidRPr="006536FD">
        <w:rPr>
          <w:rFonts w:ascii="Times New Roman" w:hAnsi="Times New Roman"/>
          <w:b/>
          <w:bCs/>
          <w:lang w:val="en-HK"/>
        </w:rPr>
        <w:t xml:space="preserve">2. </w:t>
      </w:r>
      <w:r w:rsidRPr="001E4BD9">
        <w:rPr>
          <w:rFonts w:ascii="Times New Roman" w:hAnsi="Times New Roman"/>
          <w:b/>
          <w:bCs/>
          <w:lang w:val="en-HK"/>
        </w:rPr>
        <w:t>The Insanity Defence and Epileptic Automatism</w:t>
      </w:r>
    </w:p>
    <w:p w14:paraId="62504369" w14:textId="77777777" w:rsidR="001E4BD9" w:rsidRPr="001E4BD9" w:rsidRDefault="001E4BD9" w:rsidP="006536FD">
      <w:pPr>
        <w:spacing w:before="100" w:beforeAutospacing="1" w:after="100" w:afterAutospacing="1" w:line="360" w:lineRule="auto"/>
        <w:outlineLvl w:val="2"/>
        <w:rPr>
          <w:rFonts w:ascii="Times New Roman" w:hAnsi="Times New Roman"/>
          <w:b/>
          <w:bCs/>
          <w:lang w:val="en-HK"/>
        </w:rPr>
      </w:pPr>
      <w:r w:rsidRPr="001E4BD9">
        <w:rPr>
          <w:rFonts w:ascii="Times New Roman" w:hAnsi="Times New Roman"/>
          <w:b/>
          <w:bCs/>
          <w:lang w:val="en-HK"/>
        </w:rPr>
        <w:t>1. Historical Background: Bratty v Attorney General for Northern Ireland [1963] A.C. 386</w:t>
      </w:r>
    </w:p>
    <w:p w14:paraId="3C36F2E7"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Facts:</w:t>
      </w:r>
    </w:p>
    <w:p w14:paraId="23116701"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Defendant (D) was charged with murder and raised both insanity and automatism defences, claiming he experienced a blackout caused by psychomotor epilepsy.</w:t>
      </w:r>
    </w:p>
    <w:p w14:paraId="6DA95818"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Held (House of Lords):</w:t>
      </w:r>
    </w:p>
    <w:p w14:paraId="14A57C8B"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 xml:space="preserve">Epilepsy qualifies as a "disease of the mind" within the meaning of the </w:t>
      </w:r>
      <w:proofErr w:type="spellStart"/>
      <w:r w:rsidRPr="001E4BD9">
        <w:rPr>
          <w:rFonts w:ascii="Times New Roman" w:hAnsi="Times New Roman"/>
          <w:lang w:val="en-HK"/>
        </w:rPr>
        <w:t>M'Naghten</w:t>
      </w:r>
      <w:proofErr w:type="spellEnd"/>
      <w:r w:rsidRPr="001E4BD9">
        <w:rPr>
          <w:rFonts w:ascii="Times New Roman" w:hAnsi="Times New Roman"/>
          <w:lang w:val="en-HK"/>
        </w:rPr>
        <w:t xml:space="preserve"> Rules, resulting in a verdict of insanity rather than acquittal through automatism.</w:t>
      </w:r>
    </w:p>
    <w:p w14:paraId="2BA7A2A9"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Judicial Reasoning (Lord Denning):</w:t>
      </w:r>
    </w:p>
    <w:p w14:paraId="5917EFC8" w14:textId="77777777" w:rsidR="001E4BD9" w:rsidRPr="001E4BD9" w:rsidRDefault="001E4BD9" w:rsidP="006536FD">
      <w:pPr>
        <w:numPr>
          <w:ilvl w:val="1"/>
          <w:numId w:val="2"/>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lastRenderedPageBreak/>
        <w:t xml:space="preserve">Lord Denning distinguished major mental disorders ("psychoses") such as schizophrenia, clearly recognised as diseases of the mind, from other conditions like epilepsy. He explicitly rejected Barry J.'s approach in </w:t>
      </w:r>
      <w:proofErr w:type="spellStart"/>
      <w:r w:rsidRPr="001E4BD9">
        <w:rPr>
          <w:rFonts w:ascii="Times New Roman" w:hAnsi="Times New Roman"/>
          <w:lang w:val="en-HK"/>
        </w:rPr>
        <w:t>Charlson</w:t>
      </w:r>
      <w:proofErr w:type="spellEnd"/>
      <w:r w:rsidRPr="001E4BD9">
        <w:rPr>
          <w:rFonts w:ascii="Times New Roman" w:hAnsi="Times New Roman"/>
          <w:lang w:val="en-HK"/>
        </w:rPr>
        <w:t xml:space="preserve"> [1955], stating epilepsy and cerebral tumours are indeed diseases of the mind if they result in violence and are likely to recur.</w:t>
      </w:r>
    </w:p>
    <w:p w14:paraId="0656A2F4" w14:textId="77777777" w:rsidR="001E4BD9" w:rsidRPr="001E4BD9" w:rsidRDefault="001E4BD9" w:rsidP="006536FD">
      <w:pPr>
        <w:numPr>
          <w:ilvl w:val="1"/>
          <w:numId w:val="2"/>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Lord Denning further elaborated, affirming the unanimous medical consensus presented at trial: psychomotor epilepsy constituted a defect of reason due to disease of the mind, stating explicitly:</w:t>
      </w:r>
    </w:p>
    <w:p w14:paraId="44B60F35" w14:textId="77777777" w:rsidR="001E4BD9" w:rsidRPr="001E4BD9" w:rsidRDefault="001E4BD9" w:rsidP="006536FD">
      <w:pPr>
        <w:spacing w:beforeAutospacing="1" w:afterAutospacing="1" w:line="360" w:lineRule="auto"/>
        <w:rPr>
          <w:rFonts w:ascii="Times New Roman" w:hAnsi="Times New Roman"/>
          <w:lang w:val="en-HK"/>
        </w:rPr>
      </w:pPr>
      <w:r w:rsidRPr="001E4BD9">
        <w:rPr>
          <w:rFonts w:ascii="Times New Roman" w:hAnsi="Times New Roman"/>
          <w:lang w:val="en-HK"/>
        </w:rPr>
        <w:t>All the doctors agreed that psychomotor epilepsy, if it exists, is a defect of reason due to disease of the mind: and the judge accepted this view. No other cause was canvassed.</w:t>
      </w:r>
    </w:p>
    <w:p w14:paraId="1772304F"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Impact of Bratty:</w:t>
      </w:r>
    </w:p>
    <w:p w14:paraId="12B40831"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Bratty established authoritative precedent, clearly endorsing two distinct legal forms of automatism:</w:t>
      </w:r>
    </w:p>
    <w:p w14:paraId="1FAAE9D6" w14:textId="77777777" w:rsidR="001E4BD9" w:rsidRPr="001E4BD9" w:rsidRDefault="001E4BD9" w:rsidP="006536FD">
      <w:pPr>
        <w:numPr>
          <w:ilvl w:val="2"/>
          <w:numId w:val="2"/>
        </w:num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Insane automatism</w:t>
      </w:r>
      <w:r w:rsidRPr="001E4BD9">
        <w:rPr>
          <w:rFonts w:ascii="Times New Roman" w:hAnsi="Times New Roman"/>
          <w:lang w:val="en-HK"/>
        </w:rPr>
        <w:t xml:space="preserve"> (arising from internal diseases like epilepsy, leading to an insanity verdict).</w:t>
      </w:r>
    </w:p>
    <w:p w14:paraId="7AD98CC2" w14:textId="77777777" w:rsidR="001E4BD9" w:rsidRPr="001E4BD9" w:rsidRDefault="001E4BD9" w:rsidP="006536FD">
      <w:pPr>
        <w:numPr>
          <w:ilvl w:val="2"/>
          <w:numId w:val="2"/>
        </w:num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Non-insane automatism</w:t>
      </w:r>
      <w:r w:rsidRPr="001E4BD9">
        <w:rPr>
          <w:rFonts w:ascii="Times New Roman" w:hAnsi="Times New Roman"/>
          <w:lang w:val="en-HK"/>
        </w:rPr>
        <w:t xml:space="preserve"> (arising from external factors, resulting in acquittal).</w:t>
      </w:r>
    </w:p>
    <w:p w14:paraId="06F9DC66"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Criticism of Bratty:</w:t>
      </w:r>
    </w:p>
    <w:p w14:paraId="3A88FA84"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The decision provided minimal clarity on the reasoning for classifying epilepsy specifically as a disease of the mind, other than reliance upon the medical experts' acceptance of epilepsy as a "functional disorder" without structural brain changes.</w:t>
      </w:r>
    </w:p>
    <w:p w14:paraId="33FF5C0A" w14:textId="77777777" w:rsidR="001E4BD9" w:rsidRPr="001E4BD9" w:rsidRDefault="001E4BD9" w:rsidP="006536FD">
      <w:pPr>
        <w:spacing w:before="100" w:beforeAutospacing="1" w:after="100" w:afterAutospacing="1" w:line="360" w:lineRule="auto"/>
        <w:outlineLvl w:val="2"/>
        <w:rPr>
          <w:rFonts w:ascii="Times New Roman" w:hAnsi="Times New Roman"/>
          <w:b/>
          <w:bCs/>
          <w:lang w:val="en-HK"/>
        </w:rPr>
      </w:pPr>
      <w:r w:rsidRPr="001E4BD9">
        <w:rPr>
          <w:rFonts w:ascii="Times New Roman" w:hAnsi="Times New Roman"/>
          <w:b/>
          <w:bCs/>
          <w:lang w:val="en-HK"/>
        </w:rPr>
        <w:t>2. Judicial Confirmation and Clarification: R v Sullivan [1984] A.C. 156</w:t>
      </w:r>
    </w:p>
    <w:p w14:paraId="667ACD6A"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Facts:</w:t>
      </w:r>
    </w:p>
    <w:p w14:paraId="102736EC"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Defendant had suffered from epilepsy since childhood. Charged with assault, he argued he was in the post-ictal stage (final recovery phase) of an epileptic seizure at the time of the offence, asserting automatism.</w:t>
      </w:r>
    </w:p>
    <w:p w14:paraId="4B72C64A"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Trial Outcome:</w:t>
      </w:r>
    </w:p>
    <w:p w14:paraId="0D2DD476"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lastRenderedPageBreak/>
        <w:t>Following Bratty, the trial judge ruled that the defendant’s condition fell under insanity, prompting Sullivan to plead guilty to avoid the insanity verdict and associated stigma.</w:t>
      </w:r>
    </w:p>
    <w:p w14:paraId="323C6299"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Medical Evidence:</w:t>
      </w:r>
    </w:p>
    <w:p w14:paraId="519F561B" w14:textId="77777777" w:rsidR="001E4BD9" w:rsidRPr="001E4BD9" w:rsidRDefault="001E4BD9" w:rsidP="006536FD">
      <w:pPr>
        <w:numPr>
          <w:ilvl w:val="1"/>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Two expert neuropsychiatrists from Maudsley Hospital (Dr Fenwick and Dr Taylor) testified that the defendant's violent acts occurred during the post-ictal phase of petit mal seizures. Their evidence was undisputed by the prosecution.</w:t>
      </w:r>
    </w:p>
    <w:p w14:paraId="68B7316F" w14:textId="77777777" w:rsidR="001E4BD9" w:rsidRPr="006536FD" w:rsidRDefault="001E4BD9" w:rsidP="006536FD">
      <w:pPr>
        <w:numPr>
          <w:ilvl w:val="1"/>
          <w:numId w:val="3"/>
        </w:numPr>
        <w:spacing w:before="100" w:beforeAutospacing="1" w:after="100" w:afterAutospacing="1" w:line="360" w:lineRule="auto"/>
        <w:rPr>
          <w:rFonts w:ascii="Times New Roman" w:hAnsi="Times New Roman"/>
          <w:b/>
          <w:bCs/>
          <w:color w:val="FF0000"/>
          <w:lang w:val="en-HK"/>
        </w:rPr>
      </w:pPr>
      <w:r w:rsidRPr="001E4BD9">
        <w:rPr>
          <w:rFonts w:ascii="Times New Roman" w:hAnsi="Times New Roman"/>
          <w:b/>
          <w:bCs/>
          <w:color w:val="FF0000"/>
          <w:lang w:val="en-HK"/>
        </w:rPr>
        <w:t>Significantly, however, both experts objected medically to classifying epilepsy as a disease of the mind. Dr Fenwick suggested that a "disease of the mind" must medically persist for over one day, whereas Dr Taylor argued a minimum duration of one month.</w:t>
      </w:r>
    </w:p>
    <w:p w14:paraId="5B04F0E0" w14:textId="6F6C1635" w:rsidR="001E4BD9" w:rsidRPr="006536FD" w:rsidRDefault="001E4BD9" w:rsidP="006536FD">
      <w:pPr>
        <w:pStyle w:val="NormalWeb"/>
        <w:spacing w:line="360" w:lineRule="auto"/>
      </w:pPr>
      <w:r w:rsidRPr="006536FD">
        <w:rPr>
          <w:b/>
          <w:bCs/>
          <w:color w:val="FF0000"/>
        </w:rPr>
        <w:sym w:font="Wingdings" w:char="F0E0"/>
      </w:r>
      <w:r w:rsidRPr="006536FD">
        <w:rPr>
          <w:b/>
          <w:bCs/>
          <w:color w:val="FF0000"/>
        </w:rPr>
        <w:t xml:space="preserve"> </w:t>
      </w:r>
      <w:r w:rsidRPr="006536FD">
        <w:rPr>
          <w:color w:val="1E1E1E"/>
        </w:rPr>
        <w:t>S</w:t>
      </w:r>
      <w:r w:rsidRPr="006536FD">
        <w:rPr>
          <w:color w:val="1E1E1E"/>
        </w:rPr>
        <w:t xml:space="preserve">ummarised by Lord Diplock: </w:t>
      </w:r>
    </w:p>
    <w:p w14:paraId="0B405A84" w14:textId="0D5E865A" w:rsidR="001E4BD9" w:rsidRPr="006536FD" w:rsidRDefault="001E4BD9" w:rsidP="006536FD">
      <w:pPr>
        <w:pStyle w:val="NormalWeb"/>
        <w:spacing w:line="360" w:lineRule="auto"/>
      </w:pPr>
      <w:r w:rsidRPr="006536FD">
        <w:rPr>
          <w:color w:val="1E1E1E"/>
        </w:rPr>
        <w:t xml:space="preserve">"First, it is submitted the medical evidence in the instant case shows that psychomotor epilepsy is not a disease of the mind, whereas in </w:t>
      </w:r>
      <w:proofErr w:type="spellStart"/>
      <w:r w:rsidRPr="006536FD">
        <w:rPr>
          <w:i/>
          <w:iCs/>
          <w:color w:val="1E1E1E"/>
        </w:rPr>
        <w:t>Bratty's</w:t>
      </w:r>
      <w:proofErr w:type="spellEnd"/>
      <w:r w:rsidRPr="006536FD">
        <w:rPr>
          <w:i/>
          <w:iCs/>
          <w:color w:val="1E1E1E"/>
        </w:rPr>
        <w:t xml:space="preserve"> </w:t>
      </w:r>
      <w:r w:rsidRPr="006536FD">
        <w:rPr>
          <w:color w:val="1E1E1E"/>
        </w:rPr>
        <w:t xml:space="preserve">case it was accepted by all the doctors that it was. The only evidential basis for this submission is that Dr Fenwick said that in medical terms to constitute a "disease of the mind' or "mental illness', which he appeared to regard as interchangeable descriptions, a disorder of brain functions (which undoubtedly occurs during a seizure in psychomotor epilepsy) must be prolonged for a period of time usually more than a day, while Dr Taylor would have it that the disorder must continue for a minimum of a month to qualify for the description "a disease of the mind'." </w:t>
      </w:r>
    </w:p>
    <w:p w14:paraId="362E161C" w14:textId="3EDD428F" w:rsidR="001E4BD9" w:rsidRPr="001E4BD9" w:rsidRDefault="001E4BD9" w:rsidP="006536FD">
      <w:pPr>
        <w:spacing w:before="100" w:beforeAutospacing="1" w:after="100" w:afterAutospacing="1" w:line="360" w:lineRule="auto"/>
        <w:rPr>
          <w:rFonts w:ascii="Times New Roman" w:hAnsi="Times New Roman"/>
          <w:b/>
          <w:bCs/>
          <w:color w:val="FF0000"/>
          <w:lang w:val="en-HK"/>
        </w:rPr>
      </w:pPr>
    </w:p>
    <w:p w14:paraId="56F0512E"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Lord Diplock’s Reasoning and Rejection of Medical Opinion:</w:t>
      </w:r>
    </w:p>
    <w:p w14:paraId="5C673417"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Lord Diplock explicitly dismissed the medical profession’s restrictive definitions, stating that medical terminology is irrelevant to the legal meaning of "disease of the mind":</w:t>
      </w:r>
    </w:p>
    <w:p w14:paraId="7E464326" w14:textId="77777777" w:rsidR="001E4BD9" w:rsidRPr="001E4BD9" w:rsidRDefault="001E4BD9" w:rsidP="006536FD">
      <w:pPr>
        <w:spacing w:beforeAutospacing="1" w:afterAutospacing="1" w:line="360" w:lineRule="auto"/>
        <w:rPr>
          <w:rFonts w:ascii="Times New Roman" w:hAnsi="Times New Roman"/>
          <w:lang w:val="en-HK"/>
        </w:rPr>
      </w:pPr>
      <w:r w:rsidRPr="001E4BD9">
        <w:rPr>
          <w:rFonts w:ascii="Times New Roman" w:hAnsi="Times New Roman"/>
          <w:lang w:val="en-HK"/>
        </w:rPr>
        <w:t xml:space="preserve">The nomenclature adopted by the medical profession may change from time to time; Bratty was tried in 1961. But the meaning of the expression disease of the mind, as a cause of a defect of reason remains unchanged for the purposes of the application of the </w:t>
      </w:r>
      <w:proofErr w:type="spellStart"/>
      <w:r w:rsidRPr="001E4BD9">
        <w:rPr>
          <w:rFonts w:ascii="Times New Roman" w:hAnsi="Times New Roman"/>
          <w:lang w:val="en-HK"/>
        </w:rPr>
        <w:t>M'Naghten</w:t>
      </w:r>
      <w:proofErr w:type="spellEnd"/>
      <w:r w:rsidRPr="001E4BD9">
        <w:rPr>
          <w:rFonts w:ascii="Times New Roman" w:hAnsi="Times New Roman"/>
          <w:lang w:val="en-HK"/>
        </w:rPr>
        <w:t xml:space="preserve"> Rules.</w:t>
      </w:r>
    </w:p>
    <w:p w14:paraId="688AFF1D" w14:textId="77777777" w:rsidR="001E4BD9" w:rsidRPr="001E4BD9" w:rsidRDefault="001E4BD9" w:rsidP="006536FD">
      <w:pPr>
        <w:numPr>
          <w:ilvl w:val="1"/>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lastRenderedPageBreak/>
        <w:t xml:space="preserve">He reaffirmed Devlin J.'s view in Kemp [1957] 1 Q.B. 399, that "mind" within </w:t>
      </w:r>
      <w:proofErr w:type="spellStart"/>
      <w:r w:rsidRPr="001E4BD9">
        <w:rPr>
          <w:rFonts w:ascii="Times New Roman" w:hAnsi="Times New Roman"/>
          <w:lang w:val="en-HK"/>
        </w:rPr>
        <w:t>M'Naghten</w:t>
      </w:r>
      <w:proofErr w:type="spellEnd"/>
      <w:r w:rsidRPr="001E4BD9">
        <w:rPr>
          <w:rFonts w:ascii="Times New Roman" w:hAnsi="Times New Roman"/>
          <w:lang w:val="en-HK"/>
        </w:rPr>
        <w:t xml:space="preserve"> denotes ordinary mental faculties—reason, memory, and understanding. If these faculties are impaired at the time of the act, the source (organic or functional), permanence, or transient nature is immaterial.</w:t>
      </w:r>
    </w:p>
    <w:p w14:paraId="3769F48C" w14:textId="7F04E808" w:rsidR="001E4BD9" w:rsidRPr="001E4BD9" w:rsidRDefault="001E4BD9" w:rsidP="006536FD">
      <w:pPr>
        <w:spacing w:beforeAutospacing="1" w:afterAutospacing="1" w:line="360" w:lineRule="auto"/>
        <w:rPr>
          <w:rFonts w:ascii="Times New Roman" w:hAnsi="Times New Roman"/>
          <w:lang w:val="en-HK"/>
        </w:rPr>
      </w:pPr>
      <w:r w:rsidRPr="006536FD">
        <w:rPr>
          <w:rFonts w:ascii="Times New Roman" w:hAnsi="Times New Roman"/>
          <w:lang w:val="en-HK"/>
        </w:rPr>
        <w:sym w:font="Wingdings" w:char="F0E0"/>
      </w:r>
      <w:r w:rsidRPr="006536FD">
        <w:rPr>
          <w:rFonts w:ascii="Times New Roman" w:hAnsi="Times New Roman"/>
          <w:lang w:val="en-HK"/>
        </w:rPr>
        <w:t xml:space="preserve"> </w:t>
      </w:r>
      <w:r w:rsidRPr="001E4BD9">
        <w:rPr>
          <w:rFonts w:ascii="Times New Roman" w:hAnsi="Times New Roman"/>
          <w:lang w:val="en-HK"/>
        </w:rPr>
        <w:t>It matters not whether the aetiology is organic, as in epilepsy, or functional, or whether the impairment itself is permanent or transient and intermittent, provided it subsisted at the time of the commission of the act.</w:t>
      </w:r>
    </w:p>
    <w:p w14:paraId="76D75FBF" w14:textId="77777777" w:rsidR="001E4BD9" w:rsidRPr="001E4BD9" w:rsidRDefault="001E4BD9" w:rsidP="006536FD">
      <w:pPr>
        <w:numPr>
          <w:ilvl w:val="1"/>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Lord Diplock justified this expansive legal interpretation by emphasising the core policy objective of insanity legislation since its inception in 1880:</w:t>
      </w:r>
    </w:p>
    <w:p w14:paraId="3F8107C4" w14:textId="138766BC" w:rsidR="001E4BD9" w:rsidRPr="001E4BD9" w:rsidRDefault="001E4BD9" w:rsidP="006536FD">
      <w:pPr>
        <w:spacing w:beforeAutospacing="1" w:afterAutospacing="1" w:line="360" w:lineRule="auto"/>
        <w:rPr>
          <w:rFonts w:ascii="Times New Roman" w:hAnsi="Times New Roman"/>
          <w:lang w:val="en-HK"/>
        </w:rPr>
      </w:pPr>
      <w:r w:rsidRPr="006536FD">
        <w:rPr>
          <w:rFonts w:ascii="Times New Roman" w:hAnsi="Times New Roman"/>
          <w:lang w:val="en-HK"/>
        </w:rPr>
        <w:sym w:font="Wingdings" w:char="F0E0"/>
      </w:r>
      <w:r w:rsidRPr="006536FD">
        <w:rPr>
          <w:rFonts w:ascii="Times New Roman" w:hAnsi="Times New Roman"/>
          <w:lang w:val="en-HK"/>
        </w:rPr>
        <w:t xml:space="preserve"> </w:t>
      </w:r>
      <w:r w:rsidRPr="001E4BD9">
        <w:rPr>
          <w:rFonts w:ascii="Times New Roman" w:hAnsi="Times New Roman"/>
          <w:lang w:val="en-HK"/>
        </w:rPr>
        <w:t xml:space="preserve">The purpose of the legislation relating to the defence of insanity, ever since its origin in 1880, has been to protect society against the recurrence of dangerous conduct. The duration of a temporary suspension of the mental faculties...cannot on any rational ground be relevant to the application by the courts of the </w:t>
      </w:r>
      <w:proofErr w:type="spellStart"/>
      <w:r w:rsidRPr="001E4BD9">
        <w:rPr>
          <w:rFonts w:ascii="Times New Roman" w:hAnsi="Times New Roman"/>
          <w:lang w:val="en-HK"/>
        </w:rPr>
        <w:t>M'Naghten</w:t>
      </w:r>
      <w:proofErr w:type="spellEnd"/>
      <w:r w:rsidRPr="001E4BD9">
        <w:rPr>
          <w:rFonts w:ascii="Times New Roman" w:hAnsi="Times New Roman"/>
          <w:lang w:val="en-HK"/>
        </w:rPr>
        <w:t xml:space="preserve"> Rules.</w:t>
      </w:r>
    </w:p>
    <w:p w14:paraId="5413BAE6"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Lord Diplock’s Concern and Call for Reform:</w:t>
      </w:r>
    </w:p>
    <w:p w14:paraId="13F5FB73"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lang w:val="en-HK"/>
        </w:rPr>
        <w:t>Despite affirming the legal position, Lord Diplock openly acknowledged discomfort with the resulting stigma, strongly criticising the legal labelling of epileptics as insane:</w:t>
      </w:r>
    </w:p>
    <w:p w14:paraId="5EBC21D9" w14:textId="77777777" w:rsidR="001E4BD9" w:rsidRPr="001E4BD9" w:rsidRDefault="001E4BD9" w:rsidP="006536FD">
      <w:pPr>
        <w:spacing w:beforeAutospacing="1" w:afterAutospacing="1" w:line="360" w:lineRule="auto"/>
        <w:rPr>
          <w:rFonts w:ascii="Times New Roman" w:hAnsi="Times New Roman"/>
          <w:lang w:val="en-HK"/>
        </w:rPr>
      </w:pPr>
      <w:r w:rsidRPr="001E4BD9">
        <w:rPr>
          <w:rFonts w:ascii="Times New Roman" w:hAnsi="Times New Roman"/>
          <w:lang w:val="en-HK"/>
        </w:rPr>
        <w:t>My Lords, it is natural to feel reluctant to attach the label of insanity to a sufferer from psychomotor epilepsy...But the label is contained in the current statute...It does not lie within the powers of the courts to alter it. Only Parliament can do that. It has done so twice; it could do so again.</w:t>
      </w:r>
    </w:p>
    <w:p w14:paraId="726B6F13"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Critique by Scholars and Courts Post-Sullivan:</w:t>
      </w:r>
    </w:p>
    <w:p w14:paraId="1E9125AA" w14:textId="77777777" w:rsidR="001E4BD9" w:rsidRPr="001E4BD9" w:rsidRDefault="001E4BD9" w:rsidP="006536FD">
      <w:pPr>
        <w:numPr>
          <w:ilvl w:val="1"/>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Sullivan’s broad approach to "disease of the mind" attracted considerable criticism from scholars and courts, primarily because:</w:t>
      </w:r>
    </w:p>
    <w:p w14:paraId="415EA4AD" w14:textId="77777777" w:rsidR="001E4BD9" w:rsidRPr="001E4BD9" w:rsidRDefault="001E4BD9" w:rsidP="006536FD">
      <w:pPr>
        <w:numPr>
          <w:ilvl w:val="2"/>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It leads to unfair stigmatisation of defendants suffering from epilepsy.</w:t>
      </w:r>
    </w:p>
    <w:p w14:paraId="66E06A58" w14:textId="77777777" w:rsidR="001E4BD9" w:rsidRPr="001E4BD9" w:rsidRDefault="001E4BD9" w:rsidP="006536FD">
      <w:pPr>
        <w:numPr>
          <w:ilvl w:val="2"/>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The definition’s breadth risks encompassing almost any temporary mental impairment, constrained only by judicial discretion and "common sense" limitations.</w:t>
      </w:r>
    </w:p>
    <w:p w14:paraId="4A5CA894" w14:textId="77777777" w:rsidR="001E4BD9" w:rsidRPr="001E4BD9" w:rsidRDefault="001E4BD9" w:rsidP="006536FD">
      <w:pPr>
        <w:spacing w:before="100" w:beforeAutospacing="1" w:after="100" w:afterAutospacing="1" w:line="360" w:lineRule="auto"/>
        <w:rPr>
          <w:rFonts w:ascii="Times New Roman" w:hAnsi="Times New Roman"/>
          <w:lang w:val="en-HK"/>
        </w:rPr>
      </w:pPr>
      <w:r w:rsidRPr="001E4BD9">
        <w:rPr>
          <w:rFonts w:ascii="Times New Roman" w:hAnsi="Times New Roman"/>
          <w:b/>
          <w:bCs/>
          <w:lang w:val="en-HK"/>
        </w:rPr>
        <w:t>Recognition of Non-insane Automatism:</w:t>
      </w:r>
    </w:p>
    <w:p w14:paraId="5FBC2435" w14:textId="77777777" w:rsidR="001E4BD9" w:rsidRPr="001E4BD9" w:rsidRDefault="001E4BD9" w:rsidP="006536FD">
      <w:pPr>
        <w:numPr>
          <w:ilvl w:val="1"/>
          <w:numId w:val="3"/>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lastRenderedPageBreak/>
        <w:t>Lord Diplock explicitly noted cases not classifiable as "disease of the mind," such as impairment from external physical factors (head trauma, anaesthesia), must fall under non-insane automatism, providing acquittal, thereby recognising limitations to insanity defence’s broad scope.</w:t>
      </w:r>
    </w:p>
    <w:p w14:paraId="4FC5FB6A" w14:textId="77777777" w:rsidR="001E4BD9" w:rsidRPr="001E4BD9" w:rsidRDefault="001E4BD9" w:rsidP="006536FD">
      <w:pPr>
        <w:spacing w:before="100" w:beforeAutospacing="1" w:after="100" w:afterAutospacing="1" w:line="360" w:lineRule="auto"/>
        <w:outlineLvl w:val="2"/>
        <w:rPr>
          <w:rFonts w:ascii="Times New Roman" w:hAnsi="Times New Roman"/>
          <w:b/>
          <w:bCs/>
          <w:lang w:val="en-HK"/>
        </w:rPr>
      </w:pPr>
      <w:r w:rsidRPr="001E4BD9">
        <w:rPr>
          <w:rFonts w:ascii="Times New Roman" w:hAnsi="Times New Roman"/>
          <w:b/>
          <w:bCs/>
          <w:lang w:val="en-HK"/>
        </w:rPr>
        <w:t>3. Scholarly Analysis and Recommendation for Reform:</w:t>
      </w:r>
    </w:p>
    <w:p w14:paraId="794AFC81" w14:textId="77777777" w:rsidR="001E4BD9" w:rsidRPr="001E4BD9" w:rsidRDefault="001E4BD9" w:rsidP="006536FD">
      <w:pPr>
        <w:numPr>
          <w:ilvl w:val="0"/>
          <w:numId w:val="4"/>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 xml:space="preserve">Scholars, including Mackay and </w:t>
      </w:r>
      <w:proofErr w:type="spellStart"/>
      <w:r w:rsidRPr="001E4BD9">
        <w:rPr>
          <w:rFonts w:ascii="Times New Roman" w:hAnsi="Times New Roman"/>
          <w:lang w:val="en-HK"/>
        </w:rPr>
        <w:t>Reuber</w:t>
      </w:r>
      <w:proofErr w:type="spellEnd"/>
      <w:r w:rsidRPr="001E4BD9">
        <w:rPr>
          <w:rFonts w:ascii="Times New Roman" w:hAnsi="Times New Roman"/>
          <w:lang w:val="en-HK"/>
        </w:rPr>
        <w:t>, argue strongly that epilepsy should not automatically result in insanity verdicts, noting the deeply inappropriate and socially harmful nature of labelling epileptics as "insane."</w:t>
      </w:r>
    </w:p>
    <w:p w14:paraId="4CC5C963" w14:textId="77777777" w:rsidR="001E4BD9" w:rsidRPr="001E4BD9" w:rsidRDefault="001E4BD9" w:rsidP="006536FD">
      <w:pPr>
        <w:numPr>
          <w:ilvl w:val="0"/>
          <w:numId w:val="4"/>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Critiques highlight that epilepsy, particularly when transient and triggered by external factors, should not automatically qualify as insanity. Scholars question the logic behind distinguishing epilepsy from other transient conditions legally afforded more leniency under the non-insane automatism defence (e.g., diabetes in Quick [1973]).</w:t>
      </w:r>
    </w:p>
    <w:p w14:paraId="5ACBC3CA" w14:textId="77777777" w:rsidR="001E4BD9" w:rsidRPr="001E4BD9" w:rsidRDefault="001E4BD9" w:rsidP="006536FD">
      <w:pPr>
        <w:numPr>
          <w:ilvl w:val="0"/>
          <w:numId w:val="4"/>
        </w:numPr>
        <w:spacing w:before="100" w:beforeAutospacing="1" w:after="100" w:afterAutospacing="1" w:line="360" w:lineRule="auto"/>
        <w:rPr>
          <w:rFonts w:ascii="Times New Roman" w:hAnsi="Times New Roman"/>
          <w:lang w:val="en-HK"/>
        </w:rPr>
      </w:pPr>
      <w:r w:rsidRPr="001E4BD9">
        <w:rPr>
          <w:rFonts w:ascii="Times New Roman" w:hAnsi="Times New Roman"/>
          <w:lang w:val="en-HK"/>
        </w:rPr>
        <w:t>Scholars conclude by urgently recommending statutory reform, encouraging the Law Commission to comprehensively review the insanity defence. They advocate for removing the stigma associated with the "insanity" label, especially for epilepsy, aligning the law more closely with modern medical knowledge and societal values.</w:t>
      </w:r>
    </w:p>
    <w:p w14:paraId="5622FAA4" w14:textId="77777777" w:rsidR="001E4BD9" w:rsidRPr="001E4BD9" w:rsidRDefault="00352BEA" w:rsidP="006536FD">
      <w:pPr>
        <w:spacing w:line="360" w:lineRule="auto"/>
        <w:rPr>
          <w:rFonts w:ascii="Times New Roman" w:hAnsi="Times New Roman"/>
          <w:lang w:val="en-HK"/>
        </w:rPr>
      </w:pPr>
      <w:r w:rsidRPr="00352BEA">
        <w:rPr>
          <w:rFonts w:ascii="Times New Roman" w:hAnsi="Times New Roman"/>
          <w:noProof/>
          <w:lang w:val="en-HK"/>
          <w14:ligatures w14:val="standardContextual"/>
        </w:rPr>
        <w:pict w14:anchorId="46A8E0D4">
          <v:rect id="_x0000_i1025" alt="" style="width:451.3pt;height:.05pt;mso-width-percent:0;mso-height-percent:0;mso-width-percent:0;mso-height-percent:0" o:hralign="center" o:hrstd="t" o:hr="t" fillcolor="#a0a0a0" stroked="f"/>
        </w:pict>
      </w:r>
    </w:p>
    <w:p w14:paraId="6ED5512E" w14:textId="1E679F12" w:rsidR="006536FD" w:rsidRPr="006536FD" w:rsidRDefault="006536FD" w:rsidP="006536FD">
      <w:pPr>
        <w:spacing w:before="100" w:beforeAutospacing="1" w:after="100" w:afterAutospacing="1" w:line="360" w:lineRule="auto"/>
        <w:outlineLvl w:val="1"/>
        <w:rPr>
          <w:rFonts w:ascii="Times New Roman" w:hAnsi="Times New Roman"/>
          <w:b/>
          <w:bCs/>
          <w:lang w:val="en-HK"/>
        </w:rPr>
      </w:pPr>
      <w:r w:rsidRPr="006536FD">
        <w:rPr>
          <w:rFonts w:ascii="Times New Roman" w:hAnsi="Times New Roman"/>
          <w:b/>
          <w:bCs/>
          <w:lang w:val="en-HK"/>
        </w:rPr>
        <w:t xml:space="preserve">3. </w:t>
      </w:r>
      <w:r w:rsidRPr="006536FD">
        <w:rPr>
          <w:rFonts w:ascii="Times New Roman" w:hAnsi="Times New Roman"/>
          <w:b/>
          <w:bCs/>
          <w:lang w:val="en-HK"/>
        </w:rPr>
        <w:t>The External Factor Doctrine and Epilepsy</w:t>
      </w:r>
    </w:p>
    <w:p w14:paraId="089849AD" w14:textId="77777777" w:rsidR="006536FD" w:rsidRPr="006536FD" w:rsidRDefault="006536FD" w:rsidP="006536FD">
      <w:pPr>
        <w:spacing w:before="100" w:beforeAutospacing="1" w:after="100" w:afterAutospacing="1" w:line="360" w:lineRule="auto"/>
        <w:outlineLvl w:val="2"/>
        <w:rPr>
          <w:rFonts w:ascii="Times New Roman" w:hAnsi="Times New Roman"/>
          <w:b/>
          <w:bCs/>
          <w:lang w:val="en-HK"/>
        </w:rPr>
      </w:pPr>
      <w:r w:rsidRPr="006536FD">
        <w:rPr>
          <w:rFonts w:ascii="Times New Roman" w:hAnsi="Times New Roman"/>
          <w:b/>
          <w:bCs/>
          <w:lang w:val="en-HK"/>
        </w:rPr>
        <w:t>1. Origin and Rationale of the Doctrine:</w:t>
      </w:r>
    </w:p>
    <w:p w14:paraId="554F1DFB" w14:textId="77777777" w:rsidR="006536FD" w:rsidRPr="006536FD" w:rsidRDefault="006536FD" w:rsidP="006536FD">
      <w:pPr>
        <w:numPr>
          <w:ilvl w:val="0"/>
          <w:numId w:val="5"/>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 xml:space="preserve">The external factor doctrine originated in </w:t>
      </w:r>
      <w:r w:rsidRPr="006536FD">
        <w:rPr>
          <w:rFonts w:ascii="Times New Roman" w:hAnsi="Times New Roman"/>
          <w:b/>
          <w:bCs/>
          <w:lang w:val="en-HK"/>
        </w:rPr>
        <w:t>R v Quick [1973] Q.B. 910</w:t>
      </w:r>
      <w:r w:rsidRPr="006536FD">
        <w:rPr>
          <w:rFonts w:ascii="Times New Roman" w:hAnsi="Times New Roman"/>
          <w:lang w:val="en-HK"/>
        </w:rPr>
        <w:t>, serving as a judicial mechanism to limit the excessively broad interpretation of "disease of the mind" established in Bratty.</w:t>
      </w:r>
    </w:p>
    <w:p w14:paraId="573DFF7F" w14:textId="77777777" w:rsidR="006536FD" w:rsidRPr="006536FD" w:rsidRDefault="006536FD" w:rsidP="006536FD">
      <w:pPr>
        <w:numPr>
          <w:ilvl w:val="0"/>
          <w:numId w:val="5"/>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In Quick, Lawton L.J. drew a critical distinction:</w:t>
      </w:r>
    </w:p>
    <w:p w14:paraId="007F98C3" w14:textId="77777777" w:rsidR="006536FD" w:rsidRPr="006536FD" w:rsidRDefault="006536FD" w:rsidP="006536FD">
      <w:pPr>
        <w:numPr>
          <w:ilvl w:val="1"/>
          <w:numId w:val="5"/>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Automatism arising from internal conditions or diseases (such as epilepsy) results in a verdict of insanity.</w:t>
      </w:r>
    </w:p>
    <w:p w14:paraId="3A141A5A" w14:textId="77777777" w:rsidR="006536FD" w:rsidRPr="006536FD" w:rsidRDefault="006536FD" w:rsidP="006536FD">
      <w:pPr>
        <w:numPr>
          <w:ilvl w:val="1"/>
          <w:numId w:val="5"/>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Automatism arising from external factors (such as insulin-induced hypoglycaemia) results in non-insane automatism and an outright acquittal.</w:t>
      </w:r>
    </w:p>
    <w:p w14:paraId="3043BA4D" w14:textId="77777777" w:rsidR="006536FD" w:rsidRPr="006536FD" w:rsidRDefault="006536FD" w:rsidP="006536FD">
      <w:pPr>
        <w:spacing w:before="100" w:beforeAutospacing="1" w:after="100" w:afterAutospacing="1" w:line="360" w:lineRule="auto"/>
        <w:outlineLvl w:val="2"/>
        <w:rPr>
          <w:rFonts w:ascii="Times New Roman" w:hAnsi="Times New Roman"/>
          <w:b/>
          <w:bCs/>
          <w:lang w:val="en-HK"/>
        </w:rPr>
      </w:pPr>
      <w:r w:rsidRPr="006536FD">
        <w:rPr>
          <w:rFonts w:ascii="Times New Roman" w:hAnsi="Times New Roman"/>
          <w:b/>
          <w:bCs/>
          <w:lang w:val="en-HK"/>
        </w:rPr>
        <w:t>2. Judicial Application and Complexity:</w:t>
      </w:r>
    </w:p>
    <w:p w14:paraId="314EE57B" w14:textId="77777777" w:rsidR="006536FD" w:rsidRPr="006536FD" w:rsidRDefault="006536FD" w:rsidP="006536FD">
      <w:pPr>
        <w:numPr>
          <w:ilvl w:val="0"/>
          <w:numId w:val="6"/>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lastRenderedPageBreak/>
        <w:t>The distinction between internal and external causes appears superficially straightforward but has proven highly problematic and inconsistent in application, especially regarding epilepsy.</w:t>
      </w:r>
    </w:p>
    <w:p w14:paraId="3AC65A6E" w14:textId="77777777" w:rsidR="006536FD" w:rsidRPr="006536FD" w:rsidRDefault="006536FD" w:rsidP="006536FD">
      <w:pPr>
        <w:numPr>
          <w:ilvl w:val="0"/>
          <w:numId w:val="6"/>
        </w:numPr>
        <w:spacing w:before="100" w:beforeAutospacing="1" w:after="100" w:afterAutospacing="1" w:line="360" w:lineRule="auto"/>
        <w:rPr>
          <w:rFonts w:ascii="Times New Roman" w:hAnsi="Times New Roman"/>
          <w:lang w:val="en-HK"/>
        </w:rPr>
      </w:pPr>
      <w:r w:rsidRPr="006536FD">
        <w:rPr>
          <w:rFonts w:ascii="Times New Roman" w:hAnsi="Times New Roman"/>
          <w:b/>
          <w:bCs/>
          <w:lang w:val="en-HK"/>
        </w:rPr>
        <w:t>Lord Diplock's acknowledgment in Sullivan [1984] A.C. 156</w:t>
      </w:r>
      <w:r w:rsidRPr="006536FD">
        <w:rPr>
          <w:rFonts w:ascii="Times New Roman" w:hAnsi="Times New Roman"/>
          <w:lang w:val="en-HK"/>
        </w:rPr>
        <w:t xml:space="preserve"> recognised certain cases where temporary mental impairments triggered by clear external physical factors—such as concussion or anaesthesia—should constitute non-insane automatism:</w:t>
      </w:r>
    </w:p>
    <w:p w14:paraId="6687F105" w14:textId="77777777" w:rsidR="006536FD" w:rsidRPr="006536FD" w:rsidRDefault="006536FD" w:rsidP="006536FD">
      <w:pPr>
        <w:spacing w:beforeAutospacing="1" w:afterAutospacing="1" w:line="360" w:lineRule="auto"/>
        <w:rPr>
          <w:rFonts w:ascii="Times New Roman" w:hAnsi="Times New Roman"/>
          <w:lang w:val="en-HK"/>
        </w:rPr>
      </w:pPr>
      <w:r w:rsidRPr="006536FD">
        <w:rPr>
          <w:rFonts w:ascii="Times New Roman" w:hAnsi="Times New Roman"/>
          <w:lang w:val="en-HK"/>
        </w:rPr>
        <w:t>In cases where temporary impairment results from some external physical factor such as a blow on the head causing concussion or the administration of an anaesthetic for therapeutic purposes.</w:t>
      </w:r>
    </w:p>
    <w:p w14:paraId="08363C77" w14:textId="77777777" w:rsidR="006536FD" w:rsidRPr="006536FD" w:rsidRDefault="006536FD" w:rsidP="006536FD">
      <w:pPr>
        <w:numPr>
          <w:ilvl w:val="0"/>
          <w:numId w:val="6"/>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However, Lord Diplock’s reasoning in Sullivan failed to extend this external factor rationale explicitly to epilepsy, categorising epilepsy firmly within the insanity defence, despite potential external triggers.</w:t>
      </w:r>
    </w:p>
    <w:p w14:paraId="23BA4712" w14:textId="77777777" w:rsidR="006536FD" w:rsidRPr="006536FD" w:rsidRDefault="006536FD" w:rsidP="006536FD">
      <w:pPr>
        <w:spacing w:before="100" w:beforeAutospacing="1" w:after="100" w:afterAutospacing="1" w:line="360" w:lineRule="auto"/>
        <w:outlineLvl w:val="2"/>
        <w:rPr>
          <w:rFonts w:ascii="Times New Roman" w:hAnsi="Times New Roman"/>
          <w:b/>
          <w:bCs/>
          <w:lang w:val="en-HK"/>
        </w:rPr>
      </w:pPr>
      <w:r w:rsidRPr="006536FD">
        <w:rPr>
          <w:rFonts w:ascii="Times New Roman" w:hAnsi="Times New Roman"/>
          <w:b/>
          <w:bCs/>
          <w:lang w:val="en-HK"/>
        </w:rPr>
        <w:t>3. Issues with the External Factor Doctrine in Epilepsy Cases:</w:t>
      </w:r>
    </w:p>
    <w:p w14:paraId="3C454CF7" w14:textId="77777777" w:rsidR="006536FD" w:rsidRPr="006536FD" w:rsidRDefault="006536FD" w:rsidP="006536FD">
      <w:pPr>
        <w:numPr>
          <w:ilvl w:val="0"/>
          <w:numId w:val="7"/>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Epilepsy exemplifies the complexities surrounding the internal/external dichotomy. Seizures may result spontaneously (internal) or be triggered by external factors such as alcohol consumption, stress, lack of medication, or sensory stimulation (e.g., flashing lights).</w:t>
      </w:r>
    </w:p>
    <w:p w14:paraId="49A667E3" w14:textId="77777777" w:rsidR="006536FD" w:rsidRPr="006536FD" w:rsidRDefault="006536FD" w:rsidP="006536FD">
      <w:pPr>
        <w:numPr>
          <w:ilvl w:val="0"/>
          <w:numId w:val="7"/>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The document highlights scholarly critiques that the external factor doctrine is:</w:t>
      </w:r>
    </w:p>
    <w:p w14:paraId="0FEC463C" w14:textId="77777777" w:rsidR="006536FD" w:rsidRPr="006536FD" w:rsidRDefault="006536FD" w:rsidP="006536FD">
      <w:pPr>
        <w:numPr>
          <w:ilvl w:val="1"/>
          <w:numId w:val="7"/>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Arbitrary and overly restrictive in its application to epilepsy.</w:t>
      </w:r>
    </w:p>
    <w:p w14:paraId="764F2C4F" w14:textId="77777777" w:rsidR="006536FD" w:rsidRPr="006536FD" w:rsidRDefault="006536FD" w:rsidP="006536FD">
      <w:pPr>
        <w:numPr>
          <w:ilvl w:val="1"/>
          <w:numId w:val="7"/>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Unjustly discriminates against epileptics compared to defendants with other medical conditions (such as diabetics and sleepwalkers).</w:t>
      </w:r>
    </w:p>
    <w:p w14:paraId="5663BB99" w14:textId="77777777" w:rsidR="006536FD" w:rsidRPr="006536FD" w:rsidRDefault="006536FD" w:rsidP="006536FD">
      <w:pPr>
        <w:numPr>
          <w:ilvl w:val="0"/>
          <w:numId w:val="7"/>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Specifically, scholars argue that if external triggers such as alcohol or stress can qualify sleepwalking or diabetic episodes for sane automatism (and thus outright acquittal), logically the same flexibility should apply to epilepsy:</w:t>
      </w:r>
    </w:p>
    <w:p w14:paraId="4B20C1CF"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 xml:space="preserve">In </w:t>
      </w:r>
      <w:r w:rsidRPr="006536FD">
        <w:rPr>
          <w:rFonts w:ascii="Times New Roman" w:hAnsi="Times New Roman"/>
          <w:b/>
          <w:bCs/>
          <w:lang w:val="en-HK"/>
        </w:rPr>
        <w:t>R v Pooley (unreported, 2007)</w:t>
      </w:r>
      <w:r w:rsidRPr="006536FD">
        <w:rPr>
          <w:rFonts w:ascii="Times New Roman" w:hAnsi="Times New Roman"/>
          <w:lang w:val="en-HK"/>
        </w:rPr>
        <w:t xml:space="preserve">, the defendant successfully raised sane automatism due to sleepwalking precipitated by alcohol and environmental changes. Judge </w:t>
      </w:r>
      <w:proofErr w:type="spellStart"/>
      <w:r w:rsidRPr="006536FD">
        <w:rPr>
          <w:rFonts w:ascii="Times New Roman" w:hAnsi="Times New Roman"/>
          <w:lang w:val="en-HK"/>
        </w:rPr>
        <w:t>Tyrer</w:t>
      </w:r>
      <w:proofErr w:type="spellEnd"/>
      <w:r w:rsidRPr="006536FD">
        <w:rPr>
          <w:rFonts w:ascii="Times New Roman" w:hAnsi="Times New Roman"/>
          <w:lang w:val="en-HK"/>
        </w:rPr>
        <w:t xml:space="preserve"> explicitly allowed the jury to consider sane automatism, even though intoxication was self-induced, resulting in an acquittal.</w:t>
      </w:r>
    </w:p>
    <w:p w14:paraId="42B80B40" w14:textId="77777777" w:rsidR="006536FD" w:rsidRPr="006536FD" w:rsidRDefault="006536FD" w:rsidP="006536FD">
      <w:pPr>
        <w:numPr>
          <w:ilvl w:val="0"/>
          <w:numId w:val="7"/>
        </w:numPr>
        <w:spacing w:before="100" w:beforeAutospacing="1" w:after="100" w:afterAutospacing="1" w:line="360" w:lineRule="auto"/>
        <w:rPr>
          <w:rFonts w:ascii="Times New Roman" w:hAnsi="Times New Roman"/>
          <w:b/>
          <w:bCs/>
          <w:lang w:val="en-HK"/>
        </w:rPr>
      </w:pPr>
      <w:r w:rsidRPr="006536FD">
        <w:rPr>
          <w:rFonts w:ascii="Times New Roman" w:hAnsi="Times New Roman"/>
          <w:lang w:val="en-HK"/>
        </w:rPr>
        <w:lastRenderedPageBreak/>
        <w:t xml:space="preserve">Conversely, </w:t>
      </w:r>
      <w:r w:rsidRPr="006536FD">
        <w:rPr>
          <w:rFonts w:ascii="Times New Roman" w:hAnsi="Times New Roman"/>
          <w:b/>
          <w:bCs/>
          <w:lang w:val="en-HK"/>
        </w:rPr>
        <w:t>R v Burgess [1991] 2 All E.R. 769</w:t>
      </w:r>
      <w:r w:rsidRPr="006536FD">
        <w:rPr>
          <w:rFonts w:ascii="Times New Roman" w:hAnsi="Times New Roman"/>
          <w:lang w:val="en-HK"/>
        </w:rPr>
        <w:t xml:space="preserve"> refused to categorise sleepwalking as sane automatism, despite arguments that sleep is a normal condition. </w:t>
      </w:r>
      <w:r w:rsidRPr="006536FD">
        <w:rPr>
          <w:rFonts w:ascii="Times New Roman" w:hAnsi="Times New Roman"/>
          <w:b/>
          <w:bCs/>
          <w:lang w:val="en-HK"/>
        </w:rPr>
        <w:t>The court firmly classified violent sleepwalking episodes as abnormal, constituting insanity rather than sane automatism:</w:t>
      </w:r>
    </w:p>
    <w:p w14:paraId="2994630E" w14:textId="77777777" w:rsidR="006536FD" w:rsidRPr="006536FD" w:rsidRDefault="006536FD" w:rsidP="006536FD">
      <w:pPr>
        <w:spacing w:beforeAutospacing="1" w:afterAutospacing="1" w:line="360" w:lineRule="auto"/>
        <w:rPr>
          <w:rFonts w:ascii="Times New Roman" w:hAnsi="Times New Roman"/>
          <w:b/>
          <w:bCs/>
          <w:lang w:val="en-HK"/>
        </w:rPr>
      </w:pPr>
      <w:r w:rsidRPr="006536FD">
        <w:rPr>
          <w:rFonts w:ascii="Times New Roman" w:hAnsi="Times New Roman"/>
          <w:b/>
          <w:bCs/>
          <w:lang w:val="en-HK"/>
        </w:rPr>
        <w:t>Sleepwalking, and particularly violence in sleep, is not normal.</w:t>
      </w:r>
    </w:p>
    <w:p w14:paraId="3CA8CA88" w14:textId="77777777" w:rsidR="006536FD" w:rsidRPr="006536FD" w:rsidRDefault="006536FD" w:rsidP="006536FD">
      <w:pPr>
        <w:numPr>
          <w:ilvl w:val="0"/>
          <w:numId w:val="7"/>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Notwithstanding Burgess, Pooley reveals judicial willingness to circumvent strict applications of the insanity doctrine by allowing juries discretion through identifying external factors.</w:t>
      </w:r>
    </w:p>
    <w:p w14:paraId="326E90F5" w14:textId="77777777" w:rsidR="006536FD" w:rsidRPr="006536FD" w:rsidRDefault="006536FD" w:rsidP="006536FD">
      <w:pPr>
        <w:spacing w:before="100" w:beforeAutospacing="1" w:after="100" w:afterAutospacing="1" w:line="360" w:lineRule="auto"/>
        <w:outlineLvl w:val="2"/>
        <w:rPr>
          <w:rFonts w:ascii="Times New Roman" w:hAnsi="Times New Roman"/>
          <w:b/>
          <w:bCs/>
          <w:lang w:val="en-HK"/>
        </w:rPr>
      </w:pPr>
      <w:r w:rsidRPr="006536FD">
        <w:rPr>
          <w:rFonts w:ascii="Times New Roman" w:hAnsi="Times New Roman"/>
          <w:b/>
          <w:bCs/>
          <w:lang w:val="en-HK"/>
        </w:rPr>
        <w:t>4. Inconsistencies Highlighted by Case Law:</w:t>
      </w:r>
    </w:p>
    <w:p w14:paraId="56BBE0C4"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b/>
          <w:bCs/>
          <w:lang w:val="en-HK"/>
        </w:rPr>
        <w:t>R v Quick [1973] Q.B. 910</w:t>
      </w:r>
      <w:r w:rsidRPr="006536FD">
        <w:rPr>
          <w:rFonts w:ascii="Times New Roman" w:hAnsi="Times New Roman"/>
          <w:lang w:val="en-HK"/>
        </w:rPr>
        <w:t>:</w:t>
      </w:r>
    </w:p>
    <w:p w14:paraId="00AAB046"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Facts: Defendant Quick, a diabetic, attacked a victim during a hypoglycaemic state induced by external administration of insulin.</w:t>
      </w:r>
    </w:p>
    <w:p w14:paraId="2F392494"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Held: Court of Appeal found automatism to be externally induced, allowing outright acquittal.</w:t>
      </w:r>
    </w:p>
    <w:p w14:paraId="3E3D0F9E"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Important judicial note: Quick experienced repeated hypoglycaemic episodes (12 hospitalisations), yet still benefited from external-factor-based sane automatism, despite clear susceptibility.</w:t>
      </w:r>
    </w:p>
    <w:p w14:paraId="478CFB2D" w14:textId="77777777" w:rsidR="006536FD" w:rsidRPr="006536FD" w:rsidRDefault="006536FD" w:rsidP="006536FD">
      <w:pPr>
        <w:spacing w:before="100" w:beforeAutospacing="1" w:after="100" w:afterAutospacing="1" w:line="360" w:lineRule="auto"/>
        <w:rPr>
          <w:rFonts w:ascii="Times New Roman" w:hAnsi="Times New Roman"/>
          <w:b/>
          <w:bCs/>
          <w:color w:val="FF0000"/>
          <w:lang w:val="en-HK"/>
        </w:rPr>
      </w:pPr>
      <w:r w:rsidRPr="006536FD">
        <w:rPr>
          <w:rFonts w:ascii="Times New Roman" w:hAnsi="Times New Roman"/>
          <w:lang w:val="en-HK"/>
        </w:rPr>
        <w:t xml:space="preserve">By analogy, </w:t>
      </w:r>
      <w:r w:rsidRPr="006536FD">
        <w:rPr>
          <w:rFonts w:ascii="Times New Roman" w:hAnsi="Times New Roman"/>
          <w:b/>
          <w:bCs/>
          <w:color w:val="FF0000"/>
          <w:lang w:val="en-HK"/>
        </w:rPr>
        <w:t>epilepsy sufferers, who similarly experience repeated susceptibility to external triggers, should logically also benefit from sane automatism when external factors play a role:</w:t>
      </w:r>
    </w:p>
    <w:p w14:paraId="068CB642"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Photosensitive epilepsy provides a clear parallel. Exposure to external stimuli (e.g., flashing lights associated with controversies such as the London Olympic logo in 2007) can directly trigger seizures. The scholars argue strongly that it is unjustifiable to classify such episodes automatically as insane automatism.</w:t>
      </w:r>
    </w:p>
    <w:p w14:paraId="5F38AB56" w14:textId="77777777" w:rsidR="006536FD" w:rsidRPr="006536FD" w:rsidRDefault="006536FD" w:rsidP="006536FD">
      <w:pPr>
        <w:numPr>
          <w:ilvl w:val="0"/>
          <w:numId w:val="8"/>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Court of Appeal commentary in Sullivan noted a potentially critical external factor: defendant’s failure to adhere strictly to antiepileptic medication, possibly due to a misunderstanding:</w:t>
      </w:r>
    </w:p>
    <w:p w14:paraId="1C11E646" w14:textId="77777777" w:rsidR="006536FD" w:rsidRPr="006536FD" w:rsidRDefault="006536FD" w:rsidP="006536FD">
      <w:pPr>
        <w:spacing w:beforeAutospacing="1" w:afterAutospacing="1" w:line="360" w:lineRule="auto"/>
        <w:rPr>
          <w:rFonts w:ascii="Times New Roman" w:hAnsi="Times New Roman"/>
          <w:lang w:val="en-HK"/>
        </w:rPr>
      </w:pPr>
      <w:r w:rsidRPr="006536FD">
        <w:rPr>
          <w:rFonts w:ascii="Times New Roman" w:hAnsi="Times New Roman"/>
          <w:lang w:val="en-HK"/>
        </w:rPr>
        <w:lastRenderedPageBreak/>
        <w:t>There were medical reasons to believe that he had not been taking the full dosage which had been prescribed for him, but this may have been due to a misunderstanding between him and the hospital.</w:t>
      </w:r>
    </w:p>
    <w:p w14:paraId="75BBD1B6" w14:textId="77777777" w:rsidR="006536FD" w:rsidRPr="006536FD" w:rsidRDefault="006536FD" w:rsidP="006536FD">
      <w:pPr>
        <w:numPr>
          <w:ilvl w:val="0"/>
          <w:numId w:val="8"/>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Scholars argue this scenario provides compelling grounds for classifying seizures as externally influenced, thus meriting sane automatism rather than insanity.</w:t>
      </w:r>
    </w:p>
    <w:p w14:paraId="41691B7E" w14:textId="77777777" w:rsidR="006536FD" w:rsidRPr="006536FD" w:rsidRDefault="006536FD" w:rsidP="006536FD">
      <w:pPr>
        <w:spacing w:before="100" w:beforeAutospacing="1" w:after="100" w:afterAutospacing="1" w:line="360" w:lineRule="auto"/>
        <w:outlineLvl w:val="2"/>
        <w:rPr>
          <w:rFonts w:ascii="Times New Roman" w:hAnsi="Times New Roman"/>
          <w:b/>
          <w:bCs/>
          <w:lang w:val="en-HK"/>
        </w:rPr>
      </w:pPr>
      <w:r w:rsidRPr="006536FD">
        <w:rPr>
          <w:rFonts w:ascii="Times New Roman" w:hAnsi="Times New Roman"/>
          <w:b/>
          <w:bCs/>
          <w:lang w:val="en-HK"/>
        </w:rPr>
        <w:t>5. Scholarly Critique and Call for Reform:</w:t>
      </w:r>
    </w:p>
    <w:p w14:paraId="78508BA9"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b/>
          <w:bCs/>
          <w:color w:val="FF0000"/>
          <w:lang w:val="en-HK"/>
        </w:rPr>
        <w:t>Scholars strongly criticise the external factor doctrine for epilepsy as conceptually unsound, unfair, and medically ignorant.</w:t>
      </w:r>
      <w:r w:rsidRPr="006536FD">
        <w:rPr>
          <w:rFonts w:ascii="Times New Roman" w:hAnsi="Times New Roman"/>
          <w:lang w:val="en-HK"/>
        </w:rPr>
        <w:t xml:space="preserve"> It creates arbitrary distinctions between similarly situated defendants:</w:t>
      </w:r>
    </w:p>
    <w:p w14:paraId="450AB8E5" w14:textId="77777777" w:rsidR="006536FD" w:rsidRPr="006536FD" w:rsidRDefault="006536FD" w:rsidP="006536FD">
      <w:pPr>
        <w:numPr>
          <w:ilvl w:val="1"/>
          <w:numId w:val="9"/>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The current doctrine unjustly favours conditions like diabetes (Quick) over epilepsy (Sullivan), despite both involving external triggers and repeated susceptibility.</w:t>
      </w:r>
    </w:p>
    <w:p w14:paraId="4764159D" w14:textId="77777777" w:rsidR="006536FD" w:rsidRPr="006536FD" w:rsidRDefault="006536FD" w:rsidP="006536FD">
      <w:pPr>
        <w:numPr>
          <w:ilvl w:val="1"/>
          <w:numId w:val="9"/>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Judicial distinctions are often medically inconsistent and legally arbitrary, highlighting a fundamental flaw in the doctrine’s structure and application.</w:t>
      </w:r>
    </w:p>
    <w:p w14:paraId="659DFB81"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 xml:space="preserve">Mackay and </w:t>
      </w:r>
      <w:proofErr w:type="spellStart"/>
      <w:r w:rsidRPr="006536FD">
        <w:rPr>
          <w:rFonts w:ascii="Times New Roman" w:hAnsi="Times New Roman"/>
          <w:lang w:val="en-HK"/>
        </w:rPr>
        <w:t>Reuber</w:t>
      </w:r>
      <w:proofErr w:type="spellEnd"/>
      <w:r w:rsidRPr="006536FD">
        <w:rPr>
          <w:rFonts w:ascii="Times New Roman" w:hAnsi="Times New Roman"/>
          <w:lang w:val="en-HK"/>
        </w:rPr>
        <w:t xml:space="preserve"> conclude by advocating explicitly for comprehensive reform:</w:t>
      </w:r>
    </w:p>
    <w:p w14:paraId="78C66B09" w14:textId="77777777" w:rsidR="006536FD" w:rsidRPr="006536FD" w:rsidRDefault="006536FD" w:rsidP="006536FD">
      <w:pPr>
        <w:numPr>
          <w:ilvl w:val="1"/>
          <w:numId w:val="9"/>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Suggest that the external factor doctrine is inherently flawed, overly complex, and incapable of delivering consistent justice.</w:t>
      </w:r>
    </w:p>
    <w:p w14:paraId="6F053D0A" w14:textId="77777777" w:rsidR="006536FD" w:rsidRPr="006536FD" w:rsidRDefault="006536FD" w:rsidP="006536FD">
      <w:pPr>
        <w:numPr>
          <w:ilvl w:val="1"/>
          <w:numId w:val="9"/>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Call urgently for its abandonment and for a fundamental review of the entire insanity defence framework, replacing the stigmatising and outdated label "insanity" with terminology that aligns closely with modern medical understandings and contemporary social values.</w:t>
      </w:r>
    </w:p>
    <w:p w14:paraId="3703A3BE" w14:textId="77777777" w:rsidR="006536FD" w:rsidRPr="006536FD" w:rsidRDefault="006536FD" w:rsidP="006536FD">
      <w:pPr>
        <w:numPr>
          <w:ilvl w:val="0"/>
          <w:numId w:val="9"/>
        </w:numPr>
        <w:spacing w:before="100" w:beforeAutospacing="1" w:after="100" w:afterAutospacing="1" w:line="360" w:lineRule="auto"/>
        <w:rPr>
          <w:rFonts w:ascii="Times New Roman" w:hAnsi="Times New Roman"/>
          <w:lang w:val="en-HK"/>
        </w:rPr>
      </w:pPr>
      <w:r w:rsidRPr="006536FD">
        <w:rPr>
          <w:rFonts w:ascii="Times New Roman" w:hAnsi="Times New Roman"/>
          <w:lang w:val="en-HK"/>
        </w:rPr>
        <w:t>They recommend explicitly that the Law Commission should prioritise addressing these evident deficiencies, proposing legislative change to destigmatise defendants with epilepsy and similar conditions:</w:t>
      </w:r>
    </w:p>
    <w:p w14:paraId="21AD7449" w14:textId="77777777" w:rsidR="006536FD" w:rsidRPr="006536FD" w:rsidRDefault="006536FD" w:rsidP="006536FD">
      <w:pPr>
        <w:spacing w:before="100" w:beforeAutospacing="1" w:after="100" w:afterAutospacing="1" w:line="360" w:lineRule="auto"/>
        <w:rPr>
          <w:rFonts w:ascii="Times New Roman" w:hAnsi="Times New Roman"/>
          <w:lang w:val="en-HK"/>
        </w:rPr>
      </w:pPr>
      <w:r w:rsidRPr="006536FD">
        <w:rPr>
          <w:rFonts w:ascii="Times New Roman" w:hAnsi="Times New Roman"/>
          <w:lang w:val="en-HK"/>
        </w:rPr>
        <w:t>Emphasise the need for legal frameworks reflecting modern medical knowledge and public attitudes towards neurological conditions, thus ensuring justice, consistency, and dignity for defendants.</w:t>
      </w:r>
    </w:p>
    <w:p w14:paraId="09E6EB6F" w14:textId="77777777" w:rsidR="001E4BD9" w:rsidRPr="001978BA" w:rsidRDefault="001E4BD9" w:rsidP="006536FD">
      <w:pPr>
        <w:spacing w:before="100" w:beforeAutospacing="1" w:after="100" w:afterAutospacing="1" w:line="360" w:lineRule="auto"/>
        <w:rPr>
          <w:rFonts w:ascii="Times New Roman" w:hAnsi="Times New Roman"/>
          <w:lang w:val="en-HK"/>
        </w:rPr>
      </w:pPr>
    </w:p>
    <w:p w14:paraId="62EED568" w14:textId="77777777" w:rsidR="00CD39F1" w:rsidRPr="006536FD" w:rsidRDefault="00CD39F1" w:rsidP="006536FD">
      <w:pPr>
        <w:spacing w:line="360" w:lineRule="auto"/>
        <w:rPr>
          <w:rFonts w:ascii="Times New Roman" w:hAnsi="Times New Roman"/>
          <w:lang w:val="en-US"/>
        </w:rPr>
      </w:pPr>
    </w:p>
    <w:sectPr w:rsidR="00CD39F1" w:rsidRPr="00653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65EB6"/>
    <w:multiLevelType w:val="multilevel"/>
    <w:tmpl w:val="A5C4D28C"/>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color w:val="auto"/>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30F44F51"/>
    <w:multiLevelType w:val="multilevel"/>
    <w:tmpl w:val="6D283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C3A19"/>
    <w:multiLevelType w:val="multilevel"/>
    <w:tmpl w:val="51D27BE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8642529"/>
    <w:multiLevelType w:val="multilevel"/>
    <w:tmpl w:val="1D88557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2A835B6"/>
    <w:multiLevelType w:val="multilevel"/>
    <w:tmpl w:val="ADE6BB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B4C4A98"/>
    <w:multiLevelType w:val="multilevel"/>
    <w:tmpl w:val="C35C5B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38771E4"/>
    <w:multiLevelType w:val="multilevel"/>
    <w:tmpl w:val="4F141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D2761"/>
    <w:multiLevelType w:val="multilevel"/>
    <w:tmpl w:val="E578D7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3AA7E9E"/>
    <w:multiLevelType w:val="multilevel"/>
    <w:tmpl w:val="23828B7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61945433">
    <w:abstractNumId w:val="0"/>
  </w:num>
  <w:num w:numId="2" w16cid:durableId="690380964">
    <w:abstractNumId w:val="1"/>
  </w:num>
  <w:num w:numId="3" w16cid:durableId="1815025311">
    <w:abstractNumId w:val="6"/>
  </w:num>
  <w:num w:numId="4" w16cid:durableId="1792475561">
    <w:abstractNumId w:val="4"/>
  </w:num>
  <w:num w:numId="5" w16cid:durableId="182088804">
    <w:abstractNumId w:val="3"/>
  </w:num>
  <w:num w:numId="6" w16cid:durableId="980841085">
    <w:abstractNumId w:val="7"/>
  </w:num>
  <w:num w:numId="7" w16cid:durableId="488786295">
    <w:abstractNumId w:val="2"/>
  </w:num>
  <w:num w:numId="8" w16cid:durableId="380253388">
    <w:abstractNumId w:val="5"/>
  </w:num>
  <w:num w:numId="9" w16cid:durableId="2000377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3B"/>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978BA"/>
    <w:rsid w:val="001A41D2"/>
    <w:rsid w:val="001B0E31"/>
    <w:rsid w:val="001D360C"/>
    <w:rsid w:val="001E2584"/>
    <w:rsid w:val="001E4BD9"/>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2BEA"/>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2E3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36FD"/>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A303"/>
  <w15:chartTrackingRefBased/>
  <w15:docId w15:val="{5F728E17-E378-1442-82A4-A81F936E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92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2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2E3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E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2E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2E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2E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2E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2E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E3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592E3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92E3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592E3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92E3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92E3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92E3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92E3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92E3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92E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E3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92E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E3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92E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2E3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92E3B"/>
    <w:pPr>
      <w:ind w:left="720"/>
      <w:contextualSpacing/>
    </w:pPr>
  </w:style>
  <w:style w:type="character" w:styleId="IntenseEmphasis">
    <w:name w:val="Intense Emphasis"/>
    <w:basedOn w:val="DefaultParagraphFont"/>
    <w:uiPriority w:val="21"/>
    <w:qFormat/>
    <w:rsid w:val="00592E3B"/>
    <w:rPr>
      <w:i/>
      <w:iCs/>
      <w:color w:val="2F5496" w:themeColor="accent1" w:themeShade="BF"/>
    </w:rPr>
  </w:style>
  <w:style w:type="paragraph" w:styleId="IntenseQuote">
    <w:name w:val="Intense Quote"/>
    <w:basedOn w:val="Normal"/>
    <w:next w:val="Normal"/>
    <w:link w:val="IntenseQuoteChar"/>
    <w:uiPriority w:val="30"/>
    <w:qFormat/>
    <w:rsid w:val="00592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E3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92E3B"/>
    <w:rPr>
      <w:b/>
      <w:bCs/>
      <w:smallCaps/>
      <w:color w:val="2F5496" w:themeColor="accent1" w:themeShade="BF"/>
      <w:spacing w:val="5"/>
    </w:rPr>
  </w:style>
  <w:style w:type="character" w:styleId="Strong">
    <w:name w:val="Strong"/>
    <w:basedOn w:val="DefaultParagraphFont"/>
    <w:uiPriority w:val="22"/>
    <w:qFormat/>
    <w:rsid w:val="001978BA"/>
    <w:rPr>
      <w:b/>
      <w:bCs/>
    </w:rPr>
  </w:style>
  <w:style w:type="paragraph" w:styleId="NormalWeb">
    <w:name w:val="Normal (Web)"/>
    <w:basedOn w:val="Normal"/>
    <w:uiPriority w:val="99"/>
    <w:semiHidden/>
    <w:unhideWhenUsed/>
    <w:rsid w:val="001E4BD9"/>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29108">
      <w:bodyDiv w:val="1"/>
      <w:marLeft w:val="0"/>
      <w:marRight w:val="0"/>
      <w:marTop w:val="0"/>
      <w:marBottom w:val="0"/>
      <w:divBdr>
        <w:top w:val="none" w:sz="0" w:space="0" w:color="auto"/>
        <w:left w:val="none" w:sz="0" w:space="0" w:color="auto"/>
        <w:bottom w:val="none" w:sz="0" w:space="0" w:color="auto"/>
        <w:right w:val="none" w:sz="0" w:space="0" w:color="auto"/>
      </w:divBdr>
      <w:divsChild>
        <w:div w:id="906571659">
          <w:marLeft w:val="0"/>
          <w:marRight w:val="0"/>
          <w:marTop w:val="0"/>
          <w:marBottom w:val="0"/>
          <w:divBdr>
            <w:top w:val="none" w:sz="0" w:space="0" w:color="auto"/>
            <w:left w:val="none" w:sz="0" w:space="0" w:color="auto"/>
            <w:bottom w:val="none" w:sz="0" w:space="0" w:color="auto"/>
            <w:right w:val="none" w:sz="0" w:space="0" w:color="auto"/>
          </w:divBdr>
          <w:divsChild>
            <w:div w:id="1993677250">
              <w:marLeft w:val="0"/>
              <w:marRight w:val="0"/>
              <w:marTop w:val="0"/>
              <w:marBottom w:val="0"/>
              <w:divBdr>
                <w:top w:val="none" w:sz="0" w:space="0" w:color="auto"/>
                <w:left w:val="none" w:sz="0" w:space="0" w:color="auto"/>
                <w:bottom w:val="none" w:sz="0" w:space="0" w:color="auto"/>
                <w:right w:val="none" w:sz="0" w:space="0" w:color="auto"/>
              </w:divBdr>
              <w:divsChild>
                <w:div w:id="2700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3987">
      <w:bodyDiv w:val="1"/>
      <w:marLeft w:val="0"/>
      <w:marRight w:val="0"/>
      <w:marTop w:val="0"/>
      <w:marBottom w:val="0"/>
      <w:divBdr>
        <w:top w:val="none" w:sz="0" w:space="0" w:color="auto"/>
        <w:left w:val="none" w:sz="0" w:space="0" w:color="auto"/>
        <w:bottom w:val="none" w:sz="0" w:space="0" w:color="auto"/>
        <w:right w:val="none" w:sz="0" w:space="0" w:color="auto"/>
      </w:divBdr>
    </w:div>
    <w:div w:id="1156530045">
      <w:bodyDiv w:val="1"/>
      <w:marLeft w:val="0"/>
      <w:marRight w:val="0"/>
      <w:marTop w:val="0"/>
      <w:marBottom w:val="0"/>
      <w:divBdr>
        <w:top w:val="none" w:sz="0" w:space="0" w:color="auto"/>
        <w:left w:val="none" w:sz="0" w:space="0" w:color="auto"/>
        <w:bottom w:val="none" w:sz="0" w:space="0" w:color="auto"/>
        <w:right w:val="none" w:sz="0" w:space="0" w:color="auto"/>
      </w:divBdr>
      <w:divsChild>
        <w:div w:id="106432781">
          <w:blockQuote w:val="1"/>
          <w:marLeft w:val="720"/>
          <w:marRight w:val="720"/>
          <w:marTop w:val="100"/>
          <w:marBottom w:val="100"/>
          <w:divBdr>
            <w:top w:val="none" w:sz="0" w:space="0" w:color="auto"/>
            <w:left w:val="none" w:sz="0" w:space="0" w:color="auto"/>
            <w:bottom w:val="none" w:sz="0" w:space="0" w:color="auto"/>
            <w:right w:val="none" w:sz="0" w:space="0" w:color="auto"/>
          </w:divBdr>
        </w:div>
        <w:div w:id="24156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530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67919">
      <w:bodyDiv w:val="1"/>
      <w:marLeft w:val="0"/>
      <w:marRight w:val="0"/>
      <w:marTop w:val="0"/>
      <w:marBottom w:val="0"/>
      <w:divBdr>
        <w:top w:val="none" w:sz="0" w:space="0" w:color="auto"/>
        <w:left w:val="none" w:sz="0" w:space="0" w:color="auto"/>
        <w:bottom w:val="none" w:sz="0" w:space="0" w:color="auto"/>
        <w:right w:val="none" w:sz="0" w:space="0" w:color="auto"/>
      </w:divBdr>
      <w:divsChild>
        <w:div w:id="98258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3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60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58713685">
          <w:blockQuote w:val="1"/>
          <w:marLeft w:val="720"/>
          <w:marRight w:val="720"/>
          <w:marTop w:val="100"/>
          <w:marBottom w:val="100"/>
          <w:divBdr>
            <w:top w:val="none" w:sz="0" w:space="0" w:color="auto"/>
            <w:left w:val="none" w:sz="0" w:space="0" w:color="auto"/>
            <w:bottom w:val="none" w:sz="0" w:space="0" w:color="auto"/>
            <w:right w:val="none" w:sz="0" w:space="0" w:color="auto"/>
          </w:divBdr>
        </w:div>
        <w:div w:id="31938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2157</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2025-02-24T13:22:00Z</dcterms:created>
  <dcterms:modified xsi:type="dcterms:W3CDTF">2025-02-24T13:55:00Z</dcterms:modified>
</cp:coreProperties>
</file>