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4C155" w14:textId="77777777" w:rsidR="00370ABF" w:rsidRPr="00370ABF" w:rsidRDefault="00370ABF" w:rsidP="00370ABF">
      <w:pPr>
        <w:spacing w:after="240" w:line="360" w:lineRule="auto"/>
        <w:outlineLvl w:val="2"/>
        <w:rPr>
          <w:rFonts w:ascii="Times New Roman" w:hAnsi="Times New Roman"/>
          <w:b/>
          <w:bCs/>
          <w:lang w:val="en-HK"/>
        </w:rPr>
      </w:pPr>
      <w:r w:rsidRPr="00370ABF">
        <w:rPr>
          <w:rFonts w:ascii="Times New Roman" w:hAnsi="Times New Roman"/>
          <w:b/>
          <w:bCs/>
          <w:lang w:val="en-HK"/>
        </w:rPr>
        <w:t>The Number of NGRI Findings</w:t>
      </w:r>
    </w:p>
    <w:p w14:paraId="2BB4D73B" w14:textId="0DBF5328" w:rsidR="00370ABF" w:rsidRPr="00370ABF" w:rsidRDefault="00370ABF" w:rsidP="00370ABF">
      <w:pPr>
        <w:spacing w:after="240" w:line="360" w:lineRule="auto"/>
        <w:rPr>
          <w:rFonts w:ascii="Times New Roman" w:hAnsi="Times New Roman"/>
          <w:lang w:val="en-HK"/>
        </w:rPr>
      </w:pPr>
      <w:r w:rsidRPr="00370ABF">
        <w:rPr>
          <w:rFonts w:ascii="Times New Roman" w:hAnsi="Times New Roman"/>
          <w:lang w:val="en-HK"/>
        </w:rPr>
        <w:t xml:space="preserve">The section on the number of findings of "not guilty by reason of insanity" (NGRI) provides a comprehensive statistical analysis of NGRI verdicts in England and Wales over a 24-year period from 1987 to 2011, with a particular focus on the decade from 2002 to 2011. The study traces the evolution of NGRI verdicts under two key legislative frameworks: the </w:t>
      </w:r>
      <w:r w:rsidRPr="00370ABF">
        <w:rPr>
          <w:rFonts w:ascii="Times New Roman" w:hAnsi="Times New Roman"/>
          <w:i/>
          <w:iCs/>
          <w:lang w:val="en-HK"/>
        </w:rPr>
        <w:t>Criminal Procedure (Insanity) Act 1964</w:t>
      </w:r>
      <w:r w:rsidRPr="00370ABF">
        <w:rPr>
          <w:rFonts w:ascii="Times New Roman" w:hAnsi="Times New Roman"/>
          <w:lang w:val="en-HK"/>
        </w:rPr>
        <w:t xml:space="preserve"> and its successor, the </w:t>
      </w:r>
      <w:r w:rsidRPr="00370ABF">
        <w:rPr>
          <w:rFonts w:ascii="Times New Roman" w:hAnsi="Times New Roman"/>
          <w:i/>
          <w:iCs/>
          <w:lang w:val="en-HK"/>
        </w:rPr>
        <w:t>Criminal Procedure (Insanity and Unfitness to Plead) Act 1991</w:t>
      </w:r>
      <w:r w:rsidRPr="00370ABF">
        <w:rPr>
          <w:rFonts w:ascii="Times New Roman" w:hAnsi="Times New Roman"/>
          <w:lang w:val="en-HK"/>
        </w:rPr>
        <w:t>. Under the 1964 Act, the mandatory disposal of indeterminate hospitalization deterred the use of the insanity defence, resulting in an average of only 4 NGRI verdicts annually from 1987 to 1991 (with a total of 20 cases over five years). The 1991 Act introduced flexibility in disposals, which correlated with a modest but consistent increase in NGRI findings over the subsequent two decades.</w:t>
      </w:r>
    </w:p>
    <w:p w14:paraId="62EB99A8" w14:textId="77777777" w:rsidR="00370ABF" w:rsidRPr="00370ABF" w:rsidRDefault="00370ABF" w:rsidP="00370ABF">
      <w:pPr>
        <w:spacing w:after="240" w:line="360" w:lineRule="auto"/>
        <w:rPr>
          <w:rFonts w:ascii="Times New Roman" w:hAnsi="Times New Roman"/>
          <w:lang w:val="en-HK"/>
        </w:rPr>
      </w:pPr>
      <w:r w:rsidRPr="00370ABF">
        <w:rPr>
          <w:rFonts w:ascii="Times New Roman" w:hAnsi="Times New Roman"/>
          <w:lang w:val="en-HK"/>
        </w:rPr>
        <w:t xml:space="preserve">For the period 1992–2001, covered in Mackay’s earlier studies, the annual average rose to 17.95 NGRI verdicts, </w:t>
      </w:r>
      <w:proofErr w:type="spellStart"/>
      <w:r w:rsidRPr="00370ABF">
        <w:rPr>
          <w:rFonts w:ascii="Times New Roman" w:hAnsi="Times New Roman"/>
          <w:lang w:val="en-HK"/>
        </w:rPr>
        <w:t>totaling</w:t>
      </w:r>
      <w:proofErr w:type="spellEnd"/>
      <w:r w:rsidRPr="00370ABF">
        <w:rPr>
          <w:rFonts w:ascii="Times New Roman" w:hAnsi="Times New Roman"/>
          <w:lang w:val="en-HK"/>
        </w:rPr>
        <w:t xml:space="preserve"> 359 cases over 20 years. The current study (2002–2011) reports a further increase, with a total of 223 NGRI verdicts, yielding an annual average of 22.3. This marks the first time the annual average exceeded 20, with a peak of 34 verdicts in 2011—the highest recorded in the study’s timeframe. The data indicate a gradual upward trend, though the rate of increase has decelerated. For instance, the percentage increase in NGRI findings across successive five-year periods under the 1991 Act declined from 120% (1992–1996) to 20.8% (2007–2011), suggesting a potential stabilization.</w:t>
      </w:r>
    </w:p>
    <w:p w14:paraId="673D6101" w14:textId="7438B936" w:rsidR="00370ABF" w:rsidRPr="00370ABF" w:rsidRDefault="00370ABF" w:rsidP="00370ABF">
      <w:pPr>
        <w:spacing w:after="240" w:line="360" w:lineRule="auto"/>
        <w:rPr>
          <w:rFonts w:ascii="Times New Roman" w:hAnsi="Times New Roman" w:hint="eastAsia"/>
          <w:lang w:val="en-HK"/>
        </w:rPr>
      </w:pPr>
      <w:r w:rsidRPr="00370ABF">
        <w:rPr>
          <w:rFonts w:ascii="Times New Roman" w:hAnsi="Times New Roman"/>
          <w:lang w:val="en-HK"/>
        </w:rPr>
        <w:t>Mackay attributes this rise to the legislative shift from the rigid disposal regime of the 1964 Act to the discretionary options under the 1991 Act, though he notes limitations in the current study due to restricted access to court files and psychiatric reports, unlike his prior research. He relies instead on Ministry of Justice statistical returns, acknowledging minor inconsistencies (e.g., a discrepancy between 64 restriction orders in this study versus 68 reported by the Ministry for 2002–2011, attributed to dating differences in hospital warrants). Despite these caveats, the findings affirm a slow but steady growth in the use of the insanity defence, albeit remaining "surprisingly low" in absolute terms, as noted by the Law Commission in its 2012 Scoping Paper (para. 1.48).</w:t>
      </w:r>
    </w:p>
    <w:p w14:paraId="38BF637E" w14:textId="77777777" w:rsidR="00370ABF" w:rsidRPr="00370ABF" w:rsidRDefault="009D6911" w:rsidP="00370ABF">
      <w:pPr>
        <w:spacing w:after="240" w:line="360" w:lineRule="auto"/>
        <w:rPr>
          <w:rFonts w:ascii="Times New Roman" w:hAnsi="Times New Roman"/>
          <w:lang w:val="en-HK"/>
        </w:rPr>
      </w:pPr>
      <w:r w:rsidRPr="009D6911">
        <w:rPr>
          <w:rFonts w:ascii="Times New Roman" w:hAnsi="Times New Roman"/>
          <w:noProof/>
          <w:lang w:val="en-HK"/>
          <w14:ligatures w14:val="standardContextual"/>
        </w:rPr>
        <w:pict w14:anchorId="727F0DD0">
          <v:rect id="_x0000_i1029" alt="" style="width:451.3pt;height:.05pt;mso-width-percent:0;mso-height-percent:0;mso-width-percent:0;mso-height-percent:0" o:hralign="center" o:hrstd="t" o:hr="t" fillcolor="#a0a0a0" stroked="f"/>
        </w:pict>
      </w:r>
    </w:p>
    <w:p w14:paraId="2158A37B" w14:textId="77777777" w:rsidR="00370ABF" w:rsidRPr="00370ABF" w:rsidRDefault="00370ABF" w:rsidP="00370ABF">
      <w:pPr>
        <w:spacing w:after="240" w:line="360" w:lineRule="auto"/>
        <w:outlineLvl w:val="2"/>
        <w:rPr>
          <w:rFonts w:ascii="Times New Roman" w:hAnsi="Times New Roman"/>
          <w:b/>
          <w:bCs/>
          <w:lang w:val="en-HK"/>
        </w:rPr>
      </w:pPr>
      <w:r w:rsidRPr="00370ABF">
        <w:rPr>
          <w:rFonts w:ascii="Times New Roman" w:hAnsi="Times New Roman"/>
          <w:b/>
          <w:bCs/>
          <w:lang w:val="en-HK"/>
        </w:rPr>
        <w:t>Some Demographic Data</w:t>
      </w:r>
    </w:p>
    <w:p w14:paraId="50EA253B" w14:textId="4F20C52B" w:rsidR="00370ABF" w:rsidRPr="00370ABF" w:rsidRDefault="00370ABF" w:rsidP="00370ABF">
      <w:pPr>
        <w:spacing w:after="240" w:line="360" w:lineRule="auto"/>
        <w:rPr>
          <w:rFonts w:ascii="Times New Roman" w:hAnsi="Times New Roman"/>
          <w:lang w:val="en-HK"/>
        </w:rPr>
      </w:pPr>
      <w:r w:rsidRPr="00370ABF">
        <w:rPr>
          <w:rFonts w:ascii="Times New Roman" w:hAnsi="Times New Roman"/>
          <w:lang w:val="en-HK"/>
        </w:rPr>
        <w:lastRenderedPageBreak/>
        <w:t xml:space="preserve">This section examines the </w:t>
      </w:r>
      <w:r w:rsidRPr="00370ABF">
        <w:rPr>
          <w:rFonts w:ascii="Times New Roman" w:hAnsi="Times New Roman"/>
          <w:b/>
          <w:bCs/>
          <w:lang w:val="en-HK"/>
        </w:rPr>
        <w:t xml:space="preserve">demographic characteristics of individuals found NGRI from 2002 to 2011, focusing on sex and age distribution. </w:t>
      </w:r>
      <w:r w:rsidRPr="00370ABF">
        <w:rPr>
          <w:rFonts w:ascii="Times New Roman" w:hAnsi="Times New Roman"/>
          <w:lang w:val="en-HK"/>
        </w:rPr>
        <w:t xml:space="preserve">The data reveal a stark gender disparity: </w:t>
      </w:r>
      <w:r w:rsidRPr="00370ABF">
        <w:rPr>
          <w:rFonts w:ascii="Times New Roman" w:hAnsi="Times New Roman"/>
          <w:b/>
          <w:bCs/>
          <w:color w:val="FF0000"/>
          <w:lang w:val="en-HK"/>
        </w:rPr>
        <w:t xml:space="preserve">91.5% of NGRI cases (203 out of 223) involved males, while females accounted for only 8.5% (19 cases). </w:t>
      </w:r>
      <w:r w:rsidRPr="00370ABF">
        <w:rPr>
          <w:rFonts w:ascii="Times New Roman" w:hAnsi="Times New Roman"/>
          <w:lang w:val="en-HK"/>
        </w:rPr>
        <w:t>This male predominance aligns with patterns observed in Mackay’s earlier studies and reflects broader trends in criminal offending. The mean age at the time of the offence was 35.3 years, with a range spanning 15 to 74 years. Males had a slightly lower mean age of 35.2, compared to 37 for females, though the sample size for females limits robust comparison.</w:t>
      </w:r>
    </w:p>
    <w:p w14:paraId="02A9D141" w14:textId="71E40D56" w:rsidR="00370ABF" w:rsidRPr="00370ABF" w:rsidRDefault="00370ABF" w:rsidP="00370ABF">
      <w:pPr>
        <w:spacing w:after="240" w:line="360" w:lineRule="auto"/>
        <w:rPr>
          <w:rFonts w:ascii="Times New Roman" w:hAnsi="Times New Roman" w:hint="eastAsia"/>
          <w:lang w:val="en-HK"/>
        </w:rPr>
      </w:pPr>
      <w:r w:rsidRPr="00370ABF">
        <w:rPr>
          <w:rFonts w:ascii="Times New Roman" w:hAnsi="Times New Roman"/>
          <w:lang w:val="en-HK"/>
        </w:rPr>
        <w:br/>
      </w:r>
      <w:r w:rsidRPr="00370ABF">
        <w:rPr>
          <w:rFonts w:ascii="Times New Roman" w:hAnsi="Times New Roman"/>
          <w:b/>
          <w:bCs/>
          <w:lang w:val="en-HK"/>
        </w:rPr>
        <w:t>Age distribution further highlights distinct patterns</w:t>
      </w:r>
      <w:r w:rsidRPr="00370ABF">
        <w:rPr>
          <w:rFonts w:ascii="Times New Roman" w:hAnsi="Times New Roman"/>
          <w:lang w:val="en-HK"/>
        </w:rPr>
        <w:t>. The most prevalent age range for males was 20–29 years (69 cases), comprising 33.8% of male NGRI findings, while for females, the peak ranges were 30–39 and 40–49 years (6 cases each, or 31.6% per group). Collectively, 65% of all NGRI cases (145 individuals) fell within the 20–39 age bracket, underscoring the concentration of such verdicts among younger adults. Rare cases included one male under 15 and one aged 70–79, with no females recorded below 19 or above 69 years. Mackay notes the absence of data on criminal records, psychiatric history, or diagnoses due to limited access to records, constraining deeper analysis of underlying factors. Nevertheless, these demographics provide a snapshot of the typical NGRI defendant as a male in his 20s or 30s, consistent with prior research.</w:t>
      </w:r>
    </w:p>
    <w:p w14:paraId="47CD6A61" w14:textId="77777777" w:rsidR="00370ABF" w:rsidRPr="00370ABF" w:rsidRDefault="009D6911" w:rsidP="00370ABF">
      <w:pPr>
        <w:spacing w:after="240" w:line="360" w:lineRule="auto"/>
        <w:rPr>
          <w:rFonts w:ascii="Times New Roman" w:hAnsi="Times New Roman"/>
          <w:lang w:val="en-HK"/>
        </w:rPr>
      </w:pPr>
      <w:r w:rsidRPr="009D6911">
        <w:rPr>
          <w:rFonts w:ascii="Times New Roman" w:hAnsi="Times New Roman"/>
          <w:noProof/>
          <w:lang w:val="en-HK"/>
          <w14:ligatures w14:val="standardContextual"/>
        </w:rPr>
        <w:pict w14:anchorId="0F41E12C">
          <v:rect id="_x0000_i1028" alt="" style="width:451.3pt;height:.05pt;mso-width-percent:0;mso-height-percent:0;mso-width-percent:0;mso-height-percent:0" o:hralign="center" o:hrstd="t" o:hr="t" fillcolor="#a0a0a0" stroked="f"/>
        </w:pict>
      </w:r>
    </w:p>
    <w:p w14:paraId="11FAFF28" w14:textId="5B13839E" w:rsidR="00370ABF" w:rsidRPr="00370ABF" w:rsidRDefault="00370ABF" w:rsidP="00D92209">
      <w:pPr>
        <w:spacing w:after="240" w:line="360" w:lineRule="auto"/>
        <w:outlineLvl w:val="2"/>
        <w:rPr>
          <w:rFonts w:ascii="Times New Roman" w:hAnsi="Times New Roman" w:hint="eastAsia"/>
          <w:b/>
          <w:bCs/>
          <w:lang w:val="en-HK"/>
        </w:rPr>
      </w:pPr>
      <w:r w:rsidRPr="00370ABF">
        <w:rPr>
          <w:rFonts w:ascii="Times New Roman" w:hAnsi="Times New Roman"/>
          <w:b/>
          <w:bCs/>
          <w:lang w:val="en-HK"/>
        </w:rPr>
        <w:t>The Offences Charged</w:t>
      </w:r>
      <w:r w:rsidRPr="00370ABF">
        <w:rPr>
          <w:rFonts w:ascii="Times New Roman" w:hAnsi="Times New Roman"/>
          <w:lang w:val="en-HK"/>
        </w:rPr>
        <w:br/>
        <w:t xml:space="preserve">The analysis of offences leading to NGRI verdicts from 2002 to 2011 reveals a broad spectrum of criminal acts, predominantly non-fatal offences against the person. The most common offence was grievous bodily harm (GBH), accounting for 46 cases (20.6%), followed by attempted murder with 39 cases (17.5%). Actual bodily harm (ABH) and arson were also significant, with 28 (12.6%) and 29 (13%) cases, respectively. Notably, murder charges were rare, constituting only 4 cases (1.8%), a decline from 7 cases (9.7%) in the 1997–2001 study. This scarcity of murder verdicts is attributed to the stringent criteria of the </w:t>
      </w:r>
      <w:proofErr w:type="spellStart"/>
      <w:r w:rsidRPr="00370ABF">
        <w:rPr>
          <w:rFonts w:ascii="Times New Roman" w:hAnsi="Times New Roman"/>
          <w:lang w:val="en-HK"/>
        </w:rPr>
        <w:t>M’Naghten</w:t>
      </w:r>
      <w:proofErr w:type="spellEnd"/>
      <w:r w:rsidRPr="00370ABF">
        <w:rPr>
          <w:rFonts w:ascii="Times New Roman" w:hAnsi="Times New Roman"/>
          <w:lang w:val="en-HK"/>
        </w:rPr>
        <w:t xml:space="preserve"> Rules and the availability of alternative pleas like diminished responsibility under the </w:t>
      </w:r>
      <w:r w:rsidRPr="00370ABF">
        <w:rPr>
          <w:rFonts w:ascii="Times New Roman" w:hAnsi="Times New Roman"/>
          <w:i/>
          <w:iCs/>
          <w:lang w:val="en-HK"/>
        </w:rPr>
        <w:t>Homicide Act 1957</w:t>
      </w:r>
      <w:r w:rsidRPr="00370ABF">
        <w:rPr>
          <w:rFonts w:ascii="Times New Roman" w:hAnsi="Times New Roman"/>
          <w:lang w:val="en-HK"/>
        </w:rPr>
        <w:t>.</w:t>
      </w:r>
      <w:r w:rsidRPr="00370ABF">
        <w:rPr>
          <w:rFonts w:ascii="Times New Roman" w:hAnsi="Times New Roman"/>
          <w:lang w:val="en-HK"/>
        </w:rPr>
        <w:br/>
        <w:t xml:space="preserve">Offences against the person, including robbery (9 cases), kidnap/child abduction (3 cases), and false imprisonment (2 cases), </w:t>
      </w:r>
      <w:proofErr w:type="spellStart"/>
      <w:r w:rsidRPr="00370ABF">
        <w:rPr>
          <w:rFonts w:ascii="Times New Roman" w:hAnsi="Times New Roman"/>
          <w:lang w:val="en-HK"/>
        </w:rPr>
        <w:t>totaled</w:t>
      </w:r>
      <w:proofErr w:type="spellEnd"/>
      <w:r w:rsidRPr="00370ABF">
        <w:rPr>
          <w:rFonts w:ascii="Times New Roman" w:hAnsi="Times New Roman"/>
          <w:lang w:val="en-HK"/>
        </w:rPr>
        <w:t xml:space="preserve"> 130 cases (58.3%), dwarfing fatal offences at 5 </w:t>
      </w:r>
      <w:r w:rsidRPr="00370ABF">
        <w:rPr>
          <w:rFonts w:ascii="Times New Roman" w:hAnsi="Times New Roman"/>
          <w:lang w:val="en-HK"/>
        </w:rPr>
        <w:lastRenderedPageBreak/>
        <w:t>cases (2.2%). Compared to 1997–2001, the combined proportion of GBH and ABH rose from 27.8% to 33.2%, while attempted murder decreased from 22.2% to 17.5%. Lesser offences, such as criminal damage (5 cases, 2.2%), burglary (8 cases, 3.6%), and indecent/sexual assault (15 cases, 6.7%), illustrate the defence’s application across a wide-ranging offence profile. Unique cases included endangering aircraft and bomb hoaxes (1 case each), highlighting the defence’s occasional relevance to idiosyncratic crimes.</w:t>
      </w:r>
      <w:r w:rsidRPr="00370ABF">
        <w:rPr>
          <w:rFonts w:ascii="Times New Roman" w:hAnsi="Times New Roman"/>
          <w:lang w:val="en-HK"/>
        </w:rPr>
        <w:br/>
        <w:t xml:space="preserve">Mackay argues that the low incidence of murder verdicts reflects the practical challenges of satisfying the </w:t>
      </w:r>
      <w:proofErr w:type="spellStart"/>
      <w:r w:rsidRPr="00370ABF">
        <w:rPr>
          <w:rFonts w:ascii="Times New Roman" w:hAnsi="Times New Roman"/>
          <w:lang w:val="en-HK"/>
        </w:rPr>
        <w:t>M’Naghten</w:t>
      </w:r>
      <w:proofErr w:type="spellEnd"/>
      <w:r w:rsidRPr="00370ABF">
        <w:rPr>
          <w:rFonts w:ascii="Times New Roman" w:hAnsi="Times New Roman"/>
          <w:lang w:val="en-HK"/>
        </w:rPr>
        <w:t xml:space="preserve"> Rules’ cognitive test, which requires defendants to prove they did not know the nature of their act or that it was wrong. This rigidity, unchanged since 1843, contrasts with the flexibility introduced by the 1991 Act, which may encourage NGRI pleas for lesser offences where disposals are less punitive.</w:t>
      </w:r>
    </w:p>
    <w:p w14:paraId="651B4B44" w14:textId="77777777" w:rsidR="00370ABF" w:rsidRPr="00370ABF" w:rsidRDefault="009D6911" w:rsidP="00370ABF">
      <w:pPr>
        <w:spacing w:after="240" w:line="360" w:lineRule="auto"/>
        <w:rPr>
          <w:rFonts w:ascii="Times New Roman" w:hAnsi="Times New Roman"/>
          <w:lang w:val="en-HK"/>
        </w:rPr>
      </w:pPr>
      <w:r w:rsidRPr="009D6911">
        <w:rPr>
          <w:rFonts w:ascii="Times New Roman" w:hAnsi="Times New Roman"/>
          <w:noProof/>
          <w:lang w:val="en-HK"/>
          <w14:ligatures w14:val="standardContextual"/>
        </w:rPr>
        <w:pict w14:anchorId="6D680B28">
          <v:rect id="_x0000_i1027" alt="" style="width:451.3pt;height:.05pt;mso-width-percent:0;mso-height-percent:0;mso-width-percent:0;mso-height-percent:0" o:hralign="center" o:hrstd="t" o:hr="t" fillcolor="#a0a0a0" stroked="f"/>
        </w:pict>
      </w:r>
    </w:p>
    <w:p w14:paraId="63235035" w14:textId="77777777" w:rsidR="00370ABF" w:rsidRPr="00370ABF" w:rsidRDefault="00370ABF" w:rsidP="00370ABF">
      <w:pPr>
        <w:spacing w:after="240" w:line="360" w:lineRule="auto"/>
        <w:outlineLvl w:val="2"/>
        <w:rPr>
          <w:rFonts w:ascii="Times New Roman" w:hAnsi="Times New Roman"/>
          <w:b/>
          <w:bCs/>
          <w:lang w:val="en-HK"/>
        </w:rPr>
      </w:pPr>
      <w:r w:rsidRPr="00370ABF">
        <w:rPr>
          <w:rFonts w:ascii="Times New Roman" w:hAnsi="Times New Roman"/>
          <w:b/>
          <w:bCs/>
          <w:lang w:val="en-HK"/>
        </w:rPr>
        <w:t>The Disposals</w:t>
      </w:r>
    </w:p>
    <w:p w14:paraId="29CAA936" w14:textId="77777777" w:rsidR="00370ABF" w:rsidRPr="00370ABF" w:rsidRDefault="00370ABF" w:rsidP="00370ABF">
      <w:pPr>
        <w:spacing w:after="240" w:line="360" w:lineRule="auto"/>
        <w:rPr>
          <w:rFonts w:ascii="Times New Roman" w:hAnsi="Times New Roman"/>
          <w:lang w:val="en-HK"/>
        </w:rPr>
      </w:pPr>
      <w:r w:rsidRPr="00370ABF">
        <w:rPr>
          <w:rFonts w:ascii="Times New Roman" w:hAnsi="Times New Roman"/>
          <w:lang w:val="en-HK"/>
        </w:rPr>
        <w:t xml:space="preserve">The disposals section details the outcomes for the 223 NGRI verdicts from 2002 to 2011, emphasizing the balance between hospital-based and community-based orders under the </w:t>
      </w:r>
      <w:r w:rsidRPr="00370ABF">
        <w:rPr>
          <w:rFonts w:ascii="Times New Roman" w:hAnsi="Times New Roman"/>
          <w:i/>
          <w:iCs/>
          <w:lang w:val="en-HK"/>
        </w:rPr>
        <w:t>Criminal Procedure (Insanity and Unfitness to Plead) Act 1991</w:t>
      </w:r>
      <w:r w:rsidRPr="00370ABF">
        <w:rPr>
          <w:rFonts w:ascii="Times New Roman" w:hAnsi="Times New Roman"/>
          <w:lang w:val="en-HK"/>
        </w:rPr>
        <w:t xml:space="preserve">. Hospital orders, with or without restrictions, </w:t>
      </w:r>
      <w:proofErr w:type="spellStart"/>
      <w:r w:rsidRPr="00370ABF">
        <w:rPr>
          <w:rFonts w:ascii="Times New Roman" w:hAnsi="Times New Roman"/>
          <w:lang w:val="en-HK"/>
        </w:rPr>
        <w:t>totaled</w:t>
      </w:r>
      <w:proofErr w:type="spellEnd"/>
      <w:r w:rsidRPr="00370ABF">
        <w:rPr>
          <w:rFonts w:ascii="Times New Roman" w:hAnsi="Times New Roman"/>
          <w:lang w:val="en-HK"/>
        </w:rPr>
        <w:t xml:space="preserve"> 108 cases (48.4%), closely aligning with the 47.2% in the 1997–2001 study. However, the composition shifted: restriction orders fell from 37.5% to 28.7% (64 cases), while non-restricted hospital orders rose from 9.7% to 19.7% (44 cases). Community-based disposals, including supervision orders and absolute discharges, accounted for 51.2% (112 cases), nearly identical to the 52.8% in 1997–2001 (or 58.5% excluding mandatory murder disposals). Supervision orders comprised 36.8% (82 cases), down from 41.7%, while absolute discharges increased from 9.7% to 13.5% (30 cases).</w:t>
      </w:r>
    </w:p>
    <w:p w14:paraId="0210615E" w14:textId="16AD19D2" w:rsidR="00370ABF" w:rsidRPr="00370ABF" w:rsidRDefault="00370ABF" w:rsidP="00370ABF">
      <w:pPr>
        <w:spacing w:after="240" w:line="360" w:lineRule="auto"/>
        <w:rPr>
          <w:rFonts w:ascii="Times New Roman" w:hAnsi="Times New Roman" w:hint="eastAsia"/>
          <w:lang w:val="en-HK"/>
        </w:rPr>
      </w:pPr>
      <w:r w:rsidRPr="00370ABF">
        <w:rPr>
          <w:rFonts w:ascii="Times New Roman" w:hAnsi="Times New Roman"/>
          <w:lang w:val="en-HK"/>
        </w:rPr>
        <w:t xml:space="preserve">Notably, community disposals were applied to serious offences, including one unprecedented murder case, 9 attempted murders, 16 GBH cases, 14 arsons, and 8 robberies, demonstrating judicial willingness to avoid hospitalization where appropriate. The single case of a discharged defendant due to a hung jury is an anomaly, excluded from disposal trends. Mackay highlights the persistence of community-based outcomes as evidence of the 1991 Act’s enduring impact, contrasting with the 1964 Act’s mandatory hospitalization, which stifled NGRI pleas. The slight rise in hospital orders post-2004, discussed later, suggests a nuanced shift influenced by the </w:t>
      </w:r>
      <w:r w:rsidRPr="00370ABF">
        <w:rPr>
          <w:rFonts w:ascii="Times New Roman" w:hAnsi="Times New Roman"/>
          <w:i/>
          <w:iCs/>
          <w:lang w:val="en-HK"/>
        </w:rPr>
        <w:t>Domestic Violence, Crime and Victims Act 2004</w:t>
      </w:r>
      <w:r w:rsidRPr="00370ABF">
        <w:rPr>
          <w:rFonts w:ascii="Times New Roman" w:hAnsi="Times New Roman"/>
          <w:lang w:val="en-HK"/>
        </w:rPr>
        <w:t>.</w:t>
      </w:r>
    </w:p>
    <w:p w14:paraId="4973F491" w14:textId="77777777" w:rsidR="00370ABF" w:rsidRPr="00370ABF" w:rsidRDefault="009D6911" w:rsidP="00370ABF">
      <w:pPr>
        <w:spacing w:after="240" w:line="360" w:lineRule="auto"/>
        <w:rPr>
          <w:rFonts w:ascii="Times New Roman" w:hAnsi="Times New Roman"/>
          <w:lang w:val="en-HK"/>
        </w:rPr>
      </w:pPr>
      <w:r w:rsidRPr="009D6911">
        <w:rPr>
          <w:rFonts w:ascii="Times New Roman" w:hAnsi="Times New Roman"/>
          <w:noProof/>
          <w:lang w:val="en-HK"/>
          <w14:ligatures w14:val="standardContextual"/>
        </w:rPr>
        <w:lastRenderedPageBreak/>
        <w:pict w14:anchorId="4B80E3E2">
          <v:rect id="_x0000_i1026" alt="" style="width:451.3pt;height:.05pt;mso-width-percent:0;mso-height-percent:0;mso-width-percent:0;mso-height-percent:0" o:hralign="center" o:hrstd="t" o:hr="t" fillcolor="#a0a0a0" stroked="f"/>
        </w:pict>
      </w:r>
    </w:p>
    <w:p w14:paraId="007A38F9" w14:textId="77777777" w:rsidR="00370ABF" w:rsidRPr="00370ABF" w:rsidRDefault="00370ABF" w:rsidP="00370ABF">
      <w:pPr>
        <w:spacing w:after="240" w:line="360" w:lineRule="auto"/>
        <w:outlineLvl w:val="2"/>
        <w:rPr>
          <w:rFonts w:ascii="Times New Roman" w:hAnsi="Times New Roman"/>
          <w:b/>
          <w:bCs/>
          <w:lang w:val="en-HK"/>
        </w:rPr>
      </w:pPr>
      <w:r w:rsidRPr="00370ABF">
        <w:rPr>
          <w:rFonts w:ascii="Times New Roman" w:hAnsi="Times New Roman"/>
          <w:b/>
          <w:bCs/>
          <w:lang w:val="en-HK"/>
        </w:rPr>
        <w:t>The Effect of the Domestic Violence, Crime and Victims Act 2004</w:t>
      </w:r>
    </w:p>
    <w:p w14:paraId="61E2E6BA" w14:textId="77777777" w:rsidR="00D92209" w:rsidRDefault="00370ABF" w:rsidP="00370ABF">
      <w:pPr>
        <w:spacing w:after="240" w:line="360" w:lineRule="auto"/>
        <w:rPr>
          <w:rFonts w:ascii="Times New Roman" w:hAnsi="Times New Roman"/>
          <w:lang w:val="en-HK"/>
        </w:rPr>
      </w:pPr>
      <w:r w:rsidRPr="00370ABF">
        <w:rPr>
          <w:rFonts w:ascii="Times New Roman" w:hAnsi="Times New Roman"/>
          <w:lang w:val="en-HK"/>
        </w:rPr>
        <w:t xml:space="preserve">Implemented on 31 March 2005, the </w:t>
      </w:r>
      <w:r w:rsidRPr="00370ABF">
        <w:rPr>
          <w:rFonts w:ascii="Times New Roman" w:hAnsi="Times New Roman"/>
          <w:i/>
          <w:iCs/>
          <w:lang w:val="en-HK"/>
        </w:rPr>
        <w:t>Domestic Violence, Crime and Victims Act 2004</w:t>
      </w:r>
      <w:r w:rsidRPr="00370ABF">
        <w:rPr>
          <w:rFonts w:ascii="Times New Roman" w:hAnsi="Times New Roman"/>
          <w:lang w:val="en-HK"/>
        </w:rPr>
        <w:t xml:space="preserve"> (c.28) streamlined NGRI disposals to three options: hospital orders (with or without restrictions), supervision orders, and absolute discharges, eliminating guardianship orders available under the 1991 Act. This study spans 39 months pre-Act (2002–March 2005) and 81 months post-Act (April 2005–2011), with 66 cases (29.6%) pre-Act and 157 cases (70.4%) post-Act. The Act applies only to defendants arraigned after its commencement, as clarified in </w:t>
      </w:r>
      <w:r w:rsidRPr="00370ABF">
        <w:rPr>
          <w:rFonts w:ascii="Times New Roman" w:hAnsi="Times New Roman"/>
          <w:i/>
          <w:iCs/>
          <w:lang w:val="en-HK"/>
        </w:rPr>
        <w:t>Hussein [2005] EWCA Crim 3556</w:t>
      </w:r>
      <w:r w:rsidRPr="00370ABF">
        <w:rPr>
          <w:rFonts w:ascii="Times New Roman" w:hAnsi="Times New Roman"/>
          <w:lang w:val="en-HK"/>
        </w:rPr>
        <w:t xml:space="preserve"> at [14], where the Court of Appeal held that pre-committal dates were irrelevant to disposal eligibility.</w:t>
      </w:r>
    </w:p>
    <w:p w14:paraId="0B3A4ACB" w14:textId="77777777" w:rsidR="00D92209" w:rsidRDefault="00370ABF" w:rsidP="00370ABF">
      <w:pPr>
        <w:spacing w:after="240" w:line="360" w:lineRule="auto"/>
        <w:rPr>
          <w:rFonts w:ascii="Times New Roman" w:hAnsi="Times New Roman"/>
          <w:lang w:val="en-HK"/>
        </w:rPr>
      </w:pPr>
      <w:r w:rsidRPr="00370ABF">
        <w:rPr>
          <w:rFonts w:ascii="Times New Roman" w:hAnsi="Times New Roman"/>
          <w:lang w:val="en-HK"/>
        </w:rPr>
        <w:t xml:space="preserve">Pre-Act, hospital orders </w:t>
      </w:r>
      <w:proofErr w:type="spellStart"/>
      <w:r w:rsidRPr="00370ABF">
        <w:rPr>
          <w:rFonts w:ascii="Times New Roman" w:hAnsi="Times New Roman"/>
          <w:lang w:val="en-HK"/>
        </w:rPr>
        <w:t>totaled</w:t>
      </w:r>
      <w:proofErr w:type="spellEnd"/>
      <w:r w:rsidRPr="00370ABF">
        <w:rPr>
          <w:rFonts w:ascii="Times New Roman" w:hAnsi="Times New Roman"/>
          <w:lang w:val="en-HK"/>
        </w:rPr>
        <w:t xml:space="preserve"> 43.9% (29 cases), with restriction orders at 33.3% (22 cases) and non-restricted at 10.6% (7 cases); supervision orders were 40.9% (27 cases), and absolute discharges 12.1% (8 cases). Post-Act, hospital orders rose to 50.3% (79 cases), with restriction orders at 26.8% (42 cases) and non-restricted at 23.6% (37 cases); supervision orders fell to 35.1% (55 cases), and absolute discharges remained stable at 14% (22 cases). Offence patterns showed consistency, though attempted murder dropped from 22.7% to 15.3%, and GBH rose from 12.1% to 24.2%.</w:t>
      </w:r>
    </w:p>
    <w:p w14:paraId="5A69A38E" w14:textId="56541048" w:rsidR="00370ABF" w:rsidRPr="00370ABF" w:rsidRDefault="00370ABF" w:rsidP="00370ABF">
      <w:pPr>
        <w:spacing w:after="240" w:line="360" w:lineRule="auto"/>
        <w:rPr>
          <w:rFonts w:ascii="Times New Roman" w:hAnsi="Times New Roman" w:hint="eastAsia"/>
          <w:lang w:val="en-HK"/>
        </w:rPr>
      </w:pPr>
      <w:r w:rsidRPr="00370ABF">
        <w:rPr>
          <w:rFonts w:ascii="Times New Roman" w:hAnsi="Times New Roman"/>
          <w:lang w:val="en-HK"/>
        </w:rPr>
        <w:t xml:space="preserve">Mackay argues that the </w:t>
      </w:r>
      <w:r w:rsidRPr="00370ABF">
        <w:rPr>
          <w:rFonts w:ascii="Times New Roman" w:hAnsi="Times New Roman"/>
          <w:b/>
          <w:bCs/>
          <w:color w:val="FF0000"/>
          <w:lang w:val="en-HK"/>
        </w:rPr>
        <w:t>Act’s simplification increased hospital-based disposals (from 43.9% to 50.3%), reducing non-hospital options from 56.1% to 49.1%, possibly reflecting judicial caution with serious offences.</w:t>
      </w:r>
      <w:r w:rsidRPr="00370ABF">
        <w:rPr>
          <w:rFonts w:ascii="Times New Roman" w:hAnsi="Times New Roman"/>
          <w:lang w:val="en-HK"/>
        </w:rPr>
        <w:t xml:space="preserve"> The case of </w:t>
      </w:r>
      <w:r w:rsidRPr="00370ABF">
        <w:rPr>
          <w:rFonts w:ascii="Times New Roman" w:hAnsi="Times New Roman"/>
          <w:i/>
          <w:iCs/>
          <w:lang w:val="en-HK"/>
        </w:rPr>
        <w:t>Hussein</w:t>
      </w:r>
      <w:r w:rsidRPr="00370ABF">
        <w:rPr>
          <w:rFonts w:ascii="Times New Roman" w:hAnsi="Times New Roman"/>
          <w:lang w:val="en-HK"/>
        </w:rPr>
        <w:t xml:space="preserve"> reinforces the Act’s strict temporal application, ensuring uniformity in post-2005 cases. This shift suggests the 2004 Act subtly recalibrated disposal practices, </w:t>
      </w:r>
      <w:proofErr w:type="spellStart"/>
      <w:r w:rsidRPr="00370ABF">
        <w:rPr>
          <w:rFonts w:ascii="Times New Roman" w:hAnsi="Times New Roman"/>
          <w:lang w:val="en-HK"/>
        </w:rPr>
        <w:t>favoring</w:t>
      </w:r>
      <w:proofErr w:type="spellEnd"/>
      <w:r w:rsidRPr="00370ABF">
        <w:rPr>
          <w:rFonts w:ascii="Times New Roman" w:hAnsi="Times New Roman"/>
          <w:lang w:val="en-HK"/>
        </w:rPr>
        <w:t xml:space="preserve"> medical oversight over community supervision.</w:t>
      </w:r>
    </w:p>
    <w:p w14:paraId="21B45D4C" w14:textId="77777777" w:rsidR="00370ABF" w:rsidRPr="00370ABF" w:rsidRDefault="009D6911" w:rsidP="00370ABF">
      <w:pPr>
        <w:spacing w:after="240" w:line="360" w:lineRule="auto"/>
        <w:rPr>
          <w:rFonts w:ascii="Times New Roman" w:hAnsi="Times New Roman"/>
          <w:lang w:val="en-HK"/>
        </w:rPr>
      </w:pPr>
      <w:r w:rsidRPr="009D6911">
        <w:rPr>
          <w:rFonts w:ascii="Times New Roman" w:hAnsi="Times New Roman"/>
          <w:noProof/>
          <w:lang w:val="en-HK"/>
          <w14:ligatures w14:val="standardContextual"/>
        </w:rPr>
        <w:pict w14:anchorId="2AB33396">
          <v:rect id="_x0000_i1025" alt="" style="width:451.3pt;height:.05pt;mso-width-percent:0;mso-height-percent:0;mso-width-percent:0;mso-height-percent:0" o:hralign="center" o:hrstd="t" o:hr="t" fillcolor="#a0a0a0" stroked="f"/>
        </w:pict>
      </w:r>
    </w:p>
    <w:p w14:paraId="1DAA8081" w14:textId="14FE9ECE" w:rsidR="00370ABF" w:rsidRPr="00370ABF" w:rsidRDefault="00370ABF" w:rsidP="00370ABF">
      <w:pPr>
        <w:spacing w:after="240" w:line="360" w:lineRule="auto"/>
        <w:outlineLvl w:val="2"/>
        <w:rPr>
          <w:rFonts w:ascii="Times New Roman" w:hAnsi="Times New Roman" w:hint="eastAsia"/>
          <w:b/>
          <w:bCs/>
          <w:lang w:val="en-HK"/>
        </w:rPr>
      </w:pPr>
      <w:r w:rsidRPr="00370ABF">
        <w:rPr>
          <w:rFonts w:ascii="Times New Roman" w:hAnsi="Times New Roman"/>
          <w:b/>
          <w:bCs/>
          <w:lang w:val="en-HK"/>
        </w:rPr>
        <w:t>Purposes of the Data</w:t>
      </w:r>
    </w:p>
    <w:p w14:paraId="6461EB39" w14:textId="45F26C0E" w:rsidR="00370ABF" w:rsidRPr="00370ABF" w:rsidRDefault="00370ABF" w:rsidP="00370ABF">
      <w:pPr>
        <w:numPr>
          <w:ilvl w:val="0"/>
          <w:numId w:val="1"/>
        </w:numPr>
        <w:spacing w:after="240" w:line="360" w:lineRule="auto"/>
        <w:rPr>
          <w:rFonts w:ascii="Times New Roman" w:hAnsi="Times New Roman" w:hint="eastAsia"/>
          <w:lang w:val="en-HK"/>
        </w:rPr>
      </w:pPr>
      <w:r w:rsidRPr="00370ABF">
        <w:rPr>
          <w:rFonts w:ascii="Times New Roman" w:hAnsi="Times New Roman"/>
          <w:b/>
          <w:bCs/>
          <w:lang w:val="en-HK"/>
        </w:rPr>
        <w:t>Tracking the Frequency and Trends of NGRI Verdicts</w:t>
      </w:r>
      <w:r w:rsidRPr="00370ABF">
        <w:rPr>
          <w:rFonts w:ascii="Times New Roman" w:hAnsi="Times New Roman"/>
          <w:lang w:val="en-HK"/>
        </w:rPr>
        <w:br/>
        <w:t xml:space="preserve">The primary purpose of the data is to quantify the number of NGRI findings annually and assess their trajectory over time, particularly in the context of legislative evolution. The study builds on Mackay’s earlier research, which covered periods from 1987 to 2001, by </w:t>
      </w:r>
      <w:r w:rsidRPr="00370ABF">
        <w:rPr>
          <w:rFonts w:ascii="Times New Roman" w:hAnsi="Times New Roman"/>
          <w:lang w:val="en-HK"/>
        </w:rPr>
        <w:lastRenderedPageBreak/>
        <w:t xml:space="preserve">extending the analysis to 2002–2011. It records a total of 223 NGRI verdicts in this decade, with an annual average of 22.3, and highlights a peak of 34 verdicts in 2011. By comparing these figures to historical averages (e.g., 4 per year under the </w:t>
      </w:r>
      <w:r w:rsidRPr="00370ABF">
        <w:rPr>
          <w:rFonts w:ascii="Times New Roman" w:hAnsi="Times New Roman"/>
          <w:i/>
          <w:iCs/>
          <w:lang w:val="en-HK"/>
        </w:rPr>
        <w:t>Criminal Procedure (Insanity) Act 1964</w:t>
      </w:r>
      <w:r w:rsidRPr="00370ABF">
        <w:rPr>
          <w:rFonts w:ascii="Times New Roman" w:hAnsi="Times New Roman"/>
          <w:lang w:val="en-HK"/>
        </w:rPr>
        <w:t xml:space="preserve"> from 1987–1991, and 17.95 under the </w:t>
      </w:r>
      <w:r w:rsidRPr="00370ABF">
        <w:rPr>
          <w:rFonts w:ascii="Times New Roman" w:hAnsi="Times New Roman"/>
          <w:i/>
          <w:iCs/>
          <w:lang w:val="en-HK"/>
        </w:rPr>
        <w:t>Criminal Procedure (Insanity and Unfitness to Plead) Act 1991</w:t>
      </w:r>
      <w:r w:rsidRPr="00370ABF">
        <w:rPr>
          <w:rFonts w:ascii="Times New Roman" w:hAnsi="Times New Roman"/>
          <w:lang w:val="en-HK"/>
        </w:rPr>
        <w:t xml:space="preserve"> from 1992–2001), the data illustrate a gradual increase in the defence’s use, albeit with a slowing percentage growth rate (e.g., 20.8% for 2007–2011 versus 120% for 1992–1996). This tracking aims to ascertain whether legislative reforms have made the insanity defence more viable and to inform predictions about its future prevalence.</w:t>
      </w:r>
    </w:p>
    <w:p w14:paraId="0F2B2304" w14:textId="27414822" w:rsidR="00370ABF" w:rsidRPr="00370ABF" w:rsidRDefault="00370ABF" w:rsidP="00370ABF">
      <w:pPr>
        <w:numPr>
          <w:ilvl w:val="0"/>
          <w:numId w:val="1"/>
        </w:numPr>
        <w:spacing w:after="240" w:line="360" w:lineRule="auto"/>
        <w:rPr>
          <w:rFonts w:ascii="Times New Roman" w:hAnsi="Times New Roman" w:hint="eastAsia"/>
          <w:lang w:val="en-HK"/>
        </w:rPr>
      </w:pPr>
      <w:r w:rsidRPr="00370ABF">
        <w:rPr>
          <w:rFonts w:ascii="Times New Roman" w:hAnsi="Times New Roman"/>
          <w:b/>
          <w:bCs/>
          <w:lang w:val="en-HK"/>
        </w:rPr>
        <w:t>Evaluating the Impact of Legislative Changes</w:t>
      </w:r>
      <w:r w:rsidRPr="00370ABF">
        <w:rPr>
          <w:rFonts w:ascii="Times New Roman" w:hAnsi="Times New Roman"/>
          <w:lang w:val="en-HK"/>
        </w:rPr>
        <w:br/>
      </w:r>
      <w:r w:rsidRPr="00370ABF">
        <w:rPr>
          <w:rFonts w:ascii="Times New Roman" w:hAnsi="Times New Roman"/>
          <w:b/>
          <w:bCs/>
          <w:color w:val="FF0000"/>
          <w:lang w:val="en-HK"/>
        </w:rPr>
        <w:t xml:space="preserve">A central objective is to evaluate how legislative shifts, notably the flexibility introduced by the 1991 Act and the streamlined disposal options of the </w:t>
      </w:r>
      <w:r w:rsidRPr="00370ABF">
        <w:rPr>
          <w:rFonts w:ascii="Times New Roman" w:hAnsi="Times New Roman"/>
          <w:b/>
          <w:bCs/>
          <w:i/>
          <w:iCs/>
          <w:color w:val="FF0000"/>
          <w:lang w:val="en-HK"/>
        </w:rPr>
        <w:t>Domestic Violence, Crime and Victims Act 2004</w:t>
      </w:r>
      <w:r w:rsidRPr="00370ABF">
        <w:rPr>
          <w:rFonts w:ascii="Times New Roman" w:hAnsi="Times New Roman"/>
          <w:b/>
          <w:bCs/>
          <w:color w:val="FF0000"/>
          <w:lang w:val="en-HK"/>
        </w:rPr>
        <w:t xml:space="preserve"> (implemented 31 March 2005), have influenced NGRI outcomes.</w:t>
      </w:r>
      <w:r w:rsidRPr="00370ABF">
        <w:rPr>
          <w:rFonts w:ascii="Times New Roman" w:hAnsi="Times New Roman"/>
          <w:color w:val="FF0000"/>
          <w:lang w:val="en-HK"/>
        </w:rPr>
        <w:t xml:space="preserve"> </w:t>
      </w:r>
      <w:r w:rsidRPr="00370ABF">
        <w:rPr>
          <w:rFonts w:ascii="Times New Roman" w:hAnsi="Times New Roman"/>
          <w:lang w:val="en-HK"/>
        </w:rPr>
        <w:t>The data split the 2002–2011 period into pre-2004 Act (66 cases) and post-2004 Act (157 cases) segments to assess changes in disposal patterns and offence profiles. For instance, hospital-based disposals rose from 43.9% pre-Act to 50.3% post-Act, while community disposals slightly declined from 56.1% to 49.1%. This analysis tests the hypothesis that greater disposal flexibility encourages NGRI pleas, contrasting with the deterrent effect of the 1964 Act’s mandatory hospitalization, and examines the 2004 Act’s specific effect on judicial preferences.</w:t>
      </w:r>
    </w:p>
    <w:p w14:paraId="4A38AE25" w14:textId="6D050C02" w:rsidR="00370ABF" w:rsidRPr="00370ABF" w:rsidRDefault="00370ABF" w:rsidP="00370ABF">
      <w:pPr>
        <w:numPr>
          <w:ilvl w:val="0"/>
          <w:numId w:val="1"/>
        </w:numPr>
        <w:spacing w:after="240" w:line="360" w:lineRule="auto"/>
        <w:rPr>
          <w:rFonts w:ascii="Times New Roman" w:hAnsi="Times New Roman" w:hint="eastAsia"/>
          <w:lang w:val="en-HK"/>
        </w:rPr>
      </w:pPr>
      <w:r w:rsidRPr="00370ABF">
        <w:rPr>
          <w:rFonts w:ascii="Times New Roman" w:hAnsi="Times New Roman"/>
          <w:b/>
          <w:bCs/>
          <w:lang w:val="en-HK"/>
        </w:rPr>
        <w:t>Providing Demographic Insights into NGRI Defendants</w:t>
      </w:r>
      <w:r w:rsidRPr="00370ABF">
        <w:rPr>
          <w:rFonts w:ascii="Times New Roman" w:hAnsi="Times New Roman"/>
          <w:lang w:val="en-HK"/>
        </w:rPr>
        <w:br/>
        <w:t>The data on sex and age distribution (e.g., 91.5% male, mean age 35.3, with 65% aged 20–39) aim to characterize the typical NGRI defendant. This demographic profiling, though limited by the absence of psychiatric or criminal history data, offers a baseline for understanding who utilizes the insanity defence. It supports comparative analysis with prior studies and broader criminal justice trends, potentially informing policy discussions about mental health and culpability among specific populations.</w:t>
      </w:r>
    </w:p>
    <w:p w14:paraId="1E41D93E" w14:textId="46846348" w:rsidR="00370ABF" w:rsidRPr="00370ABF" w:rsidRDefault="00370ABF" w:rsidP="00370ABF">
      <w:pPr>
        <w:numPr>
          <w:ilvl w:val="0"/>
          <w:numId w:val="1"/>
        </w:numPr>
        <w:spacing w:after="240" w:line="360" w:lineRule="auto"/>
        <w:rPr>
          <w:rFonts w:ascii="Times New Roman" w:hAnsi="Times New Roman" w:hint="eastAsia"/>
          <w:lang w:val="en-HK"/>
        </w:rPr>
      </w:pPr>
      <w:proofErr w:type="spellStart"/>
      <w:r w:rsidRPr="00370ABF">
        <w:rPr>
          <w:rFonts w:ascii="Times New Roman" w:hAnsi="Times New Roman"/>
          <w:b/>
          <w:bCs/>
          <w:lang w:val="en-HK"/>
        </w:rPr>
        <w:t>Analyzing</w:t>
      </w:r>
      <w:proofErr w:type="spellEnd"/>
      <w:r w:rsidRPr="00370ABF">
        <w:rPr>
          <w:rFonts w:ascii="Times New Roman" w:hAnsi="Times New Roman"/>
          <w:b/>
          <w:bCs/>
          <w:lang w:val="en-HK"/>
        </w:rPr>
        <w:t xml:space="preserve"> the Nature of Offences Leading to NGRI Verdicts</w:t>
      </w:r>
      <w:r w:rsidRPr="00370ABF">
        <w:rPr>
          <w:rFonts w:ascii="Times New Roman" w:hAnsi="Times New Roman"/>
          <w:lang w:val="en-HK"/>
        </w:rPr>
        <w:br/>
        <w:t xml:space="preserve">By cataloguing offences (e.g., GBH at 20.6%, attempted murder at 17.5%, murder at 1.8%), the data elucidate the types of criminal acts where insanity is successfully pleaded. This serves to assess the defence’s scope and limitations, particularly under the </w:t>
      </w:r>
      <w:proofErr w:type="spellStart"/>
      <w:r w:rsidRPr="00370ABF">
        <w:rPr>
          <w:rFonts w:ascii="Times New Roman" w:hAnsi="Times New Roman"/>
          <w:lang w:val="en-HK"/>
        </w:rPr>
        <w:t>M’Naghten</w:t>
      </w:r>
      <w:proofErr w:type="spellEnd"/>
      <w:r w:rsidRPr="00370ABF">
        <w:rPr>
          <w:rFonts w:ascii="Times New Roman" w:hAnsi="Times New Roman"/>
          <w:lang w:val="en-HK"/>
        </w:rPr>
        <w:t xml:space="preserve"> Rules, which govern its application. The low incidence of murder charges </w:t>
      </w:r>
      <w:r w:rsidRPr="00370ABF">
        <w:rPr>
          <w:rFonts w:ascii="Times New Roman" w:hAnsi="Times New Roman"/>
          <w:lang w:val="en-HK"/>
        </w:rPr>
        <w:lastRenderedPageBreak/>
        <w:t>(down from 9.7% in 1997–2001 to 1.8%) versus the prevalence of non-fatal offences (58.3%) suggests practical or legal barriers to applying insanity in homicide cases, providing evidence for critiques of the current legal framework’s rigidity.</w:t>
      </w:r>
    </w:p>
    <w:p w14:paraId="7DD41F94" w14:textId="294F9E2A" w:rsidR="00370ABF" w:rsidRPr="00370ABF" w:rsidRDefault="00370ABF" w:rsidP="00370ABF">
      <w:pPr>
        <w:numPr>
          <w:ilvl w:val="0"/>
          <w:numId w:val="1"/>
        </w:numPr>
        <w:spacing w:after="240" w:line="360" w:lineRule="auto"/>
        <w:rPr>
          <w:rFonts w:ascii="Times New Roman" w:hAnsi="Times New Roman" w:hint="eastAsia"/>
          <w:lang w:val="en-HK"/>
        </w:rPr>
      </w:pPr>
      <w:r w:rsidRPr="00370ABF">
        <w:rPr>
          <w:rFonts w:ascii="Times New Roman" w:hAnsi="Times New Roman"/>
          <w:b/>
          <w:bCs/>
          <w:lang w:val="en-HK"/>
        </w:rPr>
        <w:t>Assessing Disposal Outcomes and Judicial Practices</w:t>
      </w:r>
      <w:r w:rsidRPr="00370ABF">
        <w:rPr>
          <w:rFonts w:ascii="Times New Roman" w:hAnsi="Times New Roman"/>
          <w:lang w:val="en-HK"/>
        </w:rPr>
        <w:br/>
        <w:t>The data on disposals (e.g., 48.4% hospital orders, 51.2% community-based) detail how courts manage NGRI cases post-verdict, reflecting judicial balancing of public safety and defendant welfare. The persistence of community disposals for serious offences (e.g., one murder, 9 attempted murders) highlights the 1991 Act’s lasting influence, while the post-2004 Act increase in hospital orders indicates evolving practices. This information aids in evaluating whether current disposal options align with the defence’s rehabilitative intent or require further adjustment.</w:t>
      </w:r>
    </w:p>
    <w:p w14:paraId="37F12203" w14:textId="022C53F1" w:rsidR="00370ABF" w:rsidRPr="00370ABF" w:rsidRDefault="00370ABF" w:rsidP="00370ABF">
      <w:pPr>
        <w:numPr>
          <w:ilvl w:val="0"/>
          <w:numId w:val="1"/>
        </w:numPr>
        <w:spacing w:after="240" w:line="360" w:lineRule="auto"/>
        <w:rPr>
          <w:rFonts w:ascii="Times New Roman" w:hAnsi="Times New Roman" w:hint="eastAsia"/>
          <w:lang w:val="en-HK"/>
        </w:rPr>
      </w:pPr>
      <w:r w:rsidRPr="00370ABF">
        <w:rPr>
          <w:rFonts w:ascii="Times New Roman" w:hAnsi="Times New Roman"/>
          <w:b/>
          <w:bCs/>
          <w:lang w:val="en-HK"/>
        </w:rPr>
        <w:t>Contributing to Law Reform Discussions</w:t>
      </w:r>
      <w:r w:rsidRPr="00370ABF">
        <w:rPr>
          <w:rFonts w:ascii="Times New Roman" w:hAnsi="Times New Roman"/>
          <w:lang w:val="en-HK"/>
        </w:rPr>
        <w:br/>
        <w:t xml:space="preserve">The data underpin Mackay’s collaboration with the Law Commission, as evidenced by their inclusion in Appendix E of the </w:t>
      </w:r>
      <w:r w:rsidRPr="00370ABF">
        <w:rPr>
          <w:rFonts w:ascii="Times New Roman" w:hAnsi="Times New Roman"/>
          <w:i/>
          <w:iCs/>
          <w:lang w:val="en-HK"/>
        </w:rPr>
        <w:t>Insanity and Automatism, Supplementary Material to the Scoping Paper</w:t>
      </w:r>
      <w:r w:rsidRPr="00370ABF">
        <w:rPr>
          <w:rFonts w:ascii="Times New Roman" w:hAnsi="Times New Roman"/>
          <w:lang w:val="en-HK"/>
        </w:rPr>
        <w:t xml:space="preserve"> (18 July 2012). By documenting the "surprisingly low" number of NGRI verdicts (Law Commission, para. 1.48) and their modest growth, the study supports arguments for reforming the </w:t>
      </w:r>
      <w:proofErr w:type="spellStart"/>
      <w:r w:rsidRPr="00370ABF">
        <w:rPr>
          <w:rFonts w:ascii="Times New Roman" w:hAnsi="Times New Roman"/>
          <w:lang w:val="en-HK"/>
        </w:rPr>
        <w:t>M’Naghten</w:t>
      </w:r>
      <w:proofErr w:type="spellEnd"/>
      <w:r w:rsidRPr="00370ABF">
        <w:rPr>
          <w:rFonts w:ascii="Times New Roman" w:hAnsi="Times New Roman"/>
          <w:lang w:val="en-HK"/>
        </w:rPr>
        <w:t xml:space="preserve"> Rules, which Mackay deems outdated. The data provide an empirical foundation for proposing a modernized insanity defence, aligning with 21st-century understandings of mental disorder and criminal responsibility.</w:t>
      </w:r>
    </w:p>
    <w:p w14:paraId="38B2A728" w14:textId="77777777" w:rsidR="00370ABF" w:rsidRPr="00370ABF" w:rsidRDefault="00370ABF" w:rsidP="00370ABF">
      <w:pPr>
        <w:numPr>
          <w:ilvl w:val="0"/>
          <w:numId w:val="1"/>
        </w:numPr>
        <w:spacing w:after="240" w:line="360" w:lineRule="auto"/>
        <w:rPr>
          <w:rFonts w:ascii="Times New Roman" w:hAnsi="Times New Roman"/>
          <w:lang w:val="en-HK"/>
        </w:rPr>
      </w:pPr>
      <w:r w:rsidRPr="00370ABF">
        <w:rPr>
          <w:rFonts w:ascii="Times New Roman" w:hAnsi="Times New Roman"/>
          <w:b/>
          <w:bCs/>
          <w:lang w:val="en-HK"/>
        </w:rPr>
        <w:t>Filling Gaps in Official Statistics</w:t>
      </w:r>
      <w:r w:rsidRPr="00370ABF">
        <w:rPr>
          <w:rFonts w:ascii="Times New Roman" w:hAnsi="Times New Roman"/>
          <w:lang w:val="en-HK"/>
        </w:rPr>
        <w:br/>
        <w:t>Unlike the Ministry of Justice’s annual reports on restricted patients, no comprehensive public statistics exist for NGRI cases with non-hospital disposals. This study’s data, derived from three Ministry of Justice statistical returns, address this gap, despite acknowledged inconsistencies (e.g., 64 versus 68 restriction orders). They offer a more complete picture of NGRI usage, enhancing transparency and scholarly understanding of an under-documented aspect of criminal law.</w:t>
      </w:r>
    </w:p>
    <w:p w14:paraId="38C369BF" w14:textId="77777777" w:rsidR="00370ABF" w:rsidRPr="00370ABF" w:rsidRDefault="00370ABF" w:rsidP="00370ABF">
      <w:pPr>
        <w:spacing w:after="240" w:line="360" w:lineRule="auto"/>
        <w:ind w:left="720"/>
        <w:rPr>
          <w:rFonts w:ascii="Times New Roman" w:hAnsi="Times New Roman"/>
          <w:lang w:val="en-HK"/>
        </w:rPr>
      </w:pPr>
    </w:p>
    <w:p w14:paraId="736C53B4" w14:textId="77777777" w:rsidR="00CD39F1" w:rsidRPr="00370ABF" w:rsidRDefault="00CD39F1" w:rsidP="00370ABF">
      <w:pPr>
        <w:spacing w:after="240" w:line="360" w:lineRule="auto"/>
        <w:outlineLvl w:val="2"/>
      </w:pPr>
    </w:p>
    <w:sectPr w:rsidR="00CD39F1" w:rsidRPr="00370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6868BD"/>
    <w:multiLevelType w:val="multilevel"/>
    <w:tmpl w:val="D2FEE2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7571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09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0ABF"/>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D6911"/>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2209"/>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09C"/>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2F3A"/>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2BDC"/>
  <w15:chartTrackingRefBased/>
  <w15:docId w15:val="{313010E1-D1D8-F74B-9372-AF8C31EF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06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609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0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60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60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0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0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0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09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0609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0609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E0609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0609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0609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0609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0609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0609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060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09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060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09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060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609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0609C"/>
    <w:pPr>
      <w:ind w:left="720"/>
      <w:contextualSpacing/>
    </w:pPr>
  </w:style>
  <w:style w:type="character" w:styleId="IntenseEmphasis">
    <w:name w:val="Intense Emphasis"/>
    <w:basedOn w:val="DefaultParagraphFont"/>
    <w:uiPriority w:val="21"/>
    <w:qFormat/>
    <w:rsid w:val="00E0609C"/>
    <w:rPr>
      <w:i/>
      <w:iCs/>
      <w:color w:val="2F5496" w:themeColor="accent1" w:themeShade="BF"/>
    </w:rPr>
  </w:style>
  <w:style w:type="paragraph" w:styleId="IntenseQuote">
    <w:name w:val="Intense Quote"/>
    <w:basedOn w:val="Normal"/>
    <w:next w:val="Normal"/>
    <w:link w:val="IntenseQuoteChar"/>
    <w:uiPriority w:val="30"/>
    <w:qFormat/>
    <w:rsid w:val="00E06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09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0609C"/>
    <w:rPr>
      <w:b/>
      <w:bCs/>
      <w:smallCaps/>
      <w:color w:val="2F5496" w:themeColor="accent1" w:themeShade="BF"/>
      <w:spacing w:val="5"/>
    </w:rPr>
  </w:style>
  <w:style w:type="paragraph" w:customStyle="1" w:styleId="break-words">
    <w:name w:val="break-words"/>
    <w:basedOn w:val="Normal"/>
    <w:rsid w:val="00370ABF"/>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70ABF"/>
    <w:rPr>
      <w:i/>
      <w:iCs/>
    </w:rPr>
  </w:style>
  <w:style w:type="character" w:styleId="Strong">
    <w:name w:val="Strong"/>
    <w:basedOn w:val="DefaultParagraphFont"/>
    <w:uiPriority w:val="22"/>
    <w:qFormat/>
    <w:rsid w:val="00370A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718615">
      <w:bodyDiv w:val="1"/>
      <w:marLeft w:val="0"/>
      <w:marRight w:val="0"/>
      <w:marTop w:val="0"/>
      <w:marBottom w:val="0"/>
      <w:divBdr>
        <w:top w:val="none" w:sz="0" w:space="0" w:color="auto"/>
        <w:left w:val="none" w:sz="0" w:space="0" w:color="auto"/>
        <w:bottom w:val="none" w:sz="0" w:space="0" w:color="auto"/>
        <w:right w:val="none" w:sz="0" w:space="0" w:color="auto"/>
      </w:divBdr>
      <w:divsChild>
        <w:div w:id="1759058502">
          <w:marLeft w:val="0"/>
          <w:marRight w:val="0"/>
          <w:marTop w:val="0"/>
          <w:marBottom w:val="0"/>
          <w:divBdr>
            <w:top w:val="none" w:sz="0" w:space="0" w:color="auto"/>
            <w:left w:val="none" w:sz="0" w:space="0" w:color="auto"/>
            <w:bottom w:val="none" w:sz="0" w:space="0" w:color="auto"/>
            <w:right w:val="none" w:sz="0" w:space="0" w:color="auto"/>
          </w:divBdr>
        </w:div>
      </w:divsChild>
    </w:div>
    <w:div w:id="2090301171">
      <w:bodyDiv w:val="1"/>
      <w:marLeft w:val="0"/>
      <w:marRight w:val="0"/>
      <w:marTop w:val="0"/>
      <w:marBottom w:val="0"/>
      <w:divBdr>
        <w:top w:val="none" w:sz="0" w:space="0" w:color="auto"/>
        <w:left w:val="none" w:sz="0" w:space="0" w:color="auto"/>
        <w:bottom w:val="none" w:sz="0" w:space="0" w:color="auto"/>
        <w:right w:val="none" w:sz="0" w:space="0" w:color="auto"/>
      </w:divBdr>
      <w:divsChild>
        <w:div w:id="839396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2025-02-25T12:49:00Z</dcterms:created>
  <dcterms:modified xsi:type="dcterms:W3CDTF">2025-02-25T15:52:00Z</dcterms:modified>
</cp:coreProperties>
</file>