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569CF" w14:textId="77777777" w:rsidR="00FC5010" w:rsidRPr="00FC5010" w:rsidRDefault="00FC5010" w:rsidP="00FC5010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Contrast between England and the USA</w:t>
      </w:r>
    </w:p>
    <w:p w14:paraId="51C7B9C1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Shared Recognition of Rarity and Importance</w:t>
      </w:r>
      <w:r w:rsidRPr="00FC5010">
        <w:rPr>
          <w:rFonts w:ascii="Times New Roman" w:hAnsi="Times New Roman"/>
          <w:lang w:val="en-HK"/>
        </w:rPr>
        <w:br/>
      </w:r>
      <w:r w:rsidRPr="00FC5010">
        <w:rPr>
          <w:rFonts w:ascii="Times New Roman" w:hAnsi="Times New Roman"/>
          <w:b/>
          <w:bCs/>
          <w:lang w:val="en-HK"/>
        </w:rPr>
        <w:t>Both jurisdictions acknowledge the insanity defence’s infrequent use and enduring legal significance</w:t>
      </w:r>
      <w:r w:rsidRPr="00FC5010">
        <w:rPr>
          <w:rFonts w:ascii="Times New Roman" w:hAnsi="Times New Roman"/>
          <w:lang w:val="en-HK"/>
        </w:rPr>
        <w:t xml:space="preserve">. In England, NGRI findings averaged 4 annually from 1987–1991 under the </w:t>
      </w:r>
      <w:r w:rsidRPr="00FC5010">
        <w:rPr>
          <w:rFonts w:ascii="Times New Roman" w:hAnsi="Times New Roman"/>
          <w:i/>
          <w:iCs/>
          <w:lang w:val="en-HK"/>
        </w:rPr>
        <w:t>Criminal Procedure (Insanity) Act 1964</w:t>
      </w:r>
      <w:r w:rsidRPr="00FC5010">
        <w:rPr>
          <w:rFonts w:ascii="Times New Roman" w:hAnsi="Times New Roman"/>
          <w:lang w:val="en-HK"/>
        </w:rPr>
        <w:t>, rising to 8.8 from 1992–1996 post-</w:t>
      </w:r>
      <w:r w:rsidRPr="00FC5010">
        <w:rPr>
          <w:rFonts w:ascii="Times New Roman" w:hAnsi="Times New Roman"/>
          <w:i/>
          <w:iCs/>
          <w:lang w:val="en-HK"/>
        </w:rPr>
        <w:t>Criminal Procedure (Insanity and Unfitness to Plead) Act 1991</w:t>
      </w:r>
      <w:r w:rsidRPr="00FC5010">
        <w:rPr>
          <w:rFonts w:ascii="Times New Roman" w:hAnsi="Times New Roman"/>
          <w:lang w:val="en-HK"/>
        </w:rPr>
        <w:t xml:space="preserve"> (Mackay and Kearns, [1999] Crim LR 714 at 716). In the USA, only about 3,500 individuals are held as NGRI, a </w:t>
      </w:r>
      <w:r w:rsidRPr="00FC5010">
        <w:rPr>
          <w:rFonts w:ascii="Times New Roman" w:hAnsi="Times New Roman"/>
          <w:i/>
          <w:iCs/>
          <w:lang w:val="en-HK"/>
        </w:rPr>
        <w:t>minute part of the squalor of the American criminal justice system</w:t>
      </w:r>
      <w:r w:rsidRPr="00FC5010">
        <w:rPr>
          <w:rFonts w:ascii="Times New Roman" w:hAnsi="Times New Roman"/>
          <w:lang w:val="en-HK"/>
        </w:rPr>
        <w:t xml:space="preserve"> (Bonnie and Morris, 1 Journal of Law and Health 113 at 118). Despite rarity, its importance persists, as </w:t>
      </w:r>
      <w:r w:rsidRPr="00FC5010">
        <w:rPr>
          <w:rFonts w:ascii="Times New Roman" w:hAnsi="Times New Roman"/>
          <w:i/>
          <w:iCs/>
          <w:lang w:val="en-HK"/>
        </w:rPr>
        <w:t>it is still of great legal importance</w:t>
      </w:r>
      <w:r w:rsidRPr="00FC5010">
        <w:rPr>
          <w:rFonts w:ascii="Times New Roman" w:hAnsi="Times New Roman"/>
          <w:lang w:val="en-HK"/>
        </w:rPr>
        <w:t xml:space="preserve"> (ibid. at 122; Mackay, Mental Condition Defences (1995) 74).</w:t>
      </w:r>
    </w:p>
    <w:p w14:paraId="5DC78B63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Divergent Approaches to Abolition</w:t>
      </w:r>
      <w:r w:rsidRPr="00FC5010">
        <w:rPr>
          <w:rFonts w:ascii="Times New Roman" w:hAnsi="Times New Roman"/>
          <w:lang w:val="en-HK"/>
        </w:rPr>
        <w:t xml:space="preserve"> </w:t>
      </w:r>
    </w:p>
    <w:p w14:paraId="4B3B44FB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England</w:t>
      </w:r>
      <w:r w:rsidRPr="00FC5010">
        <w:rPr>
          <w:rFonts w:ascii="Times New Roman" w:hAnsi="Times New Roman"/>
          <w:lang w:val="en-HK"/>
        </w:rPr>
        <w:t xml:space="preserve">: </w:t>
      </w:r>
      <w:r w:rsidRPr="00FC5010">
        <w:rPr>
          <w:rFonts w:ascii="Times New Roman" w:hAnsi="Times New Roman"/>
          <w:b/>
          <w:bCs/>
          <w:lang w:val="en-HK"/>
        </w:rPr>
        <w:t>Abolition garners little attention</w:t>
      </w:r>
      <w:r w:rsidRPr="00FC5010">
        <w:rPr>
          <w:rFonts w:ascii="Times New Roman" w:hAnsi="Times New Roman"/>
          <w:lang w:val="en-HK"/>
        </w:rPr>
        <w:t xml:space="preserve">; debate </w:t>
      </w:r>
      <w:proofErr w:type="spellStart"/>
      <w:r w:rsidRPr="00FC5010">
        <w:rPr>
          <w:rFonts w:ascii="Times New Roman" w:hAnsi="Times New Roman"/>
          <w:lang w:val="en-HK"/>
        </w:rPr>
        <w:t>centers</w:t>
      </w:r>
      <w:proofErr w:type="spellEnd"/>
      <w:r w:rsidRPr="00FC5010">
        <w:rPr>
          <w:rFonts w:ascii="Times New Roman" w:hAnsi="Times New Roman"/>
          <w:lang w:val="en-HK"/>
        </w:rPr>
        <w:t xml:space="preserve"> on reforming the </w:t>
      </w:r>
      <w:proofErr w:type="spellStart"/>
      <w:r w:rsidRPr="00FC5010">
        <w:rPr>
          <w:rFonts w:ascii="Times New Roman" w:hAnsi="Times New Roman"/>
          <w:lang w:val="en-HK"/>
        </w:rPr>
        <w:t>M’Naghten</w:t>
      </w:r>
      <w:proofErr w:type="spellEnd"/>
      <w:r w:rsidRPr="00FC5010">
        <w:rPr>
          <w:rFonts w:ascii="Times New Roman" w:hAnsi="Times New Roman"/>
          <w:lang w:val="en-HK"/>
        </w:rPr>
        <w:t xml:space="preserve"> Rules. The 1953 Royal Commission on Capital Punishment upheld it as an </w:t>
      </w:r>
      <w:r w:rsidRPr="00FC5010">
        <w:rPr>
          <w:rFonts w:ascii="Times New Roman" w:hAnsi="Times New Roman"/>
          <w:i/>
          <w:iCs/>
          <w:lang w:val="en-HK"/>
        </w:rPr>
        <w:t>ancient and humane principle that has long formed part of our common law</w:t>
      </w:r>
      <w:r w:rsidRPr="00FC5010">
        <w:rPr>
          <w:rFonts w:ascii="Times New Roman" w:hAnsi="Times New Roman"/>
          <w:lang w:val="en-HK"/>
        </w:rPr>
        <w:t xml:space="preserve"> (</w:t>
      </w:r>
      <w:proofErr w:type="spellStart"/>
      <w:r w:rsidRPr="00FC5010">
        <w:rPr>
          <w:rFonts w:ascii="Times New Roman" w:hAnsi="Times New Roman"/>
          <w:lang w:val="en-HK"/>
        </w:rPr>
        <w:t>Cmd</w:t>
      </w:r>
      <w:proofErr w:type="spellEnd"/>
      <w:r w:rsidRPr="00FC5010">
        <w:rPr>
          <w:rFonts w:ascii="Times New Roman" w:hAnsi="Times New Roman"/>
          <w:lang w:val="en-HK"/>
        </w:rPr>
        <w:t xml:space="preserve"> 8932, cited in Mackay, 74), echoed by the 1975 Committee on Mentally Abnormal Offenders: </w:t>
      </w:r>
      <w:r w:rsidRPr="00FC5010">
        <w:rPr>
          <w:rFonts w:ascii="Times New Roman" w:hAnsi="Times New Roman"/>
          <w:i/>
          <w:iCs/>
          <w:lang w:val="en-HK"/>
        </w:rPr>
        <w:t>if a person was … mentally so disordered that it would be unreasonable to impute guilt to him, he ought not to be held liable</w:t>
      </w:r>
      <w:r w:rsidRPr="00FC5010">
        <w:rPr>
          <w:rFonts w:ascii="Times New Roman" w:hAnsi="Times New Roman"/>
          <w:lang w:val="en-HK"/>
        </w:rPr>
        <w:t xml:space="preserve"> (</w:t>
      </w:r>
      <w:proofErr w:type="spellStart"/>
      <w:r w:rsidRPr="00FC5010">
        <w:rPr>
          <w:rFonts w:ascii="Times New Roman" w:hAnsi="Times New Roman"/>
          <w:lang w:val="en-HK"/>
        </w:rPr>
        <w:t>Cmnd</w:t>
      </w:r>
      <w:proofErr w:type="spellEnd"/>
      <w:r w:rsidRPr="00FC5010">
        <w:rPr>
          <w:rFonts w:ascii="Times New Roman" w:hAnsi="Times New Roman"/>
          <w:lang w:val="en-HK"/>
        </w:rPr>
        <w:t xml:space="preserve"> 6244, cited in ibid.). Retention is assumed, with focus on broadening the test.</w:t>
      </w:r>
    </w:p>
    <w:p w14:paraId="0BF6D241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USA</w:t>
      </w:r>
      <w:r w:rsidRPr="00FC5010">
        <w:rPr>
          <w:rFonts w:ascii="Times New Roman" w:hAnsi="Times New Roman"/>
          <w:b/>
          <w:bCs/>
          <w:lang w:val="en-HK"/>
        </w:rPr>
        <w:t xml:space="preserve">: </w:t>
      </w:r>
      <w:r w:rsidRPr="00FC5010">
        <w:rPr>
          <w:rFonts w:ascii="Times New Roman" w:hAnsi="Times New Roman"/>
          <w:b/>
          <w:bCs/>
          <w:u w:val="single"/>
          <w:lang w:val="en-HK"/>
        </w:rPr>
        <w:t>Abolition is seriously considered</w:t>
      </w:r>
      <w:r w:rsidRPr="00FC5010">
        <w:rPr>
          <w:rFonts w:ascii="Times New Roman" w:hAnsi="Times New Roman"/>
          <w:b/>
          <w:bCs/>
          <w:lang w:val="en-HK"/>
        </w:rPr>
        <w:t xml:space="preserve">, implemented in five states (Montana, Utah, Idaho, Kansas, Nevada) </w:t>
      </w:r>
      <w:r w:rsidRPr="00FC5010">
        <w:rPr>
          <w:rFonts w:ascii="Times New Roman" w:hAnsi="Times New Roman"/>
          <w:b/>
          <w:bCs/>
          <w:u w:val="single"/>
          <w:lang w:val="en-HK"/>
        </w:rPr>
        <w:t xml:space="preserve">via a </w:t>
      </w:r>
      <w:proofErr w:type="spellStart"/>
      <w:r w:rsidRPr="00FC5010">
        <w:rPr>
          <w:rFonts w:ascii="Times New Roman" w:hAnsi="Times New Roman"/>
          <w:b/>
          <w:bCs/>
          <w:u w:val="single"/>
          <w:lang w:val="en-HK"/>
        </w:rPr>
        <w:t>mens</w:t>
      </w:r>
      <w:proofErr w:type="spellEnd"/>
      <w:r w:rsidRPr="00FC5010">
        <w:rPr>
          <w:rFonts w:ascii="Times New Roman" w:hAnsi="Times New Roman"/>
          <w:b/>
          <w:bCs/>
          <w:u w:val="single"/>
          <w:lang w:val="en-HK"/>
        </w:rPr>
        <w:t xml:space="preserve"> rea approach</w:t>
      </w:r>
      <w:r w:rsidRPr="00FC5010">
        <w:rPr>
          <w:rFonts w:ascii="Times New Roman" w:hAnsi="Times New Roman"/>
          <w:lang w:val="en-HK"/>
        </w:rPr>
        <w:t xml:space="preserve"> (</w:t>
      </w:r>
      <w:proofErr w:type="spellStart"/>
      <w:r w:rsidRPr="00FC5010">
        <w:rPr>
          <w:rFonts w:ascii="Times New Roman" w:hAnsi="Times New Roman"/>
          <w:lang w:val="en-HK"/>
        </w:rPr>
        <w:t>Slobogin</w:t>
      </w:r>
      <w:proofErr w:type="spellEnd"/>
      <w:r w:rsidRPr="00FC5010">
        <w:rPr>
          <w:rFonts w:ascii="Times New Roman" w:hAnsi="Times New Roman"/>
          <w:lang w:val="en-HK"/>
        </w:rPr>
        <w:t xml:space="preserve">, Olin Working Paper No. 00-3, 1). The 1981 acquittal in </w:t>
      </w:r>
      <w:r w:rsidRPr="00FC5010">
        <w:rPr>
          <w:rFonts w:ascii="Times New Roman" w:hAnsi="Times New Roman"/>
          <w:i/>
          <w:iCs/>
          <w:lang w:val="en-HK"/>
        </w:rPr>
        <w:t>United States v Hinckley</w:t>
      </w:r>
      <w:r w:rsidRPr="00FC5010">
        <w:rPr>
          <w:rFonts w:ascii="Times New Roman" w:hAnsi="Times New Roman"/>
          <w:lang w:val="en-HK"/>
        </w:rPr>
        <w:t xml:space="preserve"> (525 F Supp 1342) of Reagan’s would-be assassin intensified calls for reform, supported by the Reagan administration’s </w:t>
      </w:r>
      <w:r w:rsidRPr="00FC5010">
        <w:rPr>
          <w:rFonts w:ascii="Times New Roman" w:hAnsi="Times New Roman"/>
          <w:i/>
          <w:iCs/>
          <w:lang w:val="en-HK"/>
        </w:rPr>
        <w:t xml:space="preserve">Insanity </w:t>
      </w:r>
      <w:proofErr w:type="spellStart"/>
      <w:r w:rsidRPr="00FC5010">
        <w:rPr>
          <w:rFonts w:ascii="Times New Roman" w:hAnsi="Times New Roman"/>
          <w:i/>
          <w:iCs/>
          <w:lang w:val="en-HK"/>
        </w:rPr>
        <w:t>Defense</w:t>
      </w:r>
      <w:proofErr w:type="spellEnd"/>
      <w:r w:rsidRPr="00FC5010">
        <w:rPr>
          <w:rFonts w:ascii="Times New Roman" w:hAnsi="Times New Roman"/>
          <w:i/>
          <w:iCs/>
          <w:lang w:val="en-HK"/>
        </w:rPr>
        <w:t xml:space="preserve"> Reform Act 1984</w:t>
      </w:r>
      <w:r w:rsidRPr="00FC5010">
        <w:rPr>
          <w:rFonts w:ascii="Times New Roman" w:hAnsi="Times New Roman"/>
          <w:lang w:val="en-HK"/>
        </w:rPr>
        <w:t xml:space="preserve"> and the American Medical Association (251 JAMA 2967), reflecting a policy shift toward restriction or elimination.</w:t>
      </w:r>
    </w:p>
    <w:p w14:paraId="63A62815" w14:textId="6021E446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Explanation</w:t>
      </w:r>
      <w:r w:rsidRPr="00FC5010">
        <w:rPr>
          <w:rFonts w:ascii="Times New Roman" w:hAnsi="Times New Roman"/>
          <w:lang w:val="en-HK"/>
        </w:rPr>
        <w:t xml:space="preserve">: England’s conservative stance preserves historical principles, while the USA’s reactive approach </w:t>
      </w:r>
      <w:r w:rsidRPr="00FC5010">
        <w:rPr>
          <w:rFonts w:ascii="Times New Roman" w:hAnsi="Times New Roman"/>
          <w:b/>
          <w:bCs/>
          <w:lang w:val="en-HK"/>
        </w:rPr>
        <w:t>post-</w:t>
      </w:r>
      <w:r w:rsidRPr="00FC5010">
        <w:rPr>
          <w:rFonts w:ascii="Times New Roman" w:hAnsi="Times New Roman"/>
          <w:b/>
          <w:bCs/>
          <w:i/>
          <w:iCs/>
          <w:lang w:val="en-HK"/>
        </w:rPr>
        <w:t>Hinckley</w:t>
      </w:r>
      <w:r w:rsidRPr="00FC5010">
        <w:rPr>
          <w:rFonts w:ascii="Times New Roman" w:hAnsi="Times New Roman"/>
          <w:b/>
          <w:bCs/>
          <w:lang w:val="en-HK"/>
        </w:rPr>
        <w:t xml:space="preserve"> reflects public and political pressure</w:t>
      </w:r>
      <w:r w:rsidRPr="00FC5010">
        <w:rPr>
          <w:rFonts w:ascii="Times New Roman" w:hAnsi="Times New Roman"/>
          <w:lang w:val="en-HK"/>
        </w:rPr>
        <w:t>, highlighting a transatlantic divide in addressing mental disorder in criminal law.</w:t>
      </w:r>
    </w:p>
    <w:p w14:paraId="785C878A" w14:textId="77777777" w:rsidR="00FC5010" w:rsidRPr="00FC5010" w:rsidRDefault="00FC5010" w:rsidP="00FC5010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‘Total’ or ‘Partial’ Abolition</w:t>
      </w:r>
    </w:p>
    <w:p w14:paraId="7F4CEC0E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Total Abolition</w:t>
      </w:r>
      <w:r w:rsidRPr="00FC5010">
        <w:rPr>
          <w:rFonts w:ascii="Times New Roman" w:hAnsi="Times New Roman"/>
          <w:lang w:val="en-HK"/>
        </w:rPr>
        <w:t xml:space="preserve"> </w:t>
      </w:r>
    </w:p>
    <w:p w14:paraId="7741154C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lastRenderedPageBreak/>
        <w:t>Definition and Critique</w:t>
      </w:r>
      <w:r w:rsidRPr="00FC5010">
        <w:rPr>
          <w:rFonts w:ascii="Times New Roman" w:hAnsi="Times New Roman"/>
          <w:lang w:val="en-HK"/>
        </w:rPr>
        <w:t xml:space="preserve">: </w:t>
      </w:r>
      <w:r w:rsidRPr="00FC5010">
        <w:rPr>
          <w:rFonts w:ascii="Times New Roman" w:hAnsi="Times New Roman"/>
          <w:b/>
          <w:bCs/>
          <w:color w:val="FF0000"/>
          <w:lang w:val="en-HK"/>
        </w:rPr>
        <w:t>Total abolition excludes all mental abnormality evidence during the guilt phase (Mackay, 124)</w:t>
      </w:r>
      <w:r w:rsidRPr="00FC5010">
        <w:rPr>
          <w:rFonts w:ascii="Times New Roman" w:hAnsi="Times New Roman"/>
          <w:b/>
          <w:bCs/>
          <w:lang w:val="en-HK"/>
        </w:rPr>
        <w:t>,</w:t>
      </w:r>
      <w:r w:rsidRPr="00FC5010">
        <w:rPr>
          <w:rFonts w:ascii="Times New Roman" w:hAnsi="Times New Roman"/>
          <w:lang w:val="en-HK"/>
        </w:rPr>
        <w:t xml:space="preserve"> a stance rejected in early 20th-century US attempts as unconstitutional (ibid.). Mackay asserts, </w:t>
      </w:r>
      <w:r w:rsidRPr="00FC5010">
        <w:rPr>
          <w:rFonts w:ascii="Times New Roman" w:hAnsi="Times New Roman"/>
          <w:i/>
          <w:iCs/>
          <w:lang w:val="en-HK"/>
        </w:rPr>
        <w:t xml:space="preserve">total abolition is unjust and cannot be supported under any circumstances while the doctrine of </w:t>
      </w:r>
      <w:proofErr w:type="spellStart"/>
      <w:r w:rsidRPr="00FC5010">
        <w:rPr>
          <w:rFonts w:ascii="Times New Roman" w:hAnsi="Times New Roman"/>
          <w:i/>
          <w:iCs/>
          <w:lang w:val="en-HK"/>
        </w:rPr>
        <w:t>mens</w:t>
      </w:r>
      <w:proofErr w:type="spellEnd"/>
      <w:r w:rsidRPr="00FC5010">
        <w:rPr>
          <w:rFonts w:ascii="Times New Roman" w:hAnsi="Times New Roman"/>
          <w:i/>
          <w:iCs/>
          <w:lang w:val="en-HK"/>
        </w:rPr>
        <w:t xml:space="preserve"> rea continues to be regarded as a fundamental tenet</w:t>
      </w:r>
      <w:r w:rsidRPr="00FC5010">
        <w:rPr>
          <w:rFonts w:ascii="Times New Roman" w:hAnsi="Times New Roman"/>
          <w:lang w:val="en-HK"/>
        </w:rPr>
        <w:t xml:space="preserve"> (ibid. at 125), arguing it undermines fairness by ignoring mental capacity entirely.</w:t>
      </w:r>
    </w:p>
    <w:p w14:paraId="15C41236" w14:textId="0599C5AC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Implication</w:t>
      </w:r>
      <w:r w:rsidRPr="00FC5010">
        <w:rPr>
          <w:rFonts w:ascii="Times New Roman" w:hAnsi="Times New Roman"/>
          <w:lang w:val="en-HK"/>
        </w:rPr>
        <w:t xml:space="preserve">: Its infeasibility stems from clashing with </w:t>
      </w:r>
      <w:proofErr w:type="spellStart"/>
      <w:r w:rsidRPr="00FC5010">
        <w:rPr>
          <w:rFonts w:ascii="Times New Roman" w:hAnsi="Times New Roman"/>
          <w:lang w:val="en-HK"/>
        </w:rPr>
        <w:t>mens</w:t>
      </w:r>
      <w:proofErr w:type="spellEnd"/>
      <w:r w:rsidRPr="00FC5010">
        <w:rPr>
          <w:rFonts w:ascii="Times New Roman" w:hAnsi="Times New Roman"/>
          <w:lang w:val="en-HK"/>
        </w:rPr>
        <w:t xml:space="preserve"> </w:t>
      </w:r>
      <w:proofErr w:type="spellStart"/>
      <w:r w:rsidRPr="00FC5010">
        <w:rPr>
          <w:rFonts w:ascii="Times New Roman" w:hAnsi="Times New Roman"/>
          <w:lang w:val="en-HK"/>
        </w:rPr>
        <w:t>rea’s</w:t>
      </w:r>
      <w:proofErr w:type="spellEnd"/>
      <w:r w:rsidRPr="00FC5010">
        <w:rPr>
          <w:rFonts w:ascii="Times New Roman" w:hAnsi="Times New Roman"/>
          <w:lang w:val="en-HK"/>
        </w:rPr>
        <w:t xml:space="preserve"> foundational role, rendering it morally and legally untenable.</w:t>
      </w:r>
    </w:p>
    <w:p w14:paraId="52E7DE63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Partial Abolition</w:t>
      </w:r>
      <w:r w:rsidRPr="00FC5010">
        <w:rPr>
          <w:rFonts w:ascii="Times New Roman" w:hAnsi="Times New Roman"/>
          <w:lang w:val="en-HK"/>
        </w:rPr>
        <w:t xml:space="preserve"> </w:t>
      </w:r>
    </w:p>
    <w:p w14:paraId="76CF33AA" w14:textId="6A7CDAEE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Definition</w:t>
      </w:r>
      <w:r w:rsidRPr="00FC5010">
        <w:rPr>
          <w:rFonts w:ascii="Times New Roman" w:hAnsi="Times New Roman"/>
          <w:lang w:val="en-HK"/>
        </w:rPr>
        <w:t xml:space="preserve">: </w:t>
      </w:r>
      <w:r w:rsidRPr="00FC5010">
        <w:rPr>
          <w:rFonts w:ascii="Times New Roman" w:hAnsi="Times New Roman"/>
          <w:b/>
          <w:bCs/>
          <w:color w:val="FF0000"/>
          <w:lang w:val="en-HK"/>
        </w:rPr>
        <w:t xml:space="preserve">Partial abolition, or the </w:t>
      </w:r>
      <w:proofErr w:type="spellStart"/>
      <w:r w:rsidRPr="00FC5010">
        <w:rPr>
          <w:rFonts w:ascii="Times New Roman" w:hAnsi="Times New Roman"/>
          <w:b/>
          <w:bCs/>
          <w:color w:val="FF0000"/>
          <w:lang w:val="en-HK"/>
        </w:rPr>
        <w:t>mens</w:t>
      </w:r>
      <w:proofErr w:type="spellEnd"/>
      <w:r w:rsidRPr="00FC5010">
        <w:rPr>
          <w:rFonts w:ascii="Times New Roman" w:hAnsi="Times New Roman"/>
          <w:b/>
          <w:bCs/>
          <w:color w:val="FF0000"/>
          <w:lang w:val="en-HK"/>
        </w:rPr>
        <w:t xml:space="preserve"> rea approach, eliminates the insanity defence as a distinct entity, allowing mental illness evidence only to negate actus reus or </w:t>
      </w:r>
      <w:proofErr w:type="spellStart"/>
      <w:r w:rsidRPr="00FC5010">
        <w:rPr>
          <w:rFonts w:ascii="Times New Roman" w:hAnsi="Times New Roman"/>
          <w:b/>
          <w:bCs/>
          <w:color w:val="FF0000"/>
          <w:lang w:val="en-HK"/>
        </w:rPr>
        <w:t>mens</w:t>
      </w:r>
      <w:proofErr w:type="spellEnd"/>
      <w:r w:rsidRPr="00FC5010">
        <w:rPr>
          <w:rFonts w:ascii="Times New Roman" w:hAnsi="Times New Roman"/>
          <w:b/>
          <w:bCs/>
          <w:color w:val="FF0000"/>
          <w:lang w:val="en-HK"/>
        </w:rPr>
        <w:t xml:space="preserve"> rea (Morris, 33 Syracuse Law Review 477 at 510; Brooks, 477 Annals 125 at 126-7). Adopted</w:t>
      </w:r>
      <w:r w:rsidRPr="00FC5010">
        <w:rPr>
          <w:rFonts w:ascii="Times New Roman" w:hAnsi="Times New Roman"/>
          <w:color w:val="FF0000"/>
          <w:lang w:val="en-HK"/>
        </w:rPr>
        <w:t xml:space="preserve"> </w:t>
      </w:r>
      <w:r w:rsidRPr="00FC5010">
        <w:rPr>
          <w:rFonts w:ascii="Times New Roman" w:hAnsi="Times New Roman"/>
          <w:lang w:val="en-HK"/>
        </w:rPr>
        <w:t>in five US states pre- and post-</w:t>
      </w:r>
      <w:r w:rsidRPr="00FC5010">
        <w:rPr>
          <w:rFonts w:ascii="Times New Roman" w:hAnsi="Times New Roman"/>
          <w:i/>
          <w:iCs/>
          <w:lang w:val="en-HK"/>
        </w:rPr>
        <w:t>Hinckley</w:t>
      </w:r>
      <w:r w:rsidRPr="00FC5010">
        <w:rPr>
          <w:rFonts w:ascii="Times New Roman" w:hAnsi="Times New Roman"/>
          <w:lang w:val="en-HK"/>
        </w:rPr>
        <w:t xml:space="preserve"> (</w:t>
      </w:r>
      <w:proofErr w:type="spellStart"/>
      <w:r w:rsidRPr="00FC5010">
        <w:rPr>
          <w:rFonts w:ascii="Times New Roman" w:hAnsi="Times New Roman"/>
          <w:lang w:val="en-HK"/>
        </w:rPr>
        <w:t>Slobogin</w:t>
      </w:r>
      <w:proofErr w:type="spellEnd"/>
      <w:r w:rsidRPr="00FC5010">
        <w:rPr>
          <w:rFonts w:ascii="Times New Roman" w:hAnsi="Times New Roman"/>
          <w:lang w:val="en-HK"/>
        </w:rPr>
        <w:t>, 1), it narrows exculpation to cognitive awareness of intent or recklessness.</w:t>
      </w:r>
    </w:p>
    <w:p w14:paraId="7C9A2D8F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Morris’s Moral Argument</w:t>
      </w:r>
      <w:r w:rsidRPr="00FC5010">
        <w:rPr>
          <w:rFonts w:ascii="Times New Roman" w:hAnsi="Times New Roman"/>
          <w:lang w:val="en-HK"/>
        </w:rPr>
        <w:t xml:space="preserve">: Morris contends the defence is an </w:t>
      </w:r>
      <w:r w:rsidRPr="00FC5010">
        <w:rPr>
          <w:rFonts w:ascii="Times New Roman" w:hAnsi="Times New Roman"/>
          <w:i/>
          <w:iCs/>
          <w:lang w:val="en-HK"/>
        </w:rPr>
        <w:t>unprincipled compromise</w:t>
      </w:r>
      <w:r w:rsidRPr="00FC5010">
        <w:rPr>
          <w:rFonts w:ascii="Times New Roman" w:hAnsi="Times New Roman"/>
          <w:lang w:val="en-HK"/>
        </w:rPr>
        <w:t xml:space="preserve"> (Bonnie and Morris, 119-20), morally flawed for assuming responsibility is binary and excusing mental defects over other pressures like social adversity, which he claims is </w:t>
      </w:r>
      <w:r w:rsidRPr="00FC5010">
        <w:rPr>
          <w:rFonts w:ascii="Times New Roman" w:hAnsi="Times New Roman"/>
          <w:i/>
          <w:iCs/>
          <w:lang w:val="en-HK"/>
        </w:rPr>
        <w:t>grossly more potent in its pressure toward criminality</w:t>
      </w:r>
      <w:r w:rsidRPr="00FC5010">
        <w:rPr>
          <w:rFonts w:ascii="Times New Roman" w:hAnsi="Times New Roman"/>
          <w:lang w:val="en-HK"/>
        </w:rPr>
        <w:t xml:space="preserve"> than psychosis (Morris, 508). He advocates applying </w:t>
      </w:r>
      <w:r w:rsidRPr="00FC5010">
        <w:rPr>
          <w:rFonts w:ascii="Times New Roman" w:hAnsi="Times New Roman"/>
          <w:i/>
          <w:iCs/>
          <w:lang w:val="en-HK"/>
        </w:rPr>
        <w:t xml:space="preserve">common law-established principles of </w:t>
      </w:r>
      <w:proofErr w:type="spellStart"/>
      <w:r w:rsidRPr="00FC5010">
        <w:rPr>
          <w:rFonts w:ascii="Times New Roman" w:hAnsi="Times New Roman"/>
          <w:i/>
          <w:iCs/>
          <w:lang w:val="en-HK"/>
        </w:rPr>
        <w:t>mens</w:t>
      </w:r>
      <w:proofErr w:type="spellEnd"/>
      <w:r w:rsidRPr="00FC5010">
        <w:rPr>
          <w:rFonts w:ascii="Times New Roman" w:hAnsi="Times New Roman"/>
          <w:i/>
          <w:iCs/>
          <w:lang w:val="en-HK"/>
        </w:rPr>
        <w:t xml:space="preserve"> rea</w:t>
      </w:r>
      <w:r w:rsidRPr="00FC5010">
        <w:rPr>
          <w:rFonts w:ascii="Times New Roman" w:hAnsi="Times New Roman"/>
          <w:lang w:val="en-HK"/>
        </w:rPr>
        <w:t xml:space="preserve"> (Bonnie and Morris, 117) without a special defence.</w:t>
      </w:r>
    </w:p>
    <w:p w14:paraId="4D7F9CBA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Implementation and Limits</w:t>
      </w:r>
      <w:r w:rsidRPr="00FC5010">
        <w:rPr>
          <w:rFonts w:ascii="Times New Roman" w:hAnsi="Times New Roman"/>
          <w:lang w:val="en-HK"/>
        </w:rPr>
        <w:t xml:space="preserve">: In Idaho, Montana, and Utah, sparse appellate review reflects low population and limited case volume (Mackay, 128). </w:t>
      </w:r>
      <w:r w:rsidRPr="00FC5010">
        <w:rPr>
          <w:rFonts w:ascii="Times New Roman" w:hAnsi="Times New Roman"/>
          <w:i/>
          <w:iCs/>
          <w:lang w:val="en-HK"/>
        </w:rPr>
        <w:t xml:space="preserve">State of Montana v </w:t>
      </w:r>
      <w:proofErr w:type="spellStart"/>
      <w:r w:rsidRPr="00FC5010">
        <w:rPr>
          <w:rFonts w:ascii="Times New Roman" w:hAnsi="Times New Roman"/>
          <w:i/>
          <w:iCs/>
          <w:lang w:val="en-HK"/>
        </w:rPr>
        <w:t>Korell</w:t>
      </w:r>
      <w:proofErr w:type="spellEnd"/>
      <w:r w:rsidRPr="00FC5010">
        <w:rPr>
          <w:rFonts w:ascii="Times New Roman" w:hAnsi="Times New Roman"/>
          <w:lang w:val="en-HK"/>
        </w:rPr>
        <w:t xml:space="preserve"> (690 P 2d 992, 1984) is noted, with Justice Sheehy’s dissent </w:t>
      </w:r>
      <w:proofErr w:type="spellStart"/>
      <w:r w:rsidRPr="00FC5010">
        <w:rPr>
          <w:rFonts w:ascii="Times New Roman" w:hAnsi="Times New Roman"/>
          <w:lang w:val="en-HK"/>
        </w:rPr>
        <w:t>signaling</w:t>
      </w:r>
      <w:proofErr w:type="spellEnd"/>
      <w:r w:rsidRPr="00FC5010">
        <w:rPr>
          <w:rFonts w:ascii="Times New Roman" w:hAnsi="Times New Roman"/>
          <w:lang w:val="en-HK"/>
        </w:rPr>
        <w:t xml:space="preserve"> resistance, though details are omitted.</w:t>
      </w:r>
    </w:p>
    <w:p w14:paraId="7AD77AFD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Explanation</w:t>
      </w:r>
      <w:r w:rsidRPr="00FC5010">
        <w:rPr>
          <w:rFonts w:ascii="Times New Roman" w:hAnsi="Times New Roman"/>
          <w:lang w:val="en-HK"/>
        </w:rPr>
        <w:t>: Morris’s view challenges the moral privilege of insanity over adversity, but its narrowness risks convicting irrational actors, prompting debate over justice versus consistency.</w:t>
      </w:r>
    </w:p>
    <w:p w14:paraId="128961A3" w14:textId="77777777" w:rsidR="00FC5010" w:rsidRPr="00FC5010" w:rsidRDefault="00FC5010" w:rsidP="00FC5010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R v Johnson (Dean) and Other Cases</w:t>
      </w:r>
    </w:p>
    <w:p w14:paraId="530F2A49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R v Johnson (Dean) [2007] EWCA Crim 1978</w:t>
      </w:r>
      <w:r w:rsidRPr="00FC5010">
        <w:rPr>
          <w:rFonts w:ascii="Times New Roman" w:hAnsi="Times New Roman"/>
          <w:lang w:val="en-HK"/>
        </w:rPr>
        <w:t xml:space="preserve"> </w:t>
      </w:r>
    </w:p>
    <w:p w14:paraId="07D601B9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lastRenderedPageBreak/>
        <w:t>Facts</w:t>
      </w:r>
      <w:r w:rsidRPr="00FC5010">
        <w:rPr>
          <w:rFonts w:ascii="Times New Roman" w:hAnsi="Times New Roman"/>
          <w:lang w:val="en-HK"/>
        </w:rPr>
        <w:t xml:space="preserve">: Johnson appealed his conviction, arguing that while he knew his act was legally wrong, he believed it morally justified due to mental disorder. He sought to broaden the </w:t>
      </w:r>
      <w:proofErr w:type="spellStart"/>
      <w:r w:rsidRPr="00FC5010">
        <w:rPr>
          <w:rFonts w:ascii="Times New Roman" w:hAnsi="Times New Roman"/>
          <w:lang w:val="en-HK"/>
        </w:rPr>
        <w:t>M’Naghten</w:t>
      </w:r>
      <w:proofErr w:type="spellEnd"/>
      <w:r w:rsidRPr="00FC5010">
        <w:rPr>
          <w:rFonts w:ascii="Times New Roman" w:hAnsi="Times New Roman"/>
          <w:lang w:val="en-HK"/>
        </w:rPr>
        <w:t xml:space="preserve"> Rules’ "wrongness" limb.</w:t>
      </w:r>
    </w:p>
    <w:p w14:paraId="5D9970A2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u w:val="single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Held</w:t>
      </w:r>
      <w:r w:rsidRPr="00FC5010">
        <w:rPr>
          <w:rFonts w:ascii="Times New Roman" w:hAnsi="Times New Roman"/>
          <w:lang w:val="en-HK"/>
        </w:rPr>
        <w:t xml:space="preserve">: The Court of Appeal, bound by precedent, dismissed the appeal, affirming </w:t>
      </w:r>
      <w:r w:rsidRPr="00FC5010">
        <w:rPr>
          <w:rFonts w:ascii="Times New Roman" w:hAnsi="Times New Roman"/>
          <w:i/>
          <w:iCs/>
          <w:lang w:val="en-HK"/>
        </w:rPr>
        <w:t>R v Windle</w:t>
      </w:r>
      <w:r w:rsidRPr="00FC5010">
        <w:rPr>
          <w:rFonts w:ascii="Times New Roman" w:hAnsi="Times New Roman"/>
          <w:lang w:val="en-HK"/>
        </w:rPr>
        <w:t xml:space="preserve">. </w:t>
      </w:r>
      <w:r w:rsidRPr="00FC5010">
        <w:rPr>
          <w:rFonts w:ascii="Times New Roman" w:hAnsi="Times New Roman"/>
          <w:u w:val="single"/>
          <w:lang w:val="en-HK"/>
        </w:rPr>
        <w:t xml:space="preserve">Latham LJ noted </w:t>
      </w:r>
      <w:r w:rsidRPr="00FC5010">
        <w:rPr>
          <w:rFonts w:ascii="Times New Roman" w:hAnsi="Times New Roman"/>
          <w:i/>
          <w:iCs/>
          <w:u w:val="single"/>
          <w:lang w:val="en-HK"/>
        </w:rPr>
        <w:t>room for reconsideration</w:t>
      </w:r>
      <w:r w:rsidRPr="00FC5010">
        <w:rPr>
          <w:rFonts w:ascii="Times New Roman" w:hAnsi="Times New Roman"/>
          <w:u w:val="single"/>
          <w:lang w:val="en-HK"/>
        </w:rPr>
        <w:t xml:space="preserve"> of </w:t>
      </w:r>
      <w:proofErr w:type="spellStart"/>
      <w:r w:rsidRPr="00FC5010">
        <w:rPr>
          <w:rFonts w:ascii="Times New Roman" w:hAnsi="Times New Roman"/>
          <w:u w:val="single"/>
          <w:lang w:val="en-HK"/>
        </w:rPr>
        <w:t>M’Naghten</w:t>
      </w:r>
      <w:proofErr w:type="spellEnd"/>
      <w:r w:rsidRPr="00FC5010">
        <w:rPr>
          <w:rFonts w:ascii="Times New Roman" w:hAnsi="Times New Roman"/>
          <w:u w:val="single"/>
          <w:lang w:val="en-HK"/>
        </w:rPr>
        <w:t xml:space="preserve"> ([2007] EWCA Crim 1978 at [24]), but deemed it beyond the court’s scope.</w:t>
      </w:r>
    </w:p>
    <w:p w14:paraId="5155F369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Reasoning</w:t>
      </w:r>
      <w:r w:rsidRPr="00FC5010">
        <w:rPr>
          <w:rFonts w:ascii="Times New Roman" w:hAnsi="Times New Roman"/>
          <w:lang w:val="en-HK"/>
        </w:rPr>
        <w:t xml:space="preserve">: The </w:t>
      </w:r>
      <w:proofErr w:type="spellStart"/>
      <w:r w:rsidRPr="00FC5010">
        <w:rPr>
          <w:rFonts w:ascii="Times New Roman" w:hAnsi="Times New Roman"/>
          <w:lang w:val="en-HK"/>
        </w:rPr>
        <w:t>M’Naghten</w:t>
      </w:r>
      <w:proofErr w:type="spellEnd"/>
      <w:r w:rsidRPr="00FC5010">
        <w:rPr>
          <w:rFonts w:ascii="Times New Roman" w:hAnsi="Times New Roman"/>
          <w:lang w:val="en-HK"/>
        </w:rPr>
        <w:t xml:space="preserve"> test, per </w:t>
      </w:r>
      <w:proofErr w:type="spellStart"/>
      <w:r w:rsidRPr="00FC5010">
        <w:rPr>
          <w:rFonts w:ascii="Times New Roman" w:hAnsi="Times New Roman"/>
          <w:i/>
          <w:iCs/>
          <w:lang w:val="en-HK"/>
        </w:rPr>
        <w:t>Codere</w:t>
      </w:r>
      <w:proofErr w:type="spellEnd"/>
      <w:r w:rsidRPr="00FC5010">
        <w:rPr>
          <w:rFonts w:ascii="Times New Roman" w:hAnsi="Times New Roman"/>
          <w:lang w:val="en-HK"/>
        </w:rPr>
        <w:t xml:space="preserve"> (1916) 12 Cr App R 21) and </w:t>
      </w:r>
      <w:r w:rsidRPr="00FC5010">
        <w:rPr>
          <w:rFonts w:ascii="Times New Roman" w:hAnsi="Times New Roman"/>
          <w:i/>
          <w:iCs/>
          <w:lang w:val="en-HK"/>
        </w:rPr>
        <w:t>Windle</w:t>
      </w:r>
      <w:r w:rsidRPr="00FC5010">
        <w:rPr>
          <w:rFonts w:ascii="Times New Roman" w:hAnsi="Times New Roman"/>
          <w:lang w:val="en-HK"/>
        </w:rPr>
        <w:t xml:space="preserve"> ([1952] 2 QB 826), limits "wrong" to legal wrongness. Johnson’s moral belief was irrelevant, ensuring legal certainty over subjective ethics.</w:t>
      </w:r>
    </w:p>
    <w:p w14:paraId="500E674C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Implication</w:t>
      </w:r>
      <w:r w:rsidRPr="00FC5010">
        <w:rPr>
          <w:rFonts w:ascii="Times New Roman" w:hAnsi="Times New Roman"/>
          <w:lang w:val="en-HK"/>
        </w:rPr>
        <w:t xml:space="preserve">: The case highlights </w:t>
      </w:r>
      <w:proofErr w:type="spellStart"/>
      <w:r w:rsidRPr="00FC5010">
        <w:rPr>
          <w:rFonts w:ascii="Times New Roman" w:hAnsi="Times New Roman"/>
          <w:lang w:val="en-HK"/>
        </w:rPr>
        <w:t>M’Naghten’s</w:t>
      </w:r>
      <w:proofErr w:type="spellEnd"/>
      <w:r w:rsidRPr="00FC5010">
        <w:rPr>
          <w:rFonts w:ascii="Times New Roman" w:hAnsi="Times New Roman"/>
          <w:lang w:val="en-HK"/>
        </w:rPr>
        <w:t xml:space="preserve"> narrowness, criticized by the Butler Report: </w:t>
      </w:r>
      <w:r w:rsidRPr="00FC5010">
        <w:rPr>
          <w:rFonts w:ascii="Times New Roman" w:hAnsi="Times New Roman"/>
          <w:i/>
          <w:iCs/>
          <w:lang w:val="en-HK"/>
        </w:rPr>
        <w:t>Knowledge of the law is hardly an appropriate test … even persons who are grossly disturbed generally know that murder and arson are crimes</w:t>
      </w:r>
      <w:r w:rsidRPr="00FC5010">
        <w:rPr>
          <w:rFonts w:ascii="Times New Roman" w:hAnsi="Times New Roman"/>
          <w:lang w:val="en-HK"/>
        </w:rPr>
        <w:t xml:space="preserve"> (</w:t>
      </w:r>
      <w:proofErr w:type="spellStart"/>
      <w:r w:rsidRPr="00FC5010">
        <w:rPr>
          <w:rFonts w:ascii="Times New Roman" w:hAnsi="Times New Roman"/>
          <w:lang w:val="en-HK"/>
        </w:rPr>
        <w:t>Cmnd</w:t>
      </w:r>
      <w:proofErr w:type="spellEnd"/>
      <w:r w:rsidRPr="00FC5010">
        <w:rPr>
          <w:rFonts w:ascii="Times New Roman" w:hAnsi="Times New Roman"/>
          <w:lang w:val="en-HK"/>
        </w:rPr>
        <w:t xml:space="preserve"> 6244, para. 18.8). Hathaway advocates a moral element to widen the limb, aligning with Latham LJ’s openness to reform.</w:t>
      </w:r>
    </w:p>
    <w:p w14:paraId="7E019216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 xml:space="preserve">R v </w:t>
      </w:r>
      <w:proofErr w:type="spellStart"/>
      <w:r w:rsidRPr="00FC5010">
        <w:rPr>
          <w:rFonts w:ascii="Times New Roman" w:hAnsi="Times New Roman"/>
          <w:b/>
          <w:bCs/>
          <w:lang w:val="en-HK"/>
        </w:rPr>
        <w:t>Codere</w:t>
      </w:r>
      <w:proofErr w:type="spellEnd"/>
      <w:r w:rsidRPr="00FC5010">
        <w:rPr>
          <w:rFonts w:ascii="Times New Roman" w:hAnsi="Times New Roman"/>
          <w:b/>
          <w:bCs/>
          <w:lang w:val="en-HK"/>
        </w:rPr>
        <w:t xml:space="preserve"> (1916) 12 Cr App R 21</w:t>
      </w:r>
      <w:r w:rsidRPr="00FC5010">
        <w:rPr>
          <w:rFonts w:ascii="Times New Roman" w:hAnsi="Times New Roman"/>
          <w:lang w:val="en-HK"/>
        </w:rPr>
        <w:t xml:space="preserve"> </w:t>
      </w:r>
    </w:p>
    <w:p w14:paraId="100700A8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Context</w:t>
      </w:r>
      <w:r w:rsidRPr="00FC5010">
        <w:rPr>
          <w:rFonts w:ascii="Times New Roman" w:hAnsi="Times New Roman"/>
          <w:lang w:val="en-HK"/>
        </w:rPr>
        <w:t xml:space="preserve">: Established that "wrong" in </w:t>
      </w:r>
      <w:proofErr w:type="spellStart"/>
      <w:r w:rsidRPr="00FC5010">
        <w:rPr>
          <w:rFonts w:ascii="Times New Roman" w:hAnsi="Times New Roman"/>
          <w:lang w:val="en-HK"/>
        </w:rPr>
        <w:t>M’Naghten</w:t>
      </w:r>
      <w:proofErr w:type="spellEnd"/>
      <w:r w:rsidRPr="00FC5010">
        <w:rPr>
          <w:rFonts w:ascii="Times New Roman" w:hAnsi="Times New Roman"/>
          <w:lang w:val="en-HK"/>
        </w:rPr>
        <w:t xml:space="preserve"> means legally wrong, shaping English precedent.</w:t>
      </w:r>
    </w:p>
    <w:p w14:paraId="1EC93291" w14:textId="4C4F0F33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Implication</w:t>
      </w:r>
      <w:r w:rsidRPr="00FC5010">
        <w:rPr>
          <w:rFonts w:ascii="Times New Roman" w:hAnsi="Times New Roman"/>
          <w:lang w:val="en-HK"/>
        </w:rPr>
        <w:t>: Reinforces a restrictive cognitive test, limiting moral considerations.</w:t>
      </w:r>
    </w:p>
    <w:p w14:paraId="5CD3A246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R v Windle [1952] 2 QB 826</w:t>
      </w:r>
      <w:r w:rsidRPr="00FC5010">
        <w:rPr>
          <w:rFonts w:ascii="Times New Roman" w:hAnsi="Times New Roman"/>
          <w:lang w:val="en-HK"/>
        </w:rPr>
        <w:t xml:space="preserve"> </w:t>
      </w:r>
    </w:p>
    <w:p w14:paraId="3E054CC5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Facts and Holding</w:t>
      </w:r>
      <w:r w:rsidRPr="00FC5010">
        <w:rPr>
          <w:rFonts w:ascii="Times New Roman" w:hAnsi="Times New Roman"/>
          <w:lang w:val="en-HK"/>
        </w:rPr>
        <w:t>: Windle killed his wife, believing it merciful, but knew it was illegal. The court held that knowing an act’s illegality precludes an NGRI verdict, rejecting moral wrongness.</w:t>
      </w:r>
    </w:p>
    <w:p w14:paraId="0FB4FAED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Reasoning</w:t>
      </w:r>
      <w:r w:rsidRPr="00FC5010">
        <w:rPr>
          <w:rFonts w:ascii="Times New Roman" w:hAnsi="Times New Roman"/>
          <w:lang w:val="en-HK"/>
        </w:rPr>
        <w:t xml:space="preserve">: Legal certainty trumps subjective belief, aligning </w:t>
      </w:r>
      <w:proofErr w:type="spellStart"/>
      <w:r w:rsidRPr="00FC5010">
        <w:rPr>
          <w:rFonts w:ascii="Times New Roman" w:hAnsi="Times New Roman"/>
          <w:lang w:val="en-HK"/>
        </w:rPr>
        <w:t>M’Naghten</w:t>
      </w:r>
      <w:proofErr w:type="spellEnd"/>
      <w:r w:rsidRPr="00FC5010">
        <w:rPr>
          <w:rFonts w:ascii="Times New Roman" w:hAnsi="Times New Roman"/>
          <w:lang w:val="en-HK"/>
        </w:rPr>
        <w:t xml:space="preserve"> with objective standards.</w:t>
      </w:r>
    </w:p>
    <w:p w14:paraId="1D190B74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Contrast</w:t>
      </w:r>
      <w:r w:rsidRPr="00FC5010">
        <w:rPr>
          <w:rFonts w:ascii="Times New Roman" w:hAnsi="Times New Roman"/>
          <w:lang w:val="en-HK"/>
        </w:rPr>
        <w:t xml:space="preserve">: The High Court of Australia in </w:t>
      </w:r>
      <w:r w:rsidRPr="00FC5010">
        <w:rPr>
          <w:rFonts w:ascii="Times New Roman" w:hAnsi="Times New Roman"/>
          <w:i/>
          <w:iCs/>
          <w:lang w:val="en-HK"/>
        </w:rPr>
        <w:t>R v Stapleton</w:t>
      </w:r>
      <w:r w:rsidRPr="00FC5010">
        <w:rPr>
          <w:rFonts w:ascii="Times New Roman" w:hAnsi="Times New Roman"/>
          <w:lang w:val="en-HK"/>
        </w:rPr>
        <w:t xml:space="preserve"> (1952) 86 CLR 358) rejected </w:t>
      </w:r>
      <w:r w:rsidRPr="00FC5010">
        <w:rPr>
          <w:rFonts w:ascii="Times New Roman" w:hAnsi="Times New Roman"/>
          <w:i/>
          <w:iCs/>
          <w:lang w:val="en-HK"/>
        </w:rPr>
        <w:t>Windle</w:t>
      </w:r>
      <w:r w:rsidRPr="00FC5010">
        <w:rPr>
          <w:rFonts w:ascii="Times New Roman" w:hAnsi="Times New Roman"/>
          <w:lang w:val="en-HK"/>
        </w:rPr>
        <w:t>, allowing moral wrongness, illustrating Anglo-American divergence.</w:t>
      </w:r>
    </w:p>
    <w:p w14:paraId="558A69D8" w14:textId="77B0DA6F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Implication</w:t>
      </w:r>
      <w:r w:rsidRPr="00FC5010">
        <w:rPr>
          <w:rFonts w:ascii="Times New Roman" w:hAnsi="Times New Roman"/>
          <w:lang w:val="en-HK"/>
        </w:rPr>
        <w:t xml:space="preserve">: </w:t>
      </w:r>
      <w:r w:rsidRPr="00FC5010">
        <w:rPr>
          <w:rFonts w:ascii="Times New Roman" w:hAnsi="Times New Roman"/>
          <w:i/>
          <w:iCs/>
          <w:lang w:val="en-HK"/>
        </w:rPr>
        <w:t>Windle</w:t>
      </w:r>
      <w:r w:rsidRPr="00FC5010">
        <w:rPr>
          <w:rFonts w:ascii="Times New Roman" w:hAnsi="Times New Roman"/>
          <w:lang w:val="en-HK"/>
        </w:rPr>
        <w:t xml:space="preserve">’s rigidity, upheld in </w:t>
      </w:r>
      <w:r w:rsidRPr="00FC5010">
        <w:rPr>
          <w:rFonts w:ascii="Times New Roman" w:hAnsi="Times New Roman"/>
          <w:i/>
          <w:iCs/>
          <w:lang w:val="en-HK"/>
        </w:rPr>
        <w:t>Johnson</w:t>
      </w:r>
      <w:r w:rsidRPr="00FC5010">
        <w:rPr>
          <w:rFonts w:ascii="Times New Roman" w:hAnsi="Times New Roman"/>
          <w:lang w:val="en-HK"/>
        </w:rPr>
        <w:t>, fuels reform calls for a broader test.</w:t>
      </w:r>
    </w:p>
    <w:p w14:paraId="62BC5DB6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lastRenderedPageBreak/>
        <w:t>United States v Hinckley (525 F Supp 1342, DDC 1981)</w:t>
      </w:r>
      <w:r w:rsidRPr="00FC5010">
        <w:rPr>
          <w:rFonts w:ascii="Times New Roman" w:hAnsi="Times New Roman"/>
          <w:lang w:val="en-HK"/>
        </w:rPr>
        <w:t xml:space="preserve"> </w:t>
      </w:r>
    </w:p>
    <w:p w14:paraId="6F640248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Facts</w:t>
      </w:r>
      <w:r w:rsidRPr="00FC5010">
        <w:rPr>
          <w:rFonts w:ascii="Times New Roman" w:hAnsi="Times New Roman"/>
          <w:lang w:val="en-HK"/>
        </w:rPr>
        <w:t>: Hinckley’s NGRI acquittal for attempting to assassinate Reagan under the broader ALI-Model Penal Code test sparked outrage.</w:t>
      </w:r>
    </w:p>
    <w:p w14:paraId="3F062548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Implication</w:t>
      </w:r>
      <w:r w:rsidRPr="00FC5010">
        <w:rPr>
          <w:rFonts w:ascii="Times New Roman" w:hAnsi="Times New Roman"/>
          <w:lang w:val="en-HK"/>
        </w:rPr>
        <w:t xml:space="preserve">: </w:t>
      </w:r>
      <w:proofErr w:type="spellStart"/>
      <w:r w:rsidRPr="00FC5010">
        <w:rPr>
          <w:rFonts w:ascii="Times New Roman" w:hAnsi="Times New Roman"/>
          <w:lang w:val="en-HK"/>
        </w:rPr>
        <w:t>Catalyzed</w:t>
      </w:r>
      <w:proofErr w:type="spellEnd"/>
      <w:r w:rsidRPr="00FC5010">
        <w:rPr>
          <w:rFonts w:ascii="Times New Roman" w:hAnsi="Times New Roman"/>
          <w:lang w:val="en-HK"/>
        </w:rPr>
        <w:t xml:space="preserve"> US moves toward narrower tests or abolition (e.g., </w:t>
      </w:r>
      <w:r w:rsidRPr="00FC5010">
        <w:rPr>
          <w:rFonts w:ascii="Times New Roman" w:hAnsi="Times New Roman"/>
          <w:i/>
          <w:iCs/>
          <w:lang w:val="en-HK"/>
        </w:rPr>
        <w:t xml:space="preserve">Insanity </w:t>
      </w:r>
      <w:proofErr w:type="spellStart"/>
      <w:r w:rsidRPr="00FC5010">
        <w:rPr>
          <w:rFonts w:ascii="Times New Roman" w:hAnsi="Times New Roman"/>
          <w:i/>
          <w:iCs/>
          <w:lang w:val="en-HK"/>
        </w:rPr>
        <w:t>Defense</w:t>
      </w:r>
      <w:proofErr w:type="spellEnd"/>
      <w:r w:rsidRPr="00FC5010">
        <w:rPr>
          <w:rFonts w:ascii="Times New Roman" w:hAnsi="Times New Roman"/>
          <w:i/>
          <w:iCs/>
          <w:lang w:val="en-HK"/>
        </w:rPr>
        <w:t xml:space="preserve"> Reform Act 1984</w:t>
      </w:r>
      <w:r w:rsidRPr="00FC5010">
        <w:rPr>
          <w:rFonts w:ascii="Times New Roman" w:hAnsi="Times New Roman"/>
          <w:lang w:val="en-HK"/>
        </w:rPr>
        <w:t>), contrasting England’s reform focus.</w:t>
      </w:r>
    </w:p>
    <w:p w14:paraId="7E78E232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Holloway v United States (148 F2d 665, DC Cir 1945)</w:t>
      </w:r>
      <w:r w:rsidRPr="00FC5010">
        <w:rPr>
          <w:rFonts w:ascii="Times New Roman" w:hAnsi="Times New Roman"/>
          <w:lang w:val="en-HK"/>
        </w:rPr>
        <w:t xml:space="preserve"> </w:t>
      </w:r>
    </w:p>
    <w:p w14:paraId="7E8A8C60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Quote</w:t>
      </w:r>
      <w:r w:rsidRPr="00FC5010">
        <w:rPr>
          <w:rFonts w:ascii="Times New Roman" w:hAnsi="Times New Roman"/>
          <w:lang w:val="en-HK"/>
        </w:rPr>
        <w:t xml:space="preserve">: </w:t>
      </w:r>
      <w:r w:rsidRPr="00FC5010">
        <w:rPr>
          <w:rFonts w:ascii="Times New Roman" w:hAnsi="Times New Roman"/>
          <w:i/>
          <w:iCs/>
          <w:lang w:val="en-HK"/>
        </w:rPr>
        <w:t>Our collective conscience does not allow punishment where it does not allow blame</w:t>
      </w:r>
      <w:r w:rsidRPr="00FC5010">
        <w:rPr>
          <w:rFonts w:ascii="Times New Roman" w:hAnsi="Times New Roman"/>
          <w:lang w:val="en-HK"/>
        </w:rPr>
        <w:t xml:space="preserve"> (at 666-7, cited in </w:t>
      </w:r>
      <w:proofErr w:type="spellStart"/>
      <w:r w:rsidRPr="00FC5010">
        <w:rPr>
          <w:rFonts w:ascii="Times New Roman" w:hAnsi="Times New Roman"/>
          <w:lang w:val="en-HK"/>
        </w:rPr>
        <w:t>Fingarette</w:t>
      </w:r>
      <w:proofErr w:type="spellEnd"/>
      <w:r w:rsidRPr="00FC5010">
        <w:rPr>
          <w:rFonts w:ascii="Times New Roman" w:hAnsi="Times New Roman"/>
          <w:lang w:val="en-HK"/>
        </w:rPr>
        <w:t>, 128).</w:t>
      </w:r>
    </w:p>
    <w:p w14:paraId="0A94A47F" w14:textId="0542542A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Implication</w:t>
      </w:r>
      <w:r w:rsidRPr="00FC5010">
        <w:rPr>
          <w:rFonts w:ascii="Times New Roman" w:hAnsi="Times New Roman"/>
          <w:lang w:val="en-HK"/>
        </w:rPr>
        <w:t>: Supports retention by linking punishment to moral culpability, countering abolitionist critiques.</w:t>
      </w:r>
    </w:p>
    <w:p w14:paraId="037762A6" w14:textId="77777777" w:rsidR="00FC5010" w:rsidRPr="00FC5010" w:rsidRDefault="00FC5010" w:rsidP="00FC5010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Moral Significances</w:t>
      </w:r>
    </w:p>
    <w:p w14:paraId="05490860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Pro-Abolitionist View (Morris)</w:t>
      </w:r>
      <w:r w:rsidRPr="00FC5010">
        <w:rPr>
          <w:rFonts w:ascii="Times New Roman" w:hAnsi="Times New Roman"/>
          <w:lang w:val="en-HK"/>
        </w:rPr>
        <w:t xml:space="preserve"> </w:t>
      </w:r>
    </w:p>
    <w:p w14:paraId="5DD3052B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Argument</w:t>
      </w:r>
      <w:r w:rsidRPr="00FC5010">
        <w:rPr>
          <w:rFonts w:ascii="Times New Roman" w:hAnsi="Times New Roman"/>
          <w:lang w:val="en-HK"/>
        </w:rPr>
        <w:t xml:space="preserve">: </w:t>
      </w:r>
      <w:r w:rsidRPr="00FC5010">
        <w:rPr>
          <w:rFonts w:ascii="Times New Roman" w:hAnsi="Times New Roman"/>
          <w:b/>
          <w:bCs/>
          <w:color w:val="FF0000"/>
          <w:lang w:val="en-HK"/>
        </w:rPr>
        <w:t xml:space="preserve">Morris rejects the defence’s moral basis—that mental illness reduces guilt—calling it a </w:t>
      </w:r>
      <w:r w:rsidRPr="00FC5010">
        <w:rPr>
          <w:rFonts w:ascii="Times New Roman" w:hAnsi="Times New Roman"/>
          <w:b/>
          <w:bCs/>
          <w:i/>
          <w:iCs/>
          <w:color w:val="FF0000"/>
          <w:lang w:val="en-HK"/>
        </w:rPr>
        <w:t>false classification</w:t>
      </w:r>
      <w:r w:rsidRPr="00FC5010">
        <w:rPr>
          <w:rFonts w:ascii="Times New Roman" w:hAnsi="Times New Roman"/>
          <w:b/>
          <w:bCs/>
          <w:color w:val="FF0000"/>
          <w:lang w:val="en-HK"/>
        </w:rPr>
        <w:t xml:space="preserve"> (Bonnie and Morris, 120).</w:t>
      </w:r>
      <w:r w:rsidRPr="00FC5010">
        <w:rPr>
          <w:rFonts w:ascii="Times New Roman" w:hAnsi="Times New Roman"/>
          <w:color w:val="FF0000"/>
          <w:lang w:val="en-HK"/>
        </w:rPr>
        <w:t xml:space="preserve"> </w:t>
      </w:r>
      <w:r w:rsidRPr="00FC5010">
        <w:rPr>
          <w:rFonts w:ascii="Times New Roman" w:hAnsi="Times New Roman"/>
          <w:b/>
          <w:bCs/>
          <w:color w:val="FF0000"/>
          <w:lang w:val="en-HK"/>
        </w:rPr>
        <w:t>He argues responsibility isn’t binary and insanity’s excuse is arbitrary compared to social adversity (Morris, 507-8).</w:t>
      </w:r>
      <w:r w:rsidRPr="00FC5010">
        <w:rPr>
          <w:rFonts w:ascii="Times New Roman" w:hAnsi="Times New Roman"/>
          <w:color w:val="FF0000"/>
          <w:lang w:val="en-HK"/>
        </w:rPr>
        <w:t xml:space="preserve"> </w:t>
      </w:r>
      <w:r w:rsidRPr="00FC5010">
        <w:rPr>
          <w:rFonts w:ascii="Times New Roman" w:hAnsi="Times New Roman"/>
          <w:lang w:val="en-HK"/>
        </w:rPr>
        <w:t xml:space="preserve">Punishment should reflect </w:t>
      </w:r>
      <w:proofErr w:type="spellStart"/>
      <w:r w:rsidRPr="00FC5010">
        <w:rPr>
          <w:rFonts w:ascii="Times New Roman" w:hAnsi="Times New Roman"/>
          <w:lang w:val="en-HK"/>
        </w:rPr>
        <w:t>mens</w:t>
      </w:r>
      <w:proofErr w:type="spellEnd"/>
      <w:r w:rsidRPr="00FC5010">
        <w:rPr>
          <w:rFonts w:ascii="Times New Roman" w:hAnsi="Times New Roman"/>
          <w:lang w:val="en-HK"/>
        </w:rPr>
        <w:t xml:space="preserve"> rea alone, not special status: </w:t>
      </w:r>
      <w:r w:rsidRPr="00FC5010">
        <w:rPr>
          <w:rFonts w:ascii="Times New Roman" w:hAnsi="Times New Roman"/>
          <w:i/>
          <w:iCs/>
          <w:lang w:val="en-HK"/>
        </w:rPr>
        <w:t xml:space="preserve">it is pretentious … to think that anyone has the sufficiently sensitive </w:t>
      </w:r>
      <w:proofErr w:type="spellStart"/>
      <w:r w:rsidRPr="00FC5010">
        <w:rPr>
          <w:rFonts w:ascii="Times New Roman" w:hAnsi="Times New Roman"/>
          <w:i/>
          <w:iCs/>
          <w:lang w:val="en-HK"/>
        </w:rPr>
        <w:t>caliber</w:t>
      </w:r>
      <w:proofErr w:type="spellEnd"/>
      <w:r w:rsidRPr="00FC5010">
        <w:rPr>
          <w:rFonts w:ascii="Times New Roman" w:hAnsi="Times New Roman"/>
          <w:i/>
          <w:iCs/>
          <w:lang w:val="en-HK"/>
        </w:rPr>
        <w:t xml:space="preserve"> to make … delicate moral judgments</w:t>
      </w:r>
      <w:r w:rsidRPr="00FC5010">
        <w:rPr>
          <w:rFonts w:ascii="Times New Roman" w:hAnsi="Times New Roman"/>
          <w:lang w:val="en-HK"/>
        </w:rPr>
        <w:t xml:space="preserve"> (ibid. at 121).</w:t>
      </w:r>
    </w:p>
    <w:p w14:paraId="00745798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Critique by Anti-Abolitionists</w:t>
      </w:r>
      <w:r w:rsidRPr="00FC5010">
        <w:rPr>
          <w:rFonts w:ascii="Times New Roman" w:hAnsi="Times New Roman"/>
          <w:lang w:val="en-HK"/>
        </w:rPr>
        <w:t xml:space="preserve">: Morse counters, </w:t>
      </w:r>
      <w:r w:rsidRPr="00FC5010">
        <w:rPr>
          <w:rFonts w:ascii="Times New Roman" w:hAnsi="Times New Roman"/>
          <w:i/>
          <w:iCs/>
          <w:lang w:val="en-HK"/>
        </w:rPr>
        <w:t>causation is not the issue</w:t>
      </w:r>
      <w:r w:rsidRPr="00FC5010">
        <w:rPr>
          <w:rFonts w:ascii="Times New Roman" w:hAnsi="Times New Roman"/>
          <w:b/>
          <w:bCs/>
          <w:i/>
          <w:iCs/>
          <w:color w:val="FF0000"/>
          <w:lang w:val="en-HK"/>
        </w:rPr>
        <w:t>: nonculpable lack of rationality and self-control is</w:t>
      </w:r>
      <w:r w:rsidRPr="00FC5010">
        <w:rPr>
          <w:rFonts w:ascii="Times New Roman" w:hAnsi="Times New Roman"/>
          <w:b/>
          <w:bCs/>
          <w:color w:val="FF0000"/>
          <w:lang w:val="en-HK"/>
        </w:rPr>
        <w:t xml:space="preserve"> (Morse, 477 Annals 137 at 139</w:t>
      </w:r>
      <w:r w:rsidRPr="00FC5010">
        <w:rPr>
          <w:rFonts w:ascii="Times New Roman" w:hAnsi="Times New Roman"/>
          <w:lang w:val="en-HK"/>
        </w:rPr>
        <w:t xml:space="preserve">), distinguishing excuse from influence. Bonnie deems it </w:t>
      </w:r>
      <w:r w:rsidRPr="00FC5010">
        <w:rPr>
          <w:rFonts w:ascii="Times New Roman" w:hAnsi="Times New Roman"/>
          <w:i/>
          <w:iCs/>
          <w:lang w:val="en-HK"/>
        </w:rPr>
        <w:t>morally under-inclusive</w:t>
      </w:r>
      <w:r w:rsidRPr="00FC5010">
        <w:rPr>
          <w:rFonts w:ascii="Times New Roman" w:hAnsi="Times New Roman"/>
          <w:lang w:val="en-HK"/>
        </w:rPr>
        <w:t xml:space="preserve"> (Bonnie and Morris, 123-4), as </w:t>
      </w:r>
      <w:proofErr w:type="spellStart"/>
      <w:r w:rsidRPr="00FC5010">
        <w:rPr>
          <w:rFonts w:ascii="Times New Roman" w:hAnsi="Times New Roman"/>
          <w:lang w:val="en-HK"/>
        </w:rPr>
        <w:t>mens</w:t>
      </w:r>
      <w:proofErr w:type="spellEnd"/>
      <w:r w:rsidRPr="00FC5010">
        <w:rPr>
          <w:rFonts w:ascii="Times New Roman" w:hAnsi="Times New Roman"/>
          <w:lang w:val="en-HK"/>
        </w:rPr>
        <w:t xml:space="preserve"> rea lacks qualitative depth to assess irrationality.</w:t>
      </w:r>
    </w:p>
    <w:p w14:paraId="24015A51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Anti-Abolitionist View (Bonnie, Morse, Mackay)</w:t>
      </w:r>
      <w:r w:rsidRPr="00FC5010">
        <w:rPr>
          <w:rFonts w:ascii="Times New Roman" w:hAnsi="Times New Roman"/>
          <w:lang w:val="en-HK"/>
        </w:rPr>
        <w:t xml:space="preserve"> </w:t>
      </w:r>
    </w:p>
    <w:p w14:paraId="62F28946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Argument</w:t>
      </w:r>
      <w:r w:rsidRPr="00FC5010">
        <w:rPr>
          <w:rFonts w:ascii="Times New Roman" w:hAnsi="Times New Roman"/>
          <w:lang w:val="en-HK"/>
        </w:rPr>
        <w:t xml:space="preserve">: Retention preserves moral integrity. Bonnie states, </w:t>
      </w:r>
      <w:r w:rsidRPr="00FC5010">
        <w:rPr>
          <w:rFonts w:ascii="Times New Roman" w:hAnsi="Times New Roman"/>
          <w:i/>
          <w:iCs/>
          <w:lang w:val="en-HK"/>
        </w:rPr>
        <w:t xml:space="preserve">the insanity </w:t>
      </w:r>
      <w:proofErr w:type="spellStart"/>
      <w:r w:rsidRPr="00FC5010">
        <w:rPr>
          <w:rFonts w:ascii="Times New Roman" w:hAnsi="Times New Roman"/>
          <w:i/>
          <w:iCs/>
          <w:lang w:val="en-HK"/>
        </w:rPr>
        <w:t>defense</w:t>
      </w:r>
      <w:proofErr w:type="spellEnd"/>
      <w:r w:rsidRPr="00FC5010">
        <w:rPr>
          <w:rFonts w:ascii="Times New Roman" w:hAnsi="Times New Roman"/>
          <w:i/>
          <w:iCs/>
          <w:lang w:val="en-HK"/>
        </w:rPr>
        <w:t xml:space="preserve"> … is essential to the moral integrity of the criminal law</w:t>
      </w:r>
      <w:r w:rsidRPr="00FC5010">
        <w:rPr>
          <w:rFonts w:ascii="Times New Roman" w:hAnsi="Times New Roman"/>
          <w:lang w:val="en-HK"/>
        </w:rPr>
        <w:t xml:space="preserve"> (69 ABAJ 194), echoed by Morse: </w:t>
      </w:r>
      <w:r w:rsidRPr="00FC5010">
        <w:rPr>
          <w:rFonts w:ascii="Times New Roman" w:hAnsi="Times New Roman"/>
          <w:i/>
          <w:iCs/>
          <w:lang w:val="en-HK"/>
        </w:rPr>
        <w:t>it is fundamentally just</w:t>
      </w:r>
      <w:r w:rsidRPr="00FC5010">
        <w:rPr>
          <w:rFonts w:ascii="Times New Roman" w:hAnsi="Times New Roman"/>
          <w:lang w:val="en-HK"/>
        </w:rPr>
        <w:t xml:space="preserve"> (477 Annals 137) and Mackay (</w:t>
      </w:r>
      <w:r w:rsidRPr="00FC5010">
        <w:rPr>
          <w:rFonts w:ascii="Times New Roman" w:hAnsi="Times New Roman"/>
          <w:i/>
          <w:iCs/>
          <w:lang w:val="en-HK"/>
        </w:rPr>
        <w:t>Post-Hinckley Insanity</w:t>
      </w:r>
      <w:r w:rsidRPr="00FC5010">
        <w:rPr>
          <w:rFonts w:ascii="Times New Roman" w:hAnsi="Times New Roman"/>
          <w:lang w:val="en-HK"/>
        </w:rPr>
        <w:t xml:space="preserve"> [1988] Crim LR 88 </w:t>
      </w:r>
      <w:r w:rsidRPr="00FC5010">
        <w:rPr>
          <w:rFonts w:ascii="Times New Roman" w:hAnsi="Times New Roman"/>
          <w:lang w:val="en-HK"/>
        </w:rPr>
        <w:lastRenderedPageBreak/>
        <w:t xml:space="preserve">at 91). It rests on </w:t>
      </w:r>
      <w:r w:rsidRPr="00FC5010">
        <w:rPr>
          <w:rFonts w:ascii="Times New Roman" w:hAnsi="Times New Roman"/>
          <w:i/>
          <w:iCs/>
          <w:lang w:val="en-HK"/>
        </w:rPr>
        <w:t>no just punishment without desert and no desert without responsibility</w:t>
      </w:r>
      <w:r w:rsidRPr="00FC5010">
        <w:rPr>
          <w:rFonts w:ascii="Times New Roman" w:hAnsi="Times New Roman"/>
          <w:lang w:val="en-HK"/>
        </w:rPr>
        <w:t xml:space="preserve"> (Morse, 58 S Cal L Rev 782-3), requiring cognitive and volitional competence.</w:t>
      </w:r>
    </w:p>
    <w:p w14:paraId="640DA6B2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Details</w:t>
      </w:r>
      <w:r w:rsidRPr="00FC5010">
        <w:rPr>
          <w:rFonts w:ascii="Times New Roman" w:hAnsi="Times New Roman"/>
          <w:lang w:val="en-HK"/>
        </w:rPr>
        <w:t xml:space="preserve">: Morse argues abolition implies either no one is </w:t>
      </w:r>
      <w:r w:rsidRPr="00FC5010">
        <w:rPr>
          <w:rFonts w:ascii="Times New Roman" w:hAnsi="Times New Roman"/>
          <w:i/>
          <w:iCs/>
          <w:lang w:val="en-HK"/>
        </w:rPr>
        <w:t>extremely crazy</w:t>
      </w:r>
      <w:r w:rsidRPr="00FC5010">
        <w:rPr>
          <w:rFonts w:ascii="Times New Roman" w:hAnsi="Times New Roman"/>
          <w:lang w:val="en-HK"/>
        </w:rPr>
        <w:t xml:space="preserve"> or punishing them is just (ibid. at 780), both untenable. Bonnie narrows it to cognition to reduce </w:t>
      </w:r>
      <w:r w:rsidRPr="00FC5010">
        <w:rPr>
          <w:rFonts w:ascii="Times New Roman" w:hAnsi="Times New Roman"/>
          <w:i/>
          <w:iCs/>
          <w:lang w:val="en-HK"/>
        </w:rPr>
        <w:t>moral mistake</w:t>
      </w:r>
      <w:r w:rsidRPr="00FC5010">
        <w:rPr>
          <w:rFonts w:ascii="Times New Roman" w:hAnsi="Times New Roman"/>
          <w:lang w:val="en-HK"/>
        </w:rPr>
        <w:t xml:space="preserve"> (69 ABAJ 196), while Morse retains volition with stricter rules (477 Annals 140-7). Mackay seeks a broader English test (Mackay, 143).</w:t>
      </w:r>
    </w:p>
    <w:p w14:paraId="56EF3922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i/>
          <w:iCs/>
          <w:lang w:val="en-HK"/>
        </w:rPr>
        <w:t>Explanation</w:t>
      </w:r>
      <w:r w:rsidRPr="00FC5010">
        <w:rPr>
          <w:rFonts w:ascii="Times New Roman" w:hAnsi="Times New Roman"/>
          <w:lang w:val="en-HK"/>
        </w:rPr>
        <w:t>: The defence excuses irrational actors, ensuring justice aligns with culpability, outweighing abolition’s simplicity.</w:t>
      </w:r>
    </w:p>
    <w:p w14:paraId="39E311F9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b/>
          <w:bCs/>
          <w:lang w:val="en-HK"/>
        </w:rPr>
        <w:t>Concluding Assessment</w:t>
      </w:r>
      <w:r w:rsidRPr="00FC5010">
        <w:rPr>
          <w:rFonts w:ascii="Times New Roman" w:hAnsi="Times New Roman"/>
          <w:lang w:val="en-HK"/>
        </w:rPr>
        <w:t xml:space="preserve"> </w:t>
      </w:r>
    </w:p>
    <w:p w14:paraId="573542B1" w14:textId="77777777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  <w:r w:rsidRPr="00FC5010">
        <w:rPr>
          <w:rFonts w:ascii="Times New Roman" w:hAnsi="Times New Roman"/>
          <w:lang w:val="en-HK"/>
        </w:rPr>
        <w:t xml:space="preserve">Hathaway </w:t>
      </w:r>
      <w:proofErr w:type="spellStart"/>
      <w:r w:rsidRPr="00FC5010">
        <w:rPr>
          <w:rFonts w:ascii="Times New Roman" w:hAnsi="Times New Roman"/>
          <w:lang w:val="en-HK"/>
        </w:rPr>
        <w:t>favors</w:t>
      </w:r>
      <w:proofErr w:type="spellEnd"/>
      <w:r w:rsidRPr="00FC5010">
        <w:rPr>
          <w:rFonts w:ascii="Times New Roman" w:hAnsi="Times New Roman"/>
          <w:lang w:val="en-HK"/>
        </w:rPr>
        <w:t xml:space="preserve"> retention: </w:t>
      </w:r>
      <w:r w:rsidRPr="00FC5010">
        <w:rPr>
          <w:rFonts w:ascii="Times New Roman" w:hAnsi="Times New Roman"/>
          <w:i/>
          <w:iCs/>
          <w:lang w:val="en-HK"/>
        </w:rPr>
        <w:t>the moral arguments in favour of retaining the defence far outweigh those for abolishing it</w:t>
      </w:r>
      <w:r w:rsidRPr="00FC5010">
        <w:rPr>
          <w:rFonts w:ascii="Times New Roman" w:hAnsi="Times New Roman"/>
          <w:lang w:val="en-HK"/>
        </w:rPr>
        <w:t xml:space="preserve">. Morris’s approach risks convicting the irrational, undermining justice, while retention upholds excuse principles. Reform, not abolition, addresses </w:t>
      </w:r>
      <w:proofErr w:type="spellStart"/>
      <w:r w:rsidRPr="00FC5010">
        <w:rPr>
          <w:rFonts w:ascii="Times New Roman" w:hAnsi="Times New Roman"/>
          <w:lang w:val="en-HK"/>
        </w:rPr>
        <w:t>M’Naghten’s</w:t>
      </w:r>
      <w:proofErr w:type="spellEnd"/>
      <w:r w:rsidRPr="00FC5010">
        <w:rPr>
          <w:rFonts w:ascii="Times New Roman" w:hAnsi="Times New Roman"/>
          <w:lang w:val="en-HK"/>
        </w:rPr>
        <w:t xml:space="preserve"> flaws, as </w:t>
      </w:r>
      <w:r w:rsidRPr="00FC5010">
        <w:rPr>
          <w:rFonts w:ascii="Times New Roman" w:hAnsi="Times New Roman"/>
          <w:i/>
          <w:iCs/>
          <w:lang w:val="en-HK"/>
        </w:rPr>
        <w:t>Johnson</w:t>
      </w:r>
      <w:r w:rsidRPr="00FC5010">
        <w:rPr>
          <w:rFonts w:ascii="Times New Roman" w:hAnsi="Times New Roman"/>
          <w:lang w:val="en-HK"/>
        </w:rPr>
        <w:t xml:space="preserve"> suggests.</w:t>
      </w:r>
    </w:p>
    <w:p w14:paraId="63E49354" w14:textId="762708F8" w:rsidR="00FC5010" w:rsidRPr="00FC5010" w:rsidRDefault="00FC5010" w:rsidP="00FC5010">
      <w:pPr>
        <w:spacing w:after="240" w:line="360" w:lineRule="auto"/>
        <w:rPr>
          <w:rFonts w:ascii="Times New Roman" w:hAnsi="Times New Roman"/>
          <w:lang w:val="en-HK"/>
        </w:rPr>
      </w:pPr>
    </w:p>
    <w:p w14:paraId="585352CD" w14:textId="77777777" w:rsidR="00CD39F1" w:rsidRPr="00FC5010" w:rsidRDefault="00CD39F1" w:rsidP="00FC5010">
      <w:pPr>
        <w:spacing w:after="240" w:line="360" w:lineRule="auto"/>
      </w:pPr>
    </w:p>
    <w:sectPr w:rsidR="00CD39F1" w:rsidRPr="00FC5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F2FC6"/>
    <w:multiLevelType w:val="multilevel"/>
    <w:tmpl w:val="14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14C06"/>
    <w:multiLevelType w:val="multilevel"/>
    <w:tmpl w:val="7DFE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B274A"/>
    <w:multiLevelType w:val="multilevel"/>
    <w:tmpl w:val="06E86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54CF8"/>
    <w:multiLevelType w:val="multilevel"/>
    <w:tmpl w:val="FC3E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859185">
    <w:abstractNumId w:val="2"/>
  </w:num>
  <w:num w:numId="2" w16cid:durableId="631523361">
    <w:abstractNumId w:val="1"/>
  </w:num>
  <w:num w:numId="3" w16cid:durableId="848636903">
    <w:abstractNumId w:val="3"/>
  </w:num>
  <w:num w:numId="4" w16cid:durableId="67030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1D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21A80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568E"/>
    <w:rsid w:val="00297C6E"/>
    <w:rsid w:val="002B3377"/>
    <w:rsid w:val="002C38C0"/>
    <w:rsid w:val="002C6D8B"/>
    <w:rsid w:val="002D2BF1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656E"/>
    <w:rsid w:val="003278F5"/>
    <w:rsid w:val="00330665"/>
    <w:rsid w:val="00342A18"/>
    <w:rsid w:val="00357561"/>
    <w:rsid w:val="00361344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12F9B"/>
    <w:rsid w:val="004222FD"/>
    <w:rsid w:val="004319FA"/>
    <w:rsid w:val="00442F56"/>
    <w:rsid w:val="0044616D"/>
    <w:rsid w:val="0045091D"/>
    <w:rsid w:val="00474DD1"/>
    <w:rsid w:val="004751B5"/>
    <w:rsid w:val="0048097D"/>
    <w:rsid w:val="004816F7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1130"/>
    <w:rsid w:val="00595357"/>
    <w:rsid w:val="005A1930"/>
    <w:rsid w:val="005A3C9C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159E0"/>
    <w:rsid w:val="00622488"/>
    <w:rsid w:val="006350B8"/>
    <w:rsid w:val="006415E8"/>
    <w:rsid w:val="00650543"/>
    <w:rsid w:val="00654D8B"/>
    <w:rsid w:val="00661136"/>
    <w:rsid w:val="00672197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2E80"/>
    <w:rsid w:val="007E4AE6"/>
    <w:rsid w:val="007F776E"/>
    <w:rsid w:val="00816563"/>
    <w:rsid w:val="00830C88"/>
    <w:rsid w:val="00845AB5"/>
    <w:rsid w:val="00850813"/>
    <w:rsid w:val="00861B11"/>
    <w:rsid w:val="008829C2"/>
    <w:rsid w:val="008A54BE"/>
    <w:rsid w:val="008B2AB5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114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BE07C8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9345A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5D40"/>
    <w:rsid w:val="00DD6F5C"/>
    <w:rsid w:val="00DD7881"/>
    <w:rsid w:val="00DE6C87"/>
    <w:rsid w:val="00E06E11"/>
    <w:rsid w:val="00E14A1A"/>
    <w:rsid w:val="00E14E1F"/>
    <w:rsid w:val="00E2730E"/>
    <w:rsid w:val="00E4366A"/>
    <w:rsid w:val="00E438AC"/>
    <w:rsid w:val="00E51987"/>
    <w:rsid w:val="00E53FD2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41537"/>
    <w:rsid w:val="00F655F4"/>
    <w:rsid w:val="00F71153"/>
    <w:rsid w:val="00F81EB6"/>
    <w:rsid w:val="00F858D4"/>
    <w:rsid w:val="00FA0450"/>
    <w:rsid w:val="00FA4E8A"/>
    <w:rsid w:val="00FB2653"/>
    <w:rsid w:val="00FB5C49"/>
    <w:rsid w:val="00FC5010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CD24"/>
  <w15:chartTrackingRefBased/>
  <w15:docId w15:val="{296B2C9F-35A3-7E41-A308-AC6F4607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9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09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9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9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9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9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9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91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91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91D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5091D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91D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91D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91D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91D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91D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509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91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9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9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509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91D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450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91D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5091D"/>
    <w:rPr>
      <w:b/>
      <w:bCs/>
      <w:smallCaps/>
      <w:color w:val="2F5496" w:themeColor="accent1" w:themeShade="BF"/>
      <w:spacing w:val="5"/>
    </w:rPr>
  </w:style>
  <w:style w:type="paragraph" w:customStyle="1" w:styleId="break-words">
    <w:name w:val="break-words"/>
    <w:basedOn w:val="Normal"/>
    <w:rsid w:val="00FC5010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Strong">
    <w:name w:val="Strong"/>
    <w:basedOn w:val="DefaultParagraphFont"/>
    <w:uiPriority w:val="22"/>
    <w:qFormat/>
    <w:rsid w:val="00FC5010"/>
    <w:rPr>
      <w:b/>
      <w:bCs/>
    </w:rPr>
  </w:style>
  <w:style w:type="character" w:styleId="Emphasis">
    <w:name w:val="Emphasis"/>
    <w:basedOn w:val="DefaultParagraphFont"/>
    <w:uiPriority w:val="20"/>
    <w:qFormat/>
    <w:rsid w:val="00FC50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9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1290</Words>
  <Characters>7353</Characters>
  <Application>Microsoft Office Word</Application>
  <DocSecurity>0</DocSecurity>
  <Lines>61</Lines>
  <Paragraphs>17</Paragraphs>
  <ScaleCrop>false</ScaleCrop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2025-02-25T16:40:00Z</dcterms:created>
  <dcterms:modified xsi:type="dcterms:W3CDTF">2025-02-25T16:51:00Z</dcterms:modified>
</cp:coreProperties>
</file>