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D07CA" w14:textId="77777777" w:rsidR="0000556E" w:rsidRPr="0000556E" w:rsidRDefault="0000556E" w:rsidP="001C684A">
      <w:pPr>
        <w:spacing w:after="240" w:line="360" w:lineRule="auto"/>
        <w:outlineLvl w:val="3"/>
        <w:rPr>
          <w:rFonts w:ascii="Times New Roman" w:hAnsi="Times New Roman"/>
          <w:b/>
          <w:bCs/>
          <w:lang w:val="en-HK"/>
        </w:rPr>
      </w:pPr>
      <w:r w:rsidRPr="0000556E">
        <w:rPr>
          <w:rFonts w:ascii="Times New Roman" w:hAnsi="Times New Roman"/>
          <w:b/>
          <w:bCs/>
          <w:lang w:val="en-HK"/>
        </w:rPr>
        <w:t>Legislative Context</w:t>
      </w:r>
    </w:p>
    <w:p w14:paraId="2157D45D" w14:textId="64E18DF0" w:rsidR="0000556E" w:rsidRPr="0000556E" w:rsidRDefault="0000556E" w:rsidP="001C684A">
      <w:pPr>
        <w:spacing w:after="240" w:line="360" w:lineRule="auto"/>
        <w:rPr>
          <w:rFonts w:ascii="Times New Roman" w:hAnsi="Times New Roman"/>
          <w:lang w:val="en-HK"/>
        </w:rPr>
      </w:pPr>
      <w:r w:rsidRPr="0000556E">
        <w:rPr>
          <w:rFonts w:ascii="Times New Roman" w:hAnsi="Times New Roman"/>
          <w:lang w:val="en-HK"/>
        </w:rPr>
        <w:t xml:space="preserve">The </w:t>
      </w:r>
      <w:r w:rsidRPr="0000556E">
        <w:rPr>
          <w:rFonts w:ascii="Times New Roman" w:hAnsi="Times New Roman"/>
          <w:i/>
          <w:iCs/>
          <w:lang w:val="en-HK"/>
        </w:rPr>
        <w:t>Criminal Procedure (Insanity) Act 1964</w:t>
      </w:r>
      <w:r w:rsidRPr="0000556E">
        <w:rPr>
          <w:rFonts w:ascii="Times New Roman" w:hAnsi="Times New Roman"/>
          <w:lang w:val="en-HK"/>
        </w:rPr>
        <w:t xml:space="preserve"> mandated indefinite hospitalization for NGRI verdicts, deterring its use, with an average of 4 annual findings from 1987–1991. The 1991 Act, enacted on 27 June 1991 and effective from 1 January 1992, retained the </w:t>
      </w:r>
      <w:proofErr w:type="spellStart"/>
      <w:r w:rsidRPr="0000556E">
        <w:rPr>
          <w:rFonts w:ascii="Times New Roman" w:hAnsi="Times New Roman"/>
          <w:lang w:val="en-HK"/>
        </w:rPr>
        <w:t>M’Naghten</w:t>
      </w:r>
      <w:proofErr w:type="spellEnd"/>
      <w:r w:rsidRPr="0000556E">
        <w:rPr>
          <w:rFonts w:ascii="Times New Roman" w:hAnsi="Times New Roman"/>
          <w:lang w:val="en-HK"/>
        </w:rPr>
        <w:t xml:space="preserve"> Rules from 1843 (</w:t>
      </w:r>
      <w:proofErr w:type="spellStart"/>
      <w:r w:rsidRPr="0000556E">
        <w:rPr>
          <w:rFonts w:ascii="Times New Roman" w:hAnsi="Times New Roman"/>
          <w:i/>
          <w:iCs/>
          <w:lang w:val="en-HK"/>
        </w:rPr>
        <w:t>M’Naghten’s</w:t>
      </w:r>
      <w:proofErr w:type="spellEnd"/>
      <w:r w:rsidRPr="0000556E">
        <w:rPr>
          <w:rFonts w:ascii="Times New Roman" w:hAnsi="Times New Roman"/>
          <w:i/>
          <w:iCs/>
          <w:lang w:val="en-HK"/>
        </w:rPr>
        <w:t xml:space="preserve"> Case</w:t>
      </w:r>
      <w:r w:rsidRPr="0000556E">
        <w:rPr>
          <w:rFonts w:ascii="Times New Roman" w:hAnsi="Times New Roman"/>
          <w:lang w:val="en-HK"/>
        </w:rPr>
        <w:t xml:space="preserve"> (1843) 10 Cl. &amp; F. 200 at 210) but introduced discretionary disposals under section 5, except in murder cases where restriction orders remained mandatory. These options included hospital admission (with or without restrictions), guardianship under the </w:t>
      </w:r>
      <w:r w:rsidRPr="0000556E">
        <w:rPr>
          <w:rFonts w:ascii="Times New Roman" w:hAnsi="Times New Roman"/>
          <w:i/>
          <w:iCs/>
          <w:lang w:val="en-HK"/>
        </w:rPr>
        <w:t>Mental Health Act 1983</w:t>
      </w:r>
      <w:r w:rsidRPr="0000556E">
        <w:rPr>
          <w:rFonts w:ascii="Times New Roman" w:hAnsi="Times New Roman"/>
          <w:lang w:val="en-HK"/>
        </w:rPr>
        <w:t xml:space="preserve"> (c.20), supervision and treatment orders, or absolute discharge. This flexibility aimed to address dissatisfaction with the 1964 Act’s rigidity, a reform prompted by concerns over automatic detention.</w:t>
      </w:r>
    </w:p>
    <w:p w14:paraId="417AC59B"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lang w:val="en-HK"/>
        </w:rPr>
        <w:t xml:space="preserve">The document notes subsequent changes under the </w:t>
      </w:r>
      <w:r w:rsidRPr="0000556E">
        <w:rPr>
          <w:rFonts w:ascii="Times New Roman" w:hAnsi="Times New Roman"/>
          <w:i/>
          <w:iCs/>
          <w:lang w:val="en-HK"/>
        </w:rPr>
        <w:t>Domestic Violence, Crime and Victims Act 2004</w:t>
      </w:r>
      <w:r w:rsidRPr="0000556E">
        <w:rPr>
          <w:rFonts w:ascii="Times New Roman" w:hAnsi="Times New Roman"/>
          <w:lang w:val="en-HK"/>
        </w:rPr>
        <w:t xml:space="preserve"> (c.28), effective 31 March 2005, which reduced disposals to three—hospital orders (aligned with the </w:t>
      </w:r>
      <w:r w:rsidRPr="0000556E">
        <w:rPr>
          <w:rFonts w:ascii="Times New Roman" w:hAnsi="Times New Roman"/>
          <w:i/>
          <w:iCs/>
          <w:lang w:val="en-HK"/>
        </w:rPr>
        <w:t>Mental Health Act 1983</w:t>
      </w:r>
      <w:r w:rsidRPr="0000556E">
        <w:rPr>
          <w:rFonts w:ascii="Times New Roman" w:hAnsi="Times New Roman"/>
          <w:lang w:val="en-HK"/>
        </w:rPr>
        <w:t xml:space="preserve">), supervision orders, and absolute discharge—abolishing guardianship and ensuring compliance with Article 5(1)(e) of the </w:t>
      </w:r>
      <w:r w:rsidRPr="0000556E">
        <w:rPr>
          <w:rFonts w:ascii="Times New Roman" w:hAnsi="Times New Roman"/>
          <w:i/>
          <w:iCs/>
          <w:lang w:val="en-HK"/>
        </w:rPr>
        <w:t>European Convention on Human Rights 1950</w:t>
      </w:r>
      <w:r w:rsidRPr="0000556E">
        <w:rPr>
          <w:rFonts w:ascii="Times New Roman" w:hAnsi="Times New Roman"/>
          <w:lang w:val="en-HK"/>
        </w:rPr>
        <w:t>, which prohibits detention without mental disorder evidence.</w:t>
      </w:r>
    </w:p>
    <w:p w14:paraId="1DFBB2A3" w14:textId="77777777" w:rsidR="0000556E" w:rsidRPr="0000556E" w:rsidRDefault="0000556E" w:rsidP="001C684A">
      <w:pPr>
        <w:spacing w:after="240" w:line="360" w:lineRule="auto"/>
        <w:rPr>
          <w:rFonts w:ascii="Times New Roman" w:hAnsi="Times New Roman"/>
          <w:lang w:val="en-HK"/>
        </w:rPr>
      </w:pPr>
    </w:p>
    <w:p w14:paraId="5C00DD32" w14:textId="77777777" w:rsidR="0000556E" w:rsidRPr="0000556E" w:rsidRDefault="0000556E" w:rsidP="001C684A">
      <w:pPr>
        <w:spacing w:after="240" w:line="360" w:lineRule="auto"/>
        <w:outlineLvl w:val="3"/>
        <w:rPr>
          <w:rFonts w:ascii="Times New Roman" w:hAnsi="Times New Roman"/>
          <w:b/>
          <w:bCs/>
          <w:lang w:val="en-HK"/>
        </w:rPr>
      </w:pPr>
      <w:r w:rsidRPr="0000556E">
        <w:rPr>
          <w:rFonts w:ascii="Times New Roman" w:hAnsi="Times New Roman"/>
          <w:b/>
          <w:bCs/>
          <w:lang w:val="en-HK"/>
        </w:rPr>
        <w:t>Cases</w:t>
      </w:r>
    </w:p>
    <w:p w14:paraId="3D1789D7"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b/>
          <w:bCs/>
          <w:lang w:val="en-HK"/>
        </w:rPr>
        <w:t>R. v Maidstone Crown Court Ex p. Harrow LBC [1999] 3 All E.R. 542</w:t>
      </w:r>
      <w:r w:rsidRPr="0000556E">
        <w:rPr>
          <w:rFonts w:ascii="Times New Roman" w:hAnsi="Times New Roman"/>
          <w:lang w:val="en-HK"/>
        </w:rPr>
        <w:t xml:space="preserve"> </w:t>
      </w:r>
    </w:p>
    <w:p w14:paraId="4B0FDB24"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Facts</w:t>
      </w:r>
      <w:r w:rsidRPr="0000556E">
        <w:rPr>
          <w:rFonts w:ascii="Times New Roman" w:hAnsi="Times New Roman"/>
          <w:lang w:val="en-HK"/>
        </w:rPr>
        <w:t>: The accused pleaded NGRI to an arson charge, and the judge imposed a supervision and treatment order without empanelling a jury, bypassing a trial on the insanity issue.</w:t>
      </w:r>
    </w:p>
    <w:p w14:paraId="2EEA24C3"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Held</w:t>
      </w:r>
      <w:r w:rsidRPr="0000556E">
        <w:rPr>
          <w:rFonts w:ascii="Times New Roman" w:hAnsi="Times New Roman"/>
          <w:lang w:val="en-HK"/>
        </w:rPr>
        <w:t xml:space="preserve">: The Divisional Court, per Mitchell J., set aside the order, remitting the case for jury trial. The court lacked jurisdiction to proceed to disposal without a jury verdict under section 2 of the </w:t>
      </w:r>
      <w:r w:rsidRPr="0000556E">
        <w:rPr>
          <w:rFonts w:ascii="Times New Roman" w:hAnsi="Times New Roman"/>
          <w:i/>
          <w:iCs/>
          <w:lang w:val="en-HK"/>
        </w:rPr>
        <w:t>Trial of Lunatics Act 1883</w:t>
      </w:r>
      <w:r w:rsidRPr="0000556E">
        <w:rPr>
          <w:rFonts w:ascii="Times New Roman" w:hAnsi="Times New Roman"/>
          <w:lang w:val="en-HK"/>
        </w:rPr>
        <w:t xml:space="preserve"> (c.38).</w:t>
      </w:r>
    </w:p>
    <w:p w14:paraId="422D44EF"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Reasoning</w:t>
      </w:r>
      <w:r w:rsidRPr="0000556E">
        <w:rPr>
          <w:rFonts w:ascii="Times New Roman" w:hAnsi="Times New Roman"/>
          <w:lang w:val="en-HK"/>
        </w:rPr>
        <w:t xml:space="preserve">: Section 1(1) of the 1991 Act states, </w:t>
      </w:r>
      <w:r w:rsidRPr="0000556E">
        <w:rPr>
          <w:rFonts w:ascii="Times New Roman" w:hAnsi="Times New Roman"/>
          <w:i/>
          <w:iCs/>
          <w:lang w:val="en-HK"/>
        </w:rPr>
        <w:t>A jury shall not return a special verdict under section 2 of the Trial of Lunatics Act 1883 (acquittal on ground of insanity) except on the written or oral evidence of two or more registered medical practitioners at least one of whom is duly approved.</w:t>
      </w:r>
      <w:r w:rsidRPr="0000556E">
        <w:rPr>
          <w:rFonts w:ascii="Times New Roman" w:hAnsi="Times New Roman"/>
          <w:lang w:val="en-HK"/>
        </w:rPr>
        <w:t xml:space="preserve"> Mitchell J. emphasized, </w:t>
      </w:r>
      <w:r w:rsidRPr="0000556E">
        <w:rPr>
          <w:rFonts w:ascii="Times New Roman" w:hAnsi="Times New Roman"/>
          <w:i/>
          <w:iCs/>
          <w:lang w:val="en-HK"/>
        </w:rPr>
        <w:t xml:space="preserve">Regardless of whether the prosecution challenges the claim … a plea of ‘not guilty by reason of insanity’ … must be followed by the trial of that </w:t>
      </w:r>
      <w:r w:rsidRPr="0000556E">
        <w:rPr>
          <w:rFonts w:ascii="Times New Roman" w:hAnsi="Times New Roman"/>
          <w:i/>
          <w:iCs/>
          <w:lang w:val="en-HK"/>
        </w:rPr>
        <w:lastRenderedPageBreak/>
        <w:t>issue by a jury … Unless a jury had returned a special verdict … the judge had no jurisdiction to make any disposal order</w:t>
      </w:r>
      <w:r w:rsidRPr="0000556E">
        <w:rPr>
          <w:rFonts w:ascii="Times New Roman" w:hAnsi="Times New Roman"/>
          <w:lang w:val="en-HK"/>
        </w:rPr>
        <w:t xml:space="preserve"> ([1999] 3 All E.R. at 547–548). This clarified that judicial acceptance of an NGRI plea without jury deliberation was unlawful, reinforcing statutory procedure over expediency.</w:t>
      </w:r>
    </w:p>
    <w:p w14:paraId="1830864D" w14:textId="189CFDE2" w:rsidR="001C684A"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Implication</w:t>
      </w:r>
      <w:r w:rsidRPr="0000556E">
        <w:rPr>
          <w:rFonts w:ascii="Times New Roman" w:hAnsi="Times New Roman"/>
          <w:lang w:val="en-HK"/>
        </w:rPr>
        <w:t>: The single 1997–2001 case where no jury was sworn, decided pre-</w:t>
      </w:r>
      <w:r w:rsidRPr="0000556E">
        <w:rPr>
          <w:rFonts w:ascii="Times New Roman" w:hAnsi="Times New Roman"/>
          <w:i/>
          <w:iCs/>
          <w:lang w:val="en-HK"/>
        </w:rPr>
        <w:t>Maidstone</w:t>
      </w:r>
      <w:r w:rsidRPr="0000556E">
        <w:rPr>
          <w:rFonts w:ascii="Times New Roman" w:hAnsi="Times New Roman"/>
          <w:lang w:val="en-HK"/>
        </w:rPr>
        <w:t>, was erroneous, underscoring the mandatory jury role until legislative reform occurs.</w:t>
      </w:r>
    </w:p>
    <w:p w14:paraId="6874B376"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b/>
          <w:bCs/>
          <w:lang w:val="en-HK"/>
        </w:rPr>
        <w:t>Windle [1962] 2 Q.B. 826</w:t>
      </w:r>
      <w:r w:rsidRPr="0000556E">
        <w:rPr>
          <w:rFonts w:ascii="Times New Roman" w:hAnsi="Times New Roman"/>
          <w:lang w:val="en-HK"/>
        </w:rPr>
        <w:t xml:space="preserve"> (Referenced in footnote 18)</w:t>
      </w:r>
    </w:p>
    <w:p w14:paraId="6015A270"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Context</w:t>
      </w:r>
      <w:r w:rsidRPr="0000556E">
        <w:rPr>
          <w:rFonts w:ascii="Times New Roman" w:hAnsi="Times New Roman"/>
          <w:lang w:val="en-HK"/>
        </w:rPr>
        <w:t xml:space="preserve">: The document cites </w:t>
      </w:r>
      <w:r w:rsidRPr="0000556E">
        <w:rPr>
          <w:rFonts w:ascii="Times New Roman" w:hAnsi="Times New Roman"/>
          <w:i/>
          <w:iCs/>
          <w:lang w:val="en-HK"/>
        </w:rPr>
        <w:t>Windle</w:t>
      </w:r>
      <w:r w:rsidRPr="0000556E">
        <w:rPr>
          <w:rFonts w:ascii="Times New Roman" w:hAnsi="Times New Roman"/>
          <w:lang w:val="en-HK"/>
        </w:rPr>
        <w:t xml:space="preserve"> to illustrate the strict legal interpretation of the </w:t>
      </w:r>
      <w:proofErr w:type="spellStart"/>
      <w:r w:rsidRPr="0000556E">
        <w:rPr>
          <w:rFonts w:ascii="Times New Roman" w:hAnsi="Times New Roman"/>
          <w:lang w:val="en-HK"/>
        </w:rPr>
        <w:t>M’Naghten</w:t>
      </w:r>
      <w:proofErr w:type="spellEnd"/>
      <w:r w:rsidRPr="0000556E">
        <w:rPr>
          <w:rFonts w:ascii="Times New Roman" w:hAnsi="Times New Roman"/>
          <w:lang w:val="en-HK"/>
        </w:rPr>
        <w:t xml:space="preserve"> Rules’ "wrongness" limb, requiring ignorance of legal, not moral, wrongness.</w:t>
      </w:r>
    </w:p>
    <w:p w14:paraId="23A96BA8"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Facts and Holding</w:t>
      </w:r>
      <w:r w:rsidRPr="0000556E">
        <w:rPr>
          <w:rFonts w:ascii="Times New Roman" w:hAnsi="Times New Roman"/>
          <w:lang w:val="en-HK"/>
        </w:rPr>
        <w:t xml:space="preserve">: Though specifics are not detailed, </w:t>
      </w:r>
      <w:r w:rsidRPr="0000556E">
        <w:rPr>
          <w:rFonts w:ascii="Times New Roman" w:hAnsi="Times New Roman"/>
          <w:i/>
          <w:iCs/>
          <w:lang w:val="en-HK"/>
        </w:rPr>
        <w:t>Windle</w:t>
      </w:r>
      <w:r w:rsidRPr="0000556E">
        <w:rPr>
          <w:rFonts w:ascii="Times New Roman" w:hAnsi="Times New Roman"/>
          <w:lang w:val="en-HK"/>
        </w:rPr>
        <w:t xml:space="preserve"> established that a defendant knowing their act was legally wrong cannot succeed under </w:t>
      </w:r>
      <w:proofErr w:type="spellStart"/>
      <w:r w:rsidRPr="0000556E">
        <w:rPr>
          <w:rFonts w:ascii="Times New Roman" w:hAnsi="Times New Roman"/>
          <w:lang w:val="en-HK"/>
        </w:rPr>
        <w:t>M’Naghten</w:t>
      </w:r>
      <w:proofErr w:type="spellEnd"/>
      <w:r w:rsidRPr="0000556E">
        <w:rPr>
          <w:rFonts w:ascii="Times New Roman" w:hAnsi="Times New Roman"/>
          <w:lang w:val="en-HK"/>
        </w:rPr>
        <w:t>, even if they believed it morally justified.</w:t>
      </w:r>
    </w:p>
    <w:p w14:paraId="7CBE422E" w14:textId="1507D76C"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Implication</w:t>
      </w:r>
      <w:r w:rsidRPr="0000556E">
        <w:rPr>
          <w:rFonts w:ascii="Times New Roman" w:hAnsi="Times New Roman"/>
          <w:lang w:val="en-HK"/>
        </w:rPr>
        <w:t>: Contrasts with the document’s finding that psychiatrists often adopt a broader "moral wrongness" interpretation, highlighting a tension between legal doctrine and psychiatric practice.</w:t>
      </w:r>
    </w:p>
    <w:p w14:paraId="07DCBC7F"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b/>
          <w:bCs/>
          <w:lang w:val="en-HK"/>
        </w:rPr>
        <w:t>Hennessey [1989] 2 All E.R. 9</w:t>
      </w:r>
      <w:r w:rsidRPr="0000556E">
        <w:rPr>
          <w:rFonts w:ascii="Times New Roman" w:hAnsi="Times New Roman"/>
          <w:lang w:val="en-HK"/>
        </w:rPr>
        <w:t xml:space="preserve"> (Referenced in footnote 24)</w:t>
      </w:r>
    </w:p>
    <w:p w14:paraId="3A3812ED"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Context</w:t>
      </w:r>
      <w:r w:rsidRPr="0000556E">
        <w:rPr>
          <w:rFonts w:ascii="Times New Roman" w:hAnsi="Times New Roman"/>
          <w:lang w:val="en-HK"/>
        </w:rPr>
        <w:t>: Cited regarding diabetic automatism (hyperglycaemia) as a non-mental disorder insanity, relevant to the 2004 Act’s disposal changes.</w:t>
      </w:r>
    </w:p>
    <w:p w14:paraId="341CE5A2"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Facts and Holding</w:t>
      </w:r>
      <w:r w:rsidRPr="0000556E">
        <w:rPr>
          <w:rFonts w:ascii="Times New Roman" w:hAnsi="Times New Roman"/>
          <w:lang w:val="en-HK"/>
        </w:rPr>
        <w:t xml:space="preserve">: Not elaborated, but </w:t>
      </w:r>
      <w:r w:rsidRPr="0000556E">
        <w:rPr>
          <w:rFonts w:ascii="Times New Roman" w:hAnsi="Times New Roman"/>
          <w:i/>
          <w:iCs/>
          <w:lang w:val="en-HK"/>
        </w:rPr>
        <w:t>Hennessey</w:t>
      </w:r>
      <w:r w:rsidRPr="0000556E">
        <w:rPr>
          <w:rFonts w:ascii="Times New Roman" w:hAnsi="Times New Roman"/>
          <w:lang w:val="en-HK"/>
        </w:rPr>
        <w:t xml:space="preserve"> distinguished physical conditions from mental disorders under the </w:t>
      </w:r>
      <w:proofErr w:type="spellStart"/>
      <w:r w:rsidRPr="0000556E">
        <w:rPr>
          <w:rFonts w:ascii="Times New Roman" w:hAnsi="Times New Roman"/>
          <w:lang w:val="en-HK"/>
        </w:rPr>
        <w:t>M’Naghten</w:t>
      </w:r>
      <w:proofErr w:type="spellEnd"/>
      <w:r w:rsidRPr="0000556E">
        <w:rPr>
          <w:rFonts w:ascii="Times New Roman" w:hAnsi="Times New Roman"/>
          <w:lang w:val="en-HK"/>
        </w:rPr>
        <w:t xml:space="preserve"> framework, affecting disposal eligibility.</w:t>
      </w:r>
    </w:p>
    <w:p w14:paraId="0B49ADE7" w14:textId="59C48CA2" w:rsid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Implication</w:t>
      </w:r>
      <w:r w:rsidRPr="0000556E">
        <w:rPr>
          <w:rFonts w:ascii="Times New Roman" w:hAnsi="Times New Roman"/>
          <w:lang w:val="en-HK"/>
        </w:rPr>
        <w:t>: Post-2004, such cases cannot result in hospital orders, limiting options to supervision or discharge, aligning disposals with psychiatric definitions.</w:t>
      </w:r>
    </w:p>
    <w:p w14:paraId="22F110C8" w14:textId="77777777" w:rsidR="001C684A" w:rsidRPr="0000556E" w:rsidRDefault="001C684A" w:rsidP="001C684A">
      <w:pPr>
        <w:spacing w:after="240" w:line="360" w:lineRule="auto"/>
        <w:rPr>
          <w:rFonts w:ascii="Times New Roman" w:hAnsi="Times New Roman"/>
          <w:lang w:val="en-HK"/>
        </w:rPr>
      </w:pPr>
    </w:p>
    <w:p w14:paraId="0AF25829" w14:textId="77777777" w:rsidR="0000556E" w:rsidRPr="0000556E" w:rsidRDefault="0000556E" w:rsidP="001C684A">
      <w:pPr>
        <w:spacing w:after="240" w:line="360" w:lineRule="auto"/>
        <w:outlineLvl w:val="3"/>
        <w:rPr>
          <w:rFonts w:ascii="Times New Roman" w:hAnsi="Times New Roman"/>
          <w:b/>
          <w:bCs/>
          <w:lang w:val="en-HK"/>
        </w:rPr>
      </w:pPr>
      <w:r w:rsidRPr="0000556E">
        <w:rPr>
          <w:rFonts w:ascii="Times New Roman" w:hAnsi="Times New Roman"/>
          <w:b/>
          <w:bCs/>
          <w:lang w:val="en-HK"/>
        </w:rPr>
        <w:t>Data and Implications</w:t>
      </w:r>
    </w:p>
    <w:p w14:paraId="0523E020" w14:textId="3940EDDF" w:rsidR="0000556E" w:rsidRPr="0000556E" w:rsidRDefault="0000556E" w:rsidP="001C684A">
      <w:pPr>
        <w:spacing w:after="240" w:line="360" w:lineRule="auto"/>
        <w:outlineLvl w:val="3"/>
        <w:rPr>
          <w:rFonts w:ascii="Times New Roman" w:hAnsi="Times New Roman"/>
          <w:b/>
          <w:bCs/>
          <w:lang w:val="en-HK"/>
        </w:rPr>
      </w:pPr>
      <w:r w:rsidRPr="0000556E">
        <w:rPr>
          <w:rFonts w:ascii="Times New Roman" w:hAnsi="Times New Roman"/>
          <w:b/>
          <w:bCs/>
          <w:lang w:val="en-HK"/>
        </w:rPr>
        <w:t>Frequency of NGRI Findings</w:t>
      </w:r>
      <w:r w:rsidRPr="0000556E">
        <w:rPr>
          <w:rFonts w:ascii="Times New Roman" w:hAnsi="Times New Roman"/>
          <w:lang w:val="en-HK"/>
        </w:rPr>
        <w:t xml:space="preserve"> </w:t>
      </w:r>
    </w:p>
    <w:p w14:paraId="4C59F128"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lastRenderedPageBreak/>
        <w:t>Data</w:t>
      </w:r>
      <w:r w:rsidRPr="0000556E">
        <w:rPr>
          <w:rFonts w:ascii="Times New Roman" w:hAnsi="Times New Roman"/>
          <w:lang w:val="en-HK"/>
        </w:rPr>
        <w:t>: From 1997–2001, 72 NGRI verdicts were recorded, averaging 14.4 annually, up from 8.8 (44 cases) in 1992–1996 and 4 (20 cases) in 1987–1991 under the 1964 Act. The ten-year total under the 1991 Act (1992–2001) was 116, averaging 11.6.</w:t>
      </w:r>
    </w:p>
    <w:p w14:paraId="68CA99EF"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Implication</w:t>
      </w:r>
      <w:r w:rsidRPr="0000556E">
        <w:rPr>
          <w:rFonts w:ascii="Times New Roman" w:hAnsi="Times New Roman"/>
          <w:lang w:val="en-HK"/>
        </w:rPr>
        <w:t>: The steady rise suggests growing acceptance of the 1991 Act’s flexibility, reversing the 1964 Act’s decline in NGRI pleas. Mackay et al. speculate increased awareness among lawyers and psychiatrists has reduced the deterrence of mandatory hospitalization, though numbers remain low relative to total Crown Court cases.</w:t>
      </w:r>
    </w:p>
    <w:p w14:paraId="72579486"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b/>
          <w:bCs/>
          <w:lang w:val="en-HK"/>
        </w:rPr>
        <w:t>Demographic and Diagnostic Profile</w:t>
      </w:r>
      <w:r w:rsidRPr="0000556E">
        <w:rPr>
          <w:rFonts w:ascii="Times New Roman" w:hAnsi="Times New Roman"/>
          <w:lang w:val="en-HK"/>
        </w:rPr>
        <w:t xml:space="preserve"> </w:t>
      </w:r>
    </w:p>
    <w:p w14:paraId="7E419172"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Data</w:t>
      </w:r>
      <w:r w:rsidRPr="0000556E">
        <w:rPr>
          <w:rFonts w:ascii="Times New Roman" w:hAnsi="Times New Roman"/>
          <w:lang w:val="en-HK"/>
        </w:rPr>
        <w:t>: Males dominated at 97.2% (70 of 72), a shift from 81.8% in 1992–1996, with females at 2.8% (2 cases). Mean age was 34.3 (range 17–62), peaking at 20–39 (50 cases). Schizophrenia was the primary diagnosis in 50% (36 cases), followed by depressive/anxiety disorders (11.1%, 8 cases) and epilepsy (9.7%, 7 cases). Prior psychiatric contact occurred in 72.2% (52 cases), with 44 hospitalized; 36.1% (26 cases) had criminal records.</w:t>
      </w:r>
    </w:p>
    <w:p w14:paraId="6C4C590D" w14:textId="6828BF58"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Implication</w:t>
      </w:r>
      <w:r w:rsidRPr="0000556E">
        <w:rPr>
          <w:rFonts w:ascii="Times New Roman" w:hAnsi="Times New Roman"/>
          <w:lang w:val="en-HK"/>
        </w:rPr>
        <w:t>: The male skew and schizophrenia prevalence align with prior studies, reinforcing a consistent NGRI defendant profile. Reduced female representation may reflect sampling variation or gendered offence patterns. High psychiatric history suggests mental health system interaction precedes NGRI pleas, informing resource allocation debates.</w:t>
      </w:r>
    </w:p>
    <w:p w14:paraId="7EC20D70"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b/>
          <w:bCs/>
          <w:lang w:val="en-HK"/>
        </w:rPr>
        <w:t>Offences Charged</w:t>
      </w:r>
      <w:r w:rsidRPr="0000556E">
        <w:rPr>
          <w:rFonts w:ascii="Times New Roman" w:hAnsi="Times New Roman"/>
          <w:lang w:val="en-HK"/>
        </w:rPr>
        <w:t xml:space="preserve"> </w:t>
      </w:r>
    </w:p>
    <w:p w14:paraId="19DB26AB"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Data</w:t>
      </w:r>
      <w:r w:rsidRPr="0000556E">
        <w:rPr>
          <w:rFonts w:ascii="Times New Roman" w:hAnsi="Times New Roman"/>
          <w:lang w:val="en-HK"/>
        </w:rPr>
        <w:t>: Offences against the person predominated (e.g., murder: 7 cases, 9.7%; attempted murder: 16, 22.2%; GBH: 12, 16.7%; ABH: 8, 11.1%; arson: 8, 11.1%). Murder cases remained low compared to 33% under the 1964 Act, dropping from 9.1% (1992–1996) to 9.7%.</w:t>
      </w:r>
    </w:p>
    <w:p w14:paraId="5E3E20ED" w14:textId="22791303"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Implication</w:t>
      </w:r>
      <w:r w:rsidRPr="0000556E">
        <w:rPr>
          <w:rFonts w:ascii="Times New Roman" w:hAnsi="Times New Roman"/>
          <w:lang w:val="en-HK"/>
        </w:rPr>
        <w:t>: The low murder rate, despite flexibility, indicates the mandatory restriction order in murder cases (</w:t>
      </w:r>
      <w:r w:rsidRPr="0000556E">
        <w:rPr>
          <w:rFonts w:ascii="Times New Roman" w:hAnsi="Times New Roman"/>
          <w:i/>
          <w:iCs/>
          <w:lang w:val="en-HK"/>
        </w:rPr>
        <w:t>1991 Act, s.5</w:t>
      </w:r>
      <w:r w:rsidRPr="0000556E">
        <w:rPr>
          <w:rFonts w:ascii="Times New Roman" w:hAnsi="Times New Roman"/>
          <w:lang w:val="en-HK"/>
        </w:rPr>
        <w:t xml:space="preserve">) deters NGRI pleas, </w:t>
      </w:r>
      <w:proofErr w:type="spellStart"/>
      <w:r w:rsidRPr="0000556E">
        <w:rPr>
          <w:rFonts w:ascii="Times New Roman" w:hAnsi="Times New Roman"/>
          <w:lang w:val="en-HK"/>
        </w:rPr>
        <w:t>favoring</w:t>
      </w:r>
      <w:proofErr w:type="spellEnd"/>
      <w:r w:rsidRPr="0000556E">
        <w:rPr>
          <w:rFonts w:ascii="Times New Roman" w:hAnsi="Times New Roman"/>
          <w:lang w:val="en-HK"/>
        </w:rPr>
        <w:t xml:space="preserve"> diminished responsibility pleas under the </w:t>
      </w:r>
      <w:r w:rsidRPr="0000556E">
        <w:rPr>
          <w:rFonts w:ascii="Times New Roman" w:hAnsi="Times New Roman"/>
          <w:i/>
          <w:iCs/>
          <w:lang w:val="en-HK"/>
        </w:rPr>
        <w:t>Homicide Act 1957</w:t>
      </w:r>
      <w:r w:rsidRPr="0000556E">
        <w:rPr>
          <w:rFonts w:ascii="Times New Roman" w:hAnsi="Times New Roman"/>
          <w:lang w:val="en-HK"/>
        </w:rPr>
        <w:t>. Violence prevalence underscores psychosis-driven offending, supporting reform arguments for aligning insanity with modern psychiatry.</w:t>
      </w:r>
    </w:p>
    <w:p w14:paraId="2F4F7594"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b/>
          <w:bCs/>
          <w:lang w:val="en-HK"/>
        </w:rPr>
        <w:t xml:space="preserve">Psychiatric Reports and </w:t>
      </w:r>
      <w:proofErr w:type="spellStart"/>
      <w:r w:rsidRPr="0000556E">
        <w:rPr>
          <w:rFonts w:ascii="Times New Roman" w:hAnsi="Times New Roman"/>
          <w:b/>
          <w:bCs/>
          <w:lang w:val="en-HK"/>
        </w:rPr>
        <w:t>M’Naghten</w:t>
      </w:r>
      <w:proofErr w:type="spellEnd"/>
      <w:r w:rsidRPr="0000556E">
        <w:rPr>
          <w:rFonts w:ascii="Times New Roman" w:hAnsi="Times New Roman"/>
          <w:b/>
          <w:bCs/>
          <w:lang w:val="en-HK"/>
        </w:rPr>
        <w:t xml:space="preserve"> Rules</w:t>
      </w:r>
      <w:r w:rsidRPr="0000556E">
        <w:rPr>
          <w:rFonts w:ascii="Times New Roman" w:hAnsi="Times New Roman"/>
          <w:lang w:val="en-HK"/>
        </w:rPr>
        <w:t xml:space="preserve"> </w:t>
      </w:r>
    </w:p>
    <w:p w14:paraId="165E865C"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lastRenderedPageBreak/>
        <w:t>Data</w:t>
      </w:r>
      <w:r w:rsidRPr="0000556E">
        <w:rPr>
          <w:rFonts w:ascii="Times New Roman" w:hAnsi="Times New Roman"/>
          <w:lang w:val="en-HK"/>
        </w:rPr>
        <w:t xml:space="preserve">: Of 161 reports across 72 cases, 60 explicitly cited </w:t>
      </w:r>
      <w:proofErr w:type="spellStart"/>
      <w:r w:rsidRPr="0000556E">
        <w:rPr>
          <w:rFonts w:ascii="Times New Roman" w:hAnsi="Times New Roman"/>
          <w:lang w:val="en-HK"/>
        </w:rPr>
        <w:t>M’Naghten</w:t>
      </w:r>
      <w:proofErr w:type="spellEnd"/>
      <w:r w:rsidRPr="0000556E">
        <w:rPr>
          <w:rFonts w:ascii="Times New Roman" w:hAnsi="Times New Roman"/>
          <w:lang w:val="en-HK"/>
        </w:rPr>
        <w:t>, 77 implied it, and 24 ignored it. The "wrongness" limb was referenced in 100 reports (49 with both limbs, 22 exclusively), versus 98 for "nature and quality" (27 with both, 6 exclusively). Six reports showed disagreement, and two invoked a "third limb" (</w:t>
      </w:r>
      <w:proofErr w:type="spellStart"/>
      <w:r w:rsidRPr="0000556E">
        <w:rPr>
          <w:rFonts w:ascii="Times New Roman" w:hAnsi="Times New Roman"/>
          <w:i/>
          <w:iCs/>
          <w:lang w:val="en-HK"/>
        </w:rPr>
        <w:t>M’Naghten</w:t>
      </w:r>
      <w:proofErr w:type="spellEnd"/>
      <w:r w:rsidRPr="0000556E">
        <w:rPr>
          <w:rFonts w:ascii="Times New Roman" w:hAnsi="Times New Roman"/>
          <w:lang w:val="en-HK"/>
        </w:rPr>
        <w:t xml:space="preserve"> (1843) 10 Cl. &amp; F. at 211: </w:t>
      </w:r>
      <w:r w:rsidRPr="0000556E">
        <w:rPr>
          <w:rFonts w:ascii="Times New Roman" w:hAnsi="Times New Roman"/>
          <w:i/>
          <w:iCs/>
          <w:lang w:val="en-HK"/>
        </w:rPr>
        <w:t>if the accused labours under … a partial delusion … he must be considered … as if the facts were real</w:t>
      </w:r>
      <w:r w:rsidRPr="0000556E">
        <w:rPr>
          <w:rFonts w:ascii="Times New Roman" w:hAnsi="Times New Roman"/>
          <w:lang w:val="en-HK"/>
        </w:rPr>
        <w:t>).</w:t>
      </w:r>
    </w:p>
    <w:p w14:paraId="374CD4DB"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Quotes and Analysis</w:t>
      </w:r>
      <w:r w:rsidRPr="0000556E">
        <w:rPr>
          <w:rFonts w:ascii="Times New Roman" w:hAnsi="Times New Roman"/>
          <w:lang w:val="en-HK"/>
        </w:rPr>
        <w:t xml:space="preserve">: A report stated, </w:t>
      </w:r>
      <w:r w:rsidRPr="0000556E">
        <w:rPr>
          <w:rFonts w:ascii="Times New Roman" w:hAnsi="Times New Roman"/>
          <w:b/>
          <w:bCs/>
          <w:i/>
          <w:iCs/>
          <w:color w:val="FF0000"/>
          <w:lang w:val="en-HK"/>
        </w:rPr>
        <w:t>It is arguable that within his delusional beliefs he would have been unaware that what he was doing was wrong</w:t>
      </w:r>
      <w:r w:rsidRPr="0000556E">
        <w:rPr>
          <w:rFonts w:ascii="Times New Roman" w:hAnsi="Times New Roman"/>
          <w:b/>
          <w:bCs/>
          <w:color w:val="FF0000"/>
          <w:lang w:val="en-HK"/>
        </w:rPr>
        <w:t xml:space="preserve"> (arson case), implying moral wrongness.</w:t>
      </w:r>
      <w:r w:rsidRPr="0000556E">
        <w:rPr>
          <w:rFonts w:ascii="Times New Roman" w:hAnsi="Times New Roman"/>
          <w:lang w:val="en-HK"/>
        </w:rPr>
        <w:t xml:space="preserve"> Prior research noted, </w:t>
      </w:r>
      <w:r w:rsidRPr="0000556E">
        <w:rPr>
          <w:rFonts w:ascii="Times New Roman" w:hAnsi="Times New Roman"/>
          <w:i/>
          <w:iCs/>
          <w:lang w:val="en-HK"/>
        </w:rPr>
        <w:t>the wrongness issue was being treated in a liberal fashion by all concerned</w:t>
      </w:r>
      <w:r w:rsidRPr="0000556E">
        <w:rPr>
          <w:rFonts w:ascii="Times New Roman" w:hAnsi="Times New Roman"/>
          <w:lang w:val="en-HK"/>
        </w:rPr>
        <w:t xml:space="preserve"> (Mackay [1990] Crim. L.R. 247 at 251). A "third limb" report argued, </w:t>
      </w:r>
      <w:r w:rsidRPr="0000556E">
        <w:rPr>
          <w:rFonts w:ascii="Times New Roman" w:hAnsi="Times New Roman"/>
          <w:i/>
          <w:iCs/>
          <w:lang w:val="en-HK"/>
        </w:rPr>
        <w:t>This paranoid delusion … means that the defendant falls within the meaning of legal insanity</w:t>
      </w:r>
      <w:r w:rsidRPr="0000556E">
        <w:rPr>
          <w:rFonts w:ascii="Times New Roman" w:hAnsi="Times New Roman"/>
          <w:lang w:val="en-HK"/>
        </w:rPr>
        <w:t>.</w:t>
      </w:r>
    </w:p>
    <w:p w14:paraId="0E7EF52D"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Implication</w:t>
      </w:r>
      <w:r w:rsidRPr="0000556E">
        <w:rPr>
          <w:rFonts w:ascii="Times New Roman" w:hAnsi="Times New Roman"/>
          <w:lang w:val="en-HK"/>
        </w:rPr>
        <w:t>: Psychiatrists’ pragmatic, broader interpretation—focusing on moral justification over legal wrongness (</w:t>
      </w:r>
      <w:r w:rsidRPr="0000556E">
        <w:rPr>
          <w:rFonts w:ascii="Times New Roman" w:hAnsi="Times New Roman"/>
          <w:i/>
          <w:iCs/>
          <w:lang w:val="en-HK"/>
        </w:rPr>
        <w:t>contra Windle</w:t>
      </w:r>
      <w:r w:rsidRPr="0000556E">
        <w:rPr>
          <w:rFonts w:ascii="Times New Roman" w:hAnsi="Times New Roman"/>
          <w:lang w:val="en-HK"/>
        </w:rPr>
        <w:t xml:space="preserve">)—suggests </w:t>
      </w:r>
      <w:proofErr w:type="spellStart"/>
      <w:r w:rsidRPr="0000556E">
        <w:rPr>
          <w:rFonts w:ascii="Times New Roman" w:hAnsi="Times New Roman"/>
          <w:lang w:val="en-HK"/>
        </w:rPr>
        <w:t>M’Naghten’s</w:t>
      </w:r>
      <w:proofErr w:type="spellEnd"/>
      <w:r w:rsidRPr="0000556E">
        <w:rPr>
          <w:rFonts w:ascii="Times New Roman" w:hAnsi="Times New Roman"/>
          <w:lang w:val="en-HK"/>
        </w:rPr>
        <w:t xml:space="preserve"> cognitive test is misaligned with clinical reality. Courts’ acceptance indicates a de facto expansion, </w:t>
      </w:r>
      <w:proofErr w:type="spellStart"/>
      <w:r w:rsidRPr="0000556E">
        <w:rPr>
          <w:rFonts w:ascii="Times New Roman" w:hAnsi="Times New Roman"/>
          <w:lang w:val="en-HK"/>
        </w:rPr>
        <w:t>fueling</w:t>
      </w:r>
      <w:proofErr w:type="spellEnd"/>
      <w:r w:rsidRPr="0000556E">
        <w:rPr>
          <w:rFonts w:ascii="Times New Roman" w:hAnsi="Times New Roman"/>
          <w:lang w:val="en-HK"/>
        </w:rPr>
        <w:t xml:space="preserve"> calls for reform to reflect delusion-driven justification.</w:t>
      </w:r>
    </w:p>
    <w:p w14:paraId="3082F36E"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b/>
          <w:bCs/>
          <w:lang w:val="en-HK"/>
        </w:rPr>
        <w:t>Role of the Jury</w:t>
      </w:r>
      <w:r w:rsidRPr="0000556E">
        <w:rPr>
          <w:rFonts w:ascii="Times New Roman" w:hAnsi="Times New Roman"/>
          <w:lang w:val="en-HK"/>
        </w:rPr>
        <w:t xml:space="preserve"> </w:t>
      </w:r>
    </w:p>
    <w:p w14:paraId="2AC187F9"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Data</w:t>
      </w:r>
      <w:r w:rsidRPr="0000556E">
        <w:rPr>
          <w:rFonts w:ascii="Times New Roman" w:hAnsi="Times New Roman"/>
          <w:lang w:val="en-HK"/>
        </w:rPr>
        <w:t>: In 18 cases, juries were directed to return NGRI verdicts or faced undisputed evidence; 10 involved normal deliberation; 1 had no jury (pre-</w:t>
      </w:r>
      <w:r w:rsidRPr="0000556E">
        <w:rPr>
          <w:rFonts w:ascii="Times New Roman" w:hAnsi="Times New Roman"/>
          <w:i/>
          <w:iCs/>
          <w:lang w:val="en-HK"/>
        </w:rPr>
        <w:t>Maidstone</w:t>
      </w:r>
      <w:r w:rsidRPr="0000556E">
        <w:rPr>
          <w:rFonts w:ascii="Times New Roman" w:hAnsi="Times New Roman"/>
          <w:lang w:val="en-HK"/>
        </w:rPr>
        <w:t>); 43 lacked data.</w:t>
      </w:r>
    </w:p>
    <w:p w14:paraId="1618053B"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Implication</w:t>
      </w:r>
      <w:r w:rsidRPr="0000556E">
        <w:rPr>
          <w:rFonts w:ascii="Times New Roman" w:hAnsi="Times New Roman"/>
          <w:lang w:val="en-HK"/>
        </w:rPr>
        <w:t>: The frequent formalistic jury role, echoing 23 similar cases in 1992–1996, questions its necessity, paralleling the 2004 Act’s judge-only unfitness hearings (</w:t>
      </w:r>
      <w:r w:rsidRPr="0000556E">
        <w:rPr>
          <w:rFonts w:ascii="Times New Roman" w:hAnsi="Times New Roman"/>
          <w:i/>
          <w:iCs/>
          <w:lang w:val="en-HK"/>
        </w:rPr>
        <w:t>s.22</w:t>
      </w:r>
      <w:r w:rsidRPr="0000556E">
        <w:rPr>
          <w:rFonts w:ascii="Times New Roman" w:hAnsi="Times New Roman"/>
          <w:lang w:val="en-HK"/>
        </w:rPr>
        <w:t xml:space="preserve">). Authors suggest, </w:t>
      </w:r>
      <w:r w:rsidRPr="0000556E">
        <w:rPr>
          <w:rFonts w:ascii="Times New Roman" w:hAnsi="Times New Roman"/>
          <w:i/>
          <w:iCs/>
          <w:lang w:val="en-HK"/>
        </w:rPr>
        <w:t>it might not be time to consider giving the prosecution and the court the power to accept a plea of NGRI … without the need for a jury trial</w:t>
      </w:r>
      <w:r w:rsidRPr="0000556E">
        <w:rPr>
          <w:rFonts w:ascii="Times New Roman" w:hAnsi="Times New Roman"/>
          <w:lang w:val="en-HK"/>
        </w:rPr>
        <w:t>, aligning insanity with diminished responsibility processes.</w:t>
      </w:r>
    </w:p>
    <w:p w14:paraId="7C497CAC"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b/>
          <w:bCs/>
          <w:lang w:val="en-HK"/>
        </w:rPr>
        <w:t>Disposals</w:t>
      </w:r>
      <w:r w:rsidRPr="0000556E">
        <w:rPr>
          <w:rFonts w:ascii="Times New Roman" w:hAnsi="Times New Roman"/>
          <w:lang w:val="en-HK"/>
        </w:rPr>
        <w:t xml:space="preserve"> </w:t>
      </w:r>
    </w:p>
    <w:p w14:paraId="521A3D53" w14:textId="03FC2CA6"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t>Data</w:t>
      </w:r>
      <w:r w:rsidRPr="0000556E">
        <w:rPr>
          <w:rFonts w:ascii="Times New Roman" w:hAnsi="Times New Roman"/>
          <w:lang w:val="en-HK"/>
        </w:rPr>
        <w:t xml:space="preserve">: Community disposals </w:t>
      </w:r>
      <w:proofErr w:type="spellStart"/>
      <w:r w:rsidRPr="0000556E">
        <w:rPr>
          <w:rFonts w:ascii="Times New Roman" w:hAnsi="Times New Roman"/>
          <w:lang w:val="en-HK"/>
        </w:rPr>
        <w:t>totaled</w:t>
      </w:r>
      <w:proofErr w:type="spellEnd"/>
      <w:r w:rsidRPr="0000556E">
        <w:rPr>
          <w:rFonts w:ascii="Times New Roman" w:hAnsi="Times New Roman"/>
          <w:lang w:val="en-HK"/>
        </w:rPr>
        <w:t xml:space="preserve"> 52.8% (38 cases): supervision orders (41.7%, 30 cases) and absolute discharge (9.7%, 7 cases). Hospital orders were 47.2% (34 cases), with 37.5% (27) restricted. Excluding 7 mandatory murder cases, 58.5% were community-based. Serious offences (e.g., attempted murder, GBH) received supervision or discharge.</w:t>
      </w:r>
    </w:p>
    <w:p w14:paraId="0F7ECD8F" w14:textId="77777777" w:rsidR="0000556E" w:rsidRPr="0000556E" w:rsidRDefault="0000556E" w:rsidP="001C684A">
      <w:pPr>
        <w:spacing w:after="240" w:line="360" w:lineRule="auto"/>
        <w:rPr>
          <w:rFonts w:ascii="Times New Roman" w:hAnsi="Times New Roman"/>
          <w:lang w:val="en-HK"/>
        </w:rPr>
      </w:pPr>
      <w:r w:rsidRPr="0000556E">
        <w:rPr>
          <w:rFonts w:ascii="Times New Roman" w:hAnsi="Times New Roman"/>
          <w:i/>
          <w:iCs/>
          <w:lang w:val="en-HK"/>
        </w:rPr>
        <w:lastRenderedPageBreak/>
        <w:t>Implication</w:t>
      </w:r>
      <w:r w:rsidRPr="0000556E">
        <w:rPr>
          <w:rFonts w:ascii="Times New Roman" w:hAnsi="Times New Roman"/>
          <w:lang w:val="en-HK"/>
        </w:rPr>
        <w:t xml:space="preserve">: Persistent community disposal use, even for violence, reflects the 1991 Act’s success in reducing hospitalization fears, though restriction orders dominate discretionary hospital cases (74.1%). The 2004 Act’s alignment with </w:t>
      </w:r>
      <w:r w:rsidRPr="0000556E">
        <w:rPr>
          <w:rFonts w:ascii="Times New Roman" w:hAnsi="Times New Roman"/>
          <w:i/>
          <w:iCs/>
          <w:lang w:val="en-HK"/>
        </w:rPr>
        <w:t>Mental Health Act 1983</w:t>
      </w:r>
      <w:r w:rsidRPr="0000556E">
        <w:rPr>
          <w:rFonts w:ascii="Times New Roman" w:hAnsi="Times New Roman"/>
          <w:lang w:val="en-HK"/>
        </w:rPr>
        <w:t xml:space="preserve"> criteria will limit hospital orders to mental disorders, impacting future trends (monitored by authors).</w:t>
      </w:r>
    </w:p>
    <w:p w14:paraId="29CAE386" w14:textId="77777777" w:rsidR="001C684A" w:rsidRDefault="001C684A" w:rsidP="001C684A">
      <w:pPr>
        <w:spacing w:after="240" w:line="360" w:lineRule="auto"/>
        <w:outlineLvl w:val="3"/>
        <w:rPr>
          <w:rFonts w:ascii="Times New Roman" w:hAnsi="Times New Roman"/>
          <w:b/>
          <w:bCs/>
          <w:lang w:val="en-HK"/>
        </w:rPr>
      </w:pPr>
    </w:p>
    <w:p w14:paraId="4E3B15C7" w14:textId="151D8D85" w:rsidR="0000556E" w:rsidRPr="0000556E" w:rsidRDefault="0000556E" w:rsidP="001C684A">
      <w:pPr>
        <w:spacing w:after="240" w:line="360" w:lineRule="auto"/>
        <w:outlineLvl w:val="3"/>
        <w:rPr>
          <w:rFonts w:ascii="Times New Roman" w:hAnsi="Times New Roman"/>
          <w:b/>
          <w:bCs/>
          <w:lang w:val="en-HK"/>
        </w:rPr>
      </w:pPr>
      <w:r w:rsidRPr="0000556E">
        <w:rPr>
          <w:rFonts w:ascii="Times New Roman" w:hAnsi="Times New Roman"/>
          <w:b/>
          <w:bCs/>
          <w:lang w:val="en-HK"/>
        </w:rPr>
        <w:t>Conclusions and Broader Arguments</w:t>
      </w:r>
    </w:p>
    <w:p w14:paraId="0766075A" w14:textId="0AEC9190" w:rsidR="0000556E" w:rsidRPr="0000556E" w:rsidRDefault="0000556E" w:rsidP="001C684A">
      <w:pPr>
        <w:spacing w:after="240" w:line="360" w:lineRule="auto"/>
        <w:rPr>
          <w:rFonts w:ascii="Times New Roman" w:hAnsi="Times New Roman"/>
          <w:lang w:val="en-HK"/>
        </w:rPr>
      </w:pPr>
      <w:r w:rsidRPr="0000556E">
        <w:rPr>
          <w:rFonts w:ascii="Times New Roman" w:hAnsi="Times New Roman"/>
          <w:lang w:val="en-HK"/>
        </w:rPr>
        <w:t xml:space="preserve">The study concludes that the 1991 Act has incrementally increased NGRI verdicts (14.4 annually versus 8.8), driven by disposal flexibility, with community orders dominating (52.8%). Schizophrenia underpins most cases, and the </w:t>
      </w:r>
      <w:proofErr w:type="spellStart"/>
      <w:r w:rsidRPr="0000556E">
        <w:rPr>
          <w:rFonts w:ascii="Times New Roman" w:hAnsi="Times New Roman"/>
          <w:lang w:val="en-HK"/>
        </w:rPr>
        <w:t>M’Naghten</w:t>
      </w:r>
      <w:proofErr w:type="spellEnd"/>
      <w:r w:rsidRPr="0000556E">
        <w:rPr>
          <w:rFonts w:ascii="Times New Roman" w:hAnsi="Times New Roman"/>
          <w:lang w:val="en-HK"/>
        </w:rPr>
        <w:t xml:space="preserve"> Rules are applied broadly, often beyond their strict legal scope. Offences remain violence-centric, with murder rare due to disposal constraints. The authors argue this slow rise halts the pre-1991 decline, but NGRI remains rare, suggesting legislative awareness drives modest growth. They critique the jury’s formalistic role and </w:t>
      </w:r>
      <w:proofErr w:type="spellStart"/>
      <w:r w:rsidRPr="0000556E">
        <w:rPr>
          <w:rFonts w:ascii="Times New Roman" w:hAnsi="Times New Roman"/>
          <w:lang w:val="en-HK"/>
        </w:rPr>
        <w:t>M’Naghten’s</w:t>
      </w:r>
      <w:proofErr w:type="spellEnd"/>
      <w:r w:rsidRPr="0000556E">
        <w:rPr>
          <w:rFonts w:ascii="Times New Roman" w:hAnsi="Times New Roman"/>
          <w:lang w:val="en-HK"/>
        </w:rPr>
        <w:t xml:space="preserve"> narrowness, advocating reform to reflect psychiatric and moral realities, a view supported by their ongoing research into the 2004 Act’s impact.</w:t>
      </w:r>
    </w:p>
    <w:p w14:paraId="7034BB2B" w14:textId="77777777" w:rsidR="0000556E" w:rsidRPr="0000556E" w:rsidRDefault="0000556E" w:rsidP="001C684A">
      <w:pPr>
        <w:spacing w:after="240" w:line="360" w:lineRule="auto"/>
        <w:rPr>
          <w:rFonts w:ascii="Times New Roman" w:hAnsi="Times New Roman"/>
          <w:lang w:val="en-HK"/>
        </w:rPr>
      </w:pPr>
    </w:p>
    <w:p w14:paraId="1E3D5714" w14:textId="77777777" w:rsidR="00CD39F1" w:rsidRPr="0000556E" w:rsidRDefault="00CD39F1" w:rsidP="001C684A">
      <w:pPr>
        <w:spacing w:after="240" w:line="360" w:lineRule="auto"/>
        <w:rPr>
          <w:lang w:val="en-US"/>
        </w:rPr>
      </w:pPr>
    </w:p>
    <w:sectPr w:rsidR="00CD39F1" w:rsidRPr="00005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822A1"/>
    <w:multiLevelType w:val="multilevel"/>
    <w:tmpl w:val="86388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14F57"/>
    <w:multiLevelType w:val="multilevel"/>
    <w:tmpl w:val="11D6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87020">
    <w:abstractNumId w:val="0"/>
  </w:num>
  <w:num w:numId="2" w16cid:durableId="1060443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11"/>
    <w:rsid w:val="000046A5"/>
    <w:rsid w:val="0000556E"/>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C684A"/>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344"/>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 w:val="00FE6C11"/>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9DB0BA"/>
  <w15:chartTrackingRefBased/>
  <w15:docId w15:val="{424CF671-5BFA-3049-AFB4-09795A26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E6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C1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E6C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6C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E6C1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6C1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6C1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6C1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1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E6C1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FE6C1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E6C1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E6C1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E6C1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E6C1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E6C1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E6C1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E6C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C1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E6C1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C1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E6C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6C1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E6C11"/>
    <w:pPr>
      <w:ind w:left="720"/>
      <w:contextualSpacing/>
    </w:pPr>
  </w:style>
  <w:style w:type="character" w:styleId="IntenseEmphasis">
    <w:name w:val="Intense Emphasis"/>
    <w:basedOn w:val="DefaultParagraphFont"/>
    <w:uiPriority w:val="21"/>
    <w:qFormat/>
    <w:rsid w:val="00FE6C11"/>
    <w:rPr>
      <w:i/>
      <w:iCs/>
      <w:color w:val="2F5496" w:themeColor="accent1" w:themeShade="BF"/>
    </w:rPr>
  </w:style>
  <w:style w:type="paragraph" w:styleId="IntenseQuote">
    <w:name w:val="Intense Quote"/>
    <w:basedOn w:val="Normal"/>
    <w:next w:val="Normal"/>
    <w:link w:val="IntenseQuoteChar"/>
    <w:uiPriority w:val="30"/>
    <w:qFormat/>
    <w:rsid w:val="00FE6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C1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E6C11"/>
    <w:rPr>
      <w:b/>
      <w:bCs/>
      <w:smallCaps/>
      <w:color w:val="2F5496" w:themeColor="accent1" w:themeShade="BF"/>
      <w:spacing w:val="5"/>
    </w:rPr>
  </w:style>
  <w:style w:type="paragraph" w:customStyle="1" w:styleId="break-words">
    <w:name w:val="break-words"/>
    <w:basedOn w:val="Normal"/>
    <w:rsid w:val="0000556E"/>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00556E"/>
    <w:rPr>
      <w:i/>
      <w:iCs/>
    </w:rPr>
  </w:style>
  <w:style w:type="character" w:styleId="Strong">
    <w:name w:val="Strong"/>
    <w:basedOn w:val="DefaultParagraphFont"/>
    <w:uiPriority w:val="22"/>
    <w:qFormat/>
    <w:rsid w:val="000055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9262130">
      <w:bodyDiv w:val="1"/>
      <w:marLeft w:val="0"/>
      <w:marRight w:val="0"/>
      <w:marTop w:val="0"/>
      <w:marBottom w:val="0"/>
      <w:divBdr>
        <w:top w:val="none" w:sz="0" w:space="0" w:color="auto"/>
        <w:left w:val="none" w:sz="0" w:space="0" w:color="auto"/>
        <w:bottom w:val="none" w:sz="0" w:space="0" w:color="auto"/>
        <w:right w:val="none" w:sz="0" w:space="0" w:color="auto"/>
      </w:divBdr>
      <w:divsChild>
        <w:div w:id="707223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1378</Words>
  <Characters>7858</Characters>
  <Application>Microsoft Office Word</Application>
  <DocSecurity>0</DocSecurity>
  <Lines>65</Lines>
  <Paragraphs>18</Paragraphs>
  <ScaleCrop>false</ScaleCrop>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2025-02-25T15:57:00Z</dcterms:created>
  <dcterms:modified xsi:type="dcterms:W3CDTF">2025-02-25T16:08:00Z</dcterms:modified>
</cp:coreProperties>
</file>