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0A0AA" w14:textId="77777777" w:rsidR="009142F1" w:rsidRPr="009142F1" w:rsidRDefault="009142F1" w:rsidP="009142F1">
      <w:pPr>
        <w:spacing w:after="100" w:afterAutospacing="1" w:line="360" w:lineRule="auto"/>
        <w:outlineLvl w:val="2"/>
        <w:rPr>
          <w:rFonts w:ascii="Times New Roman" w:hAnsi="Times New Roman"/>
          <w:b/>
          <w:bCs/>
          <w:lang w:val="en-HK"/>
        </w:rPr>
      </w:pPr>
      <w:r w:rsidRPr="009142F1">
        <w:rPr>
          <w:rFonts w:ascii="Times New Roman" w:hAnsi="Times New Roman"/>
          <w:b/>
          <w:bCs/>
          <w:lang w:val="en-HK"/>
        </w:rPr>
        <w:t>The Opinion That Intoxication Is Never a Defence: Analysis and Case Law Explanation</w:t>
      </w:r>
    </w:p>
    <w:p w14:paraId="7F2E3ACD" w14:textId="77777777" w:rsidR="009142F1" w:rsidRPr="009142F1" w:rsidRDefault="009142F1" w:rsidP="009142F1">
      <w:pPr>
        <w:spacing w:after="100" w:afterAutospacing="1" w:line="360" w:lineRule="auto"/>
        <w:outlineLvl w:val="3"/>
        <w:rPr>
          <w:rFonts w:ascii="Times New Roman" w:hAnsi="Times New Roman"/>
          <w:b/>
          <w:bCs/>
          <w:lang w:val="en-HK"/>
        </w:rPr>
      </w:pPr>
      <w:r w:rsidRPr="009142F1">
        <w:rPr>
          <w:rFonts w:ascii="Times New Roman" w:hAnsi="Times New Roman"/>
          <w:b/>
          <w:bCs/>
          <w:lang w:val="en-HK"/>
        </w:rPr>
        <w:t>Intoxication as an Inculpatory Doctrine, Not a Defence</w:t>
      </w:r>
    </w:p>
    <w:p w14:paraId="2B92B506" w14:textId="77777777" w:rsidR="009142F1" w:rsidRPr="009142F1" w:rsidRDefault="009142F1" w:rsidP="009142F1">
      <w:pPr>
        <w:spacing w:after="100" w:afterAutospacing="1" w:line="360" w:lineRule="auto"/>
        <w:rPr>
          <w:rFonts w:ascii="Times New Roman" w:hAnsi="Times New Roman"/>
          <w:lang w:val="en-HK"/>
        </w:rPr>
      </w:pP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asserts that intoxication is never a defence, even in exceptional circumstances, because its legal role is to assist the prosecution in proving culpability, not to provide the defendant with a shield against conviction. He explains that when a defendant voluntarily becomes intoxicated and commits an offence, the law treats them as if they had the necessary </w:t>
      </w:r>
      <w:proofErr w:type="spellStart"/>
      <w:r w:rsidRPr="009142F1">
        <w:rPr>
          <w:rFonts w:ascii="Times New Roman" w:hAnsi="Times New Roman"/>
          <w:lang w:val="en-HK"/>
        </w:rPr>
        <w:t>mens</w:t>
      </w:r>
      <w:proofErr w:type="spellEnd"/>
      <w:r w:rsidRPr="009142F1">
        <w:rPr>
          <w:rFonts w:ascii="Times New Roman" w:hAnsi="Times New Roman"/>
          <w:lang w:val="en-HK"/>
        </w:rPr>
        <w:t xml:space="preserve"> rea, even if they did not, provided certain conditions are met (e.g., the offence is one of basic intent). This distinguishes intoxication from true defences like self-defence or duress, which excuse a proven offence. Instead, intoxication supplements the prosecution’s case by implying culpability where it might otherwise be absent.</w:t>
      </w:r>
    </w:p>
    <w:p w14:paraId="363765E5" w14:textId="77777777" w:rsidR="009142F1" w:rsidRPr="009142F1" w:rsidRDefault="009142F1" w:rsidP="009142F1">
      <w:pPr>
        <w:numPr>
          <w:ilvl w:val="0"/>
          <w:numId w:val="1"/>
        </w:numPr>
        <w:spacing w:after="100" w:afterAutospacing="1" w:line="360" w:lineRule="auto"/>
        <w:rPr>
          <w:rFonts w:ascii="Times New Roman" w:hAnsi="Times New Roman"/>
          <w:b/>
          <w:bCs/>
          <w:lang w:val="en-HK"/>
        </w:rPr>
      </w:pPr>
      <w:r w:rsidRPr="009142F1">
        <w:rPr>
          <w:rFonts w:ascii="Times New Roman" w:hAnsi="Times New Roman"/>
          <w:b/>
          <w:bCs/>
          <w:lang w:val="en-HK"/>
        </w:rPr>
        <w:t>Case: Attorney-General (Northern Ireland) v Gallagher [1963] A.C. 349 HL</w:t>
      </w:r>
      <w:r w:rsidRPr="009142F1">
        <w:rPr>
          <w:rFonts w:ascii="Times New Roman" w:hAnsi="Times New Roman"/>
          <w:lang w:val="en-HK"/>
        </w:rPr>
        <w:br/>
        <w:t xml:space="preserve">In this case, Lord Denning articulated a widely accepted principle: “drunkenness is no defence to a criminal charge, nor is a defect of reason produced by drunkenness,” subject to very limited exceptions.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highlights that this phrasing, while correct, risks misinterpretation by suggesting intoxication might occasionally exculpate. However, the ruling in Gallagher reinforces that intoxication does not excuse liability for basic intent offences, such as manslaughter. </w:t>
      </w:r>
      <w:r w:rsidRPr="009142F1">
        <w:rPr>
          <w:rFonts w:ascii="Times New Roman" w:hAnsi="Times New Roman"/>
          <w:b/>
          <w:bCs/>
          <w:lang w:val="en-HK"/>
        </w:rPr>
        <w:t>The defendant, who killed his wife while drunk, was held liable despite lacking intent due to intoxication, illustrating that the doctrine imputes guilt rather than absolving it.</w:t>
      </w:r>
    </w:p>
    <w:p w14:paraId="064CDD4F" w14:textId="77777777" w:rsidR="009142F1" w:rsidRPr="009142F1" w:rsidRDefault="009142F1" w:rsidP="009142F1">
      <w:pPr>
        <w:numPr>
          <w:ilvl w:val="0"/>
          <w:numId w:val="1"/>
        </w:numPr>
        <w:spacing w:after="100" w:afterAutospacing="1" w:line="360" w:lineRule="auto"/>
        <w:rPr>
          <w:rFonts w:ascii="Times New Roman" w:hAnsi="Times New Roman"/>
          <w:lang w:val="en-HK"/>
        </w:rPr>
      </w:pPr>
      <w:r w:rsidRPr="009142F1">
        <w:rPr>
          <w:rFonts w:ascii="Times New Roman" w:hAnsi="Times New Roman"/>
          <w:b/>
          <w:bCs/>
          <w:lang w:val="en-HK"/>
        </w:rPr>
        <w:t>Case: Bratty v Attorney-General (Northern Ireland) [1963] A.C. 386 HL</w:t>
      </w:r>
      <w:r w:rsidRPr="009142F1">
        <w:rPr>
          <w:rFonts w:ascii="Times New Roman" w:hAnsi="Times New Roman"/>
          <w:lang w:val="en-HK"/>
        </w:rPr>
        <w:br/>
        <w:t xml:space="preserve">Here, the court clarified that intoxication offers no defence to basic intent crimes, even if the defendant was so drunk they were unaware of their actions. The judgment states: “he is still liable to be convicted of manslaughter or unlawful wounding for which no specific intent is necessary.”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uses this to argue that </w:t>
      </w:r>
      <w:r w:rsidRPr="009142F1">
        <w:rPr>
          <w:rFonts w:ascii="Times New Roman" w:hAnsi="Times New Roman"/>
          <w:b/>
          <w:bCs/>
          <w:lang w:val="en-HK"/>
        </w:rPr>
        <w:t xml:space="preserve">intoxication does not negate liability but shifts it to a </w:t>
      </w:r>
      <w:r w:rsidRPr="009142F1">
        <w:rPr>
          <w:rFonts w:ascii="Times New Roman" w:hAnsi="Times New Roman"/>
          <w:b/>
          <w:bCs/>
          <w:color w:val="FF0000"/>
          <w:lang w:val="en-HK"/>
        </w:rPr>
        <w:t xml:space="preserve">lesser offence </w:t>
      </w:r>
      <w:r w:rsidRPr="009142F1">
        <w:rPr>
          <w:rFonts w:ascii="Times New Roman" w:hAnsi="Times New Roman"/>
          <w:b/>
          <w:bCs/>
          <w:lang w:val="en-HK"/>
        </w:rPr>
        <w:t>where specific intent (e.g., intent to kill) is not required.</w:t>
      </w:r>
      <w:r w:rsidRPr="009142F1">
        <w:rPr>
          <w:rFonts w:ascii="Times New Roman" w:hAnsi="Times New Roman"/>
          <w:lang w:val="en-HK"/>
        </w:rPr>
        <w:t xml:space="preserve"> The doctrine thus constructs liability for the act committed, ensuring the defendant remains accountable.</w:t>
      </w:r>
    </w:p>
    <w:p w14:paraId="4DD2CE61" w14:textId="77777777" w:rsidR="009142F1" w:rsidRPr="009142F1" w:rsidRDefault="009142F1" w:rsidP="009142F1">
      <w:pPr>
        <w:numPr>
          <w:ilvl w:val="0"/>
          <w:numId w:val="1"/>
        </w:numPr>
        <w:spacing w:after="100" w:afterAutospacing="1" w:line="360" w:lineRule="auto"/>
        <w:rPr>
          <w:rFonts w:ascii="Times New Roman" w:hAnsi="Times New Roman"/>
          <w:lang w:val="en-HK"/>
        </w:rPr>
      </w:pPr>
      <w:r w:rsidRPr="009142F1">
        <w:rPr>
          <w:rFonts w:ascii="Times New Roman" w:hAnsi="Times New Roman"/>
          <w:b/>
          <w:bCs/>
          <w:lang w:val="en-HK"/>
        </w:rPr>
        <w:t>Case: Majewski [1977] A.C. 443 HL</w:t>
      </w:r>
      <w:r w:rsidRPr="009142F1">
        <w:rPr>
          <w:rFonts w:ascii="Times New Roman" w:hAnsi="Times New Roman"/>
          <w:lang w:val="en-HK"/>
        </w:rPr>
        <w:br/>
        <w:t xml:space="preserve">This seminal case is pivotal to </w:t>
      </w:r>
      <w:proofErr w:type="spellStart"/>
      <w:r w:rsidRPr="009142F1">
        <w:rPr>
          <w:rFonts w:ascii="Times New Roman" w:hAnsi="Times New Roman"/>
          <w:lang w:val="en-HK"/>
        </w:rPr>
        <w:t>Simester’s</w:t>
      </w:r>
      <w:proofErr w:type="spellEnd"/>
      <w:r w:rsidRPr="009142F1">
        <w:rPr>
          <w:rFonts w:ascii="Times New Roman" w:hAnsi="Times New Roman"/>
          <w:lang w:val="en-HK"/>
        </w:rPr>
        <w:t xml:space="preserve"> argument. The House of Lords ruled that for offences not requiring specific intent (basic intent offences), intoxication provides no defence. Lord Elwyn-Jones emphasized that accepting intoxication as a general defence “would undermine the criminal law,” except </w:t>
      </w:r>
      <w:r w:rsidRPr="009142F1">
        <w:rPr>
          <w:rFonts w:ascii="Times New Roman" w:hAnsi="Times New Roman"/>
          <w:b/>
          <w:bCs/>
          <w:lang w:val="en-HK"/>
        </w:rPr>
        <w:t xml:space="preserve">where a specific additional mental </w:t>
      </w:r>
      <w:r w:rsidRPr="009142F1">
        <w:rPr>
          <w:rFonts w:ascii="Times New Roman" w:hAnsi="Times New Roman"/>
          <w:b/>
          <w:bCs/>
          <w:lang w:val="en-HK"/>
        </w:rPr>
        <w:lastRenderedPageBreak/>
        <w:t xml:space="preserve">element (beyond ordinary </w:t>
      </w:r>
      <w:proofErr w:type="spellStart"/>
      <w:r w:rsidRPr="009142F1">
        <w:rPr>
          <w:rFonts w:ascii="Times New Roman" w:hAnsi="Times New Roman"/>
          <w:b/>
          <w:bCs/>
          <w:lang w:val="en-HK"/>
        </w:rPr>
        <w:t>mens</w:t>
      </w:r>
      <w:proofErr w:type="spellEnd"/>
      <w:r w:rsidRPr="009142F1">
        <w:rPr>
          <w:rFonts w:ascii="Times New Roman" w:hAnsi="Times New Roman"/>
          <w:b/>
          <w:bCs/>
          <w:lang w:val="en-HK"/>
        </w:rPr>
        <w:t xml:space="preserve"> rea) is needed</w:t>
      </w:r>
      <w:r w:rsidRPr="009142F1">
        <w:rPr>
          <w:rFonts w:ascii="Times New Roman" w:hAnsi="Times New Roman"/>
          <w:lang w:val="en-HK"/>
        </w:rPr>
        <w:t xml:space="preserve">. The trial judge’s direction, endorsed by the Lords, stated that if a defendant induces intoxication and commits an offence like unlawful wounding, “that state is no defence.”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interprets this as evidence that intoxication imposes liability by </w:t>
      </w:r>
      <w:r w:rsidRPr="009142F1">
        <w:rPr>
          <w:rFonts w:ascii="Times New Roman" w:hAnsi="Times New Roman"/>
          <w:b/>
          <w:bCs/>
          <w:color w:val="FF0000"/>
          <w:lang w:val="en-HK"/>
        </w:rPr>
        <w:t xml:space="preserve">deeming </w:t>
      </w:r>
      <w:proofErr w:type="spellStart"/>
      <w:r w:rsidRPr="009142F1">
        <w:rPr>
          <w:rFonts w:ascii="Times New Roman" w:hAnsi="Times New Roman"/>
          <w:b/>
          <w:bCs/>
          <w:color w:val="FF0000"/>
          <w:lang w:val="en-HK"/>
        </w:rPr>
        <w:t>mens</w:t>
      </w:r>
      <w:proofErr w:type="spellEnd"/>
      <w:r w:rsidRPr="009142F1">
        <w:rPr>
          <w:rFonts w:ascii="Times New Roman" w:hAnsi="Times New Roman"/>
          <w:b/>
          <w:bCs/>
          <w:color w:val="FF0000"/>
          <w:lang w:val="en-HK"/>
        </w:rPr>
        <w:t xml:space="preserve"> rea present</w:t>
      </w:r>
      <w:r w:rsidRPr="009142F1">
        <w:rPr>
          <w:rFonts w:ascii="Times New Roman" w:hAnsi="Times New Roman"/>
          <w:lang w:val="en-HK"/>
        </w:rPr>
        <w:t>, rather than excusing its absence. Lord Salmon further clarified: “</w:t>
      </w:r>
      <w:r w:rsidRPr="009142F1">
        <w:rPr>
          <w:rFonts w:ascii="Times New Roman" w:hAnsi="Times New Roman"/>
          <w:b/>
          <w:bCs/>
          <w:color w:val="FF0000"/>
          <w:lang w:val="en-HK"/>
        </w:rPr>
        <w:t>drunkenness, of itself, is never a defence</w:t>
      </w:r>
      <w:r w:rsidRPr="009142F1">
        <w:rPr>
          <w:rFonts w:ascii="Times New Roman" w:hAnsi="Times New Roman"/>
          <w:lang w:val="en-HK"/>
        </w:rPr>
        <w:t>,” reinforcing that it only affects specific intent offences by negating proof of intent, not by excusing the act.</w:t>
      </w:r>
    </w:p>
    <w:p w14:paraId="2B443F4C" w14:textId="77777777" w:rsidR="009142F1" w:rsidRPr="009142F1" w:rsidRDefault="009142F1" w:rsidP="009142F1">
      <w:pPr>
        <w:spacing w:after="100" w:afterAutospacing="1" w:line="360" w:lineRule="auto"/>
        <w:outlineLvl w:val="3"/>
        <w:rPr>
          <w:rFonts w:ascii="Times New Roman" w:hAnsi="Times New Roman"/>
          <w:b/>
          <w:bCs/>
          <w:lang w:val="en-HK"/>
        </w:rPr>
      </w:pPr>
      <w:r w:rsidRPr="009142F1">
        <w:rPr>
          <w:rFonts w:ascii="Times New Roman" w:hAnsi="Times New Roman"/>
          <w:b/>
          <w:bCs/>
          <w:lang w:val="en-HK"/>
        </w:rPr>
        <w:t>The Mechanism of Constructive Liability</w:t>
      </w:r>
    </w:p>
    <w:p w14:paraId="743D1B33" w14:textId="77777777" w:rsidR="009142F1" w:rsidRPr="009142F1" w:rsidRDefault="009142F1" w:rsidP="009142F1">
      <w:pPr>
        <w:spacing w:after="100" w:afterAutospacing="1" w:line="360" w:lineRule="auto"/>
        <w:rPr>
          <w:rFonts w:ascii="Times New Roman" w:hAnsi="Times New Roman"/>
          <w:lang w:val="en-HK"/>
        </w:rPr>
      </w:pP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further explains that the intoxication doctrine operates as constructive liability, comprising a gateway wrong (voluntary intoxication) and an aggravating outcome (the offence committed). Unlike traditional defences, which require the defendant to prove an excuse, intoxication shifts the burden to the prosecution to show either actual </w:t>
      </w:r>
      <w:proofErr w:type="spellStart"/>
      <w:r w:rsidRPr="009142F1">
        <w:rPr>
          <w:rFonts w:ascii="Times New Roman" w:hAnsi="Times New Roman"/>
          <w:lang w:val="en-HK"/>
        </w:rPr>
        <w:t>mens</w:t>
      </w:r>
      <w:proofErr w:type="spellEnd"/>
      <w:r w:rsidRPr="009142F1">
        <w:rPr>
          <w:rFonts w:ascii="Times New Roman" w:hAnsi="Times New Roman"/>
          <w:lang w:val="en-HK"/>
        </w:rPr>
        <w:t xml:space="preserve"> rea or that the defendant would have had it but for intoxication. This structure ensures that intoxication does not exculpate but instead establishes guilt.</w:t>
      </w:r>
    </w:p>
    <w:p w14:paraId="67497680" w14:textId="77777777" w:rsidR="009142F1" w:rsidRPr="009142F1" w:rsidRDefault="009142F1" w:rsidP="009142F1">
      <w:pPr>
        <w:numPr>
          <w:ilvl w:val="0"/>
          <w:numId w:val="2"/>
        </w:numPr>
        <w:spacing w:after="100" w:afterAutospacing="1" w:line="360" w:lineRule="auto"/>
        <w:rPr>
          <w:rFonts w:ascii="Times New Roman" w:hAnsi="Times New Roman"/>
          <w:lang w:val="en-HK"/>
        </w:rPr>
      </w:pPr>
      <w:r w:rsidRPr="009142F1">
        <w:rPr>
          <w:rFonts w:ascii="Times New Roman" w:hAnsi="Times New Roman"/>
          <w:b/>
          <w:bCs/>
          <w:lang w:val="en-HK"/>
        </w:rPr>
        <w:t>Case: Majewski (continued)</w:t>
      </w:r>
      <w:r w:rsidRPr="009142F1">
        <w:rPr>
          <w:rFonts w:ascii="Times New Roman" w:hAnsi="Times New Roman"/>
          <w:lang w:val="en-HK"/>
        </w:rPr>
        <w:br/>
        <w:t xml:space="preserve">Lord Elwyn-Jones in Majewski described voluntary intoxication as “an intrinsic, an integral part of the crime,” suggesting that the act of getting drunk is itself culpable when it leads to unlawful acts. This supports </w:t>
      </w:r>
      <w:proofErr w:type="spellStart"/>
      <w:r w:rsidRPr="009142F1">
        <w:rPr>
          <w:rFonts w:ascii="Times New Roman" w:hAnsi="Times New Roman"/>
          <w:lang w:val="en-HK"/>
        </w:rPr>
        <w:t>Simester’s</w:t>
      </w:r>
      <w:proofErr w:type="spellEnd"/>
      <w:r w:rsidRPr="009142F1">
        <w:rPr>
          <w:rFonts w:ascii="Times New Roman" w:hAnsi="Times New Roman"/>
          <w:lang w:val="en-HK"/>
        </w:rPr>
        <w:t xml:space="preserve"> view that intoxication is a gateway to liability, not a defence. The court held the defendant liable for assault despite his intoxication, constructing his guilt based on the foreseeable risks of his drunken state, not his actual intent at the time of the act.</w:t>
      </w:r>
    </w:p>
    <w:p w14:paraId="0853F9D3" w14:textId="77777777" w:rsidR="009142F1" w:rsidRPr="009142F1" w:rsidRDefault="009142F1" w:rsidP="009142F1">
      <w:pPr>
        <w:numPr>
          <w:ilvl w:val="0"/>
          <w:numId w:val="2"/>
        </w:numPr>
        <w:spacing w:after="100" w:afterAutospacing="1" w:line="360" w:lineRule="auto"/>
        <w:rPr>
          <w:rFonts w:ascii="Times New Roman" w:hAnsi="Times New Roman"/>
          <w:lang w:val="en-HK"/>
        </w:rPr>
      </w:pPr>
      <w:r w:rsidRPr="009142F1">
        <w:rPr>
          <w:rFonts w:ascii="Times New Roman" w:hAnsi="Times New Roman"/>
          <w:b/>
          <w:bCs/>
          <w:lang w:val="en-HK"/>
        </w:rPr>
        <w:t>Case: Lipman [1970] 1 Q.B. 152 CA (Crim Div)</w:t>
      </w:r>
      <w:r w:rsidRPr="009142F1">
        <w:rPr>
          <w:rFonts w:ascii="Times New Roman" w:hAnsi="Times New Roman"/>
          <w:lang w:val="en-HK"/>
        </w:rPr>
        <w:br/>
        <w:t xml:space="preserve">In Lipman, the defendant, under the influence of LSD, killed his partner in an automatic state. The court convicted him of manslaughter, a basic intent offence, despite his lack of awareness.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uses this to illustrate how the doctrine deems </w:t>
      </w:r>
      <w:proofErr w:type="spellStart"/>
      <w:r w:rsidRPr="009142F1">
        <w:rPr>
          <w:rFonts w:ascii="Times New Roman" w:hAnsi="Times New Roman"/>
          <w:lang w:val="en-HK"/>
        </w:rPr>
        <w:t>mens</w:t>
      </w:r>
      <w:proofErr w:type="spellEnd"/>
      <w:r w:rsidRPr="009142F1">
        <w:rPr>
          <w:rFonts w:ascii="Times New Roman" w:hAnsi="Times New Roman"/>
          <w:lang w:val="en-HK"/>
        </w:rPr>
        <w:t xml:space="preserve"> rea present when intoxication causes the absence of intent. The ruling shows that intoxication does not excuse the act but ensures liability by treating the defendant as if he foresaw the risk, aligning with the constructive liability framework.</w:t>
      </w:r>
    </w:p>
    <w:p w14:paraId="18A3C7A8" w14:textId="77777777" w:rsidR="009142F1" w:rsidRPr="009142F1" w:rsidRDefault="009142F1" w:rsidP="009142F1">
      <w:pPr>
        <w:spacing w:after="100" w:afterAutospacing="1" w:line="360" w:lineRule="auto"/>
        <w:outlineLvl w:val="3"/>
        <w:rPr>
          <w:rFonts w:ascii="Times New Roman" w:hAnsi="Times New Roman"/>
          <w:b/>
          <w:bCs/>
          <w:lang w:val="en-HK"/>
        </w:rPr>
      </w:pPr>
      <w:r w:rsidRPr="009142F1">
        <w:rPr>
          <w:rFonts w:ascii="Times New Roman" w:hAnsi="Times New Roman"/>
          <w:b/>
          <w:bCs/>
          <w:lang w:val="en-HK"/>
        </w:rPr>
        <w:t>Distinction Between Specific and Basic Intent Offences</w:t>
      </w:r>
    </w:p>
    <w:p w14:paraId="5E2F2DC1" w14:textId="77777777" w:rsidR="009142F1" w:rsidRPr="009142F1" w:rsidRDefault="009142F1" w:rsidP="009142F1">
      <w:pPr>
        <w:spacing w:after="100" w:afterAutospacing="1" w:line="360" w:lineRule="auto"/>
        <w:rPr>
          <w:rFonts w:ascii="Times New Roman" w:hAnsi="Times New Roman"/>
          <w:b/>
          <w:bCs/>
          <w:color w:val="FF0000"/>
          <w:lang w:val="en-HK"/>
        </w:rPr>
      </w:pPr>
      <w:proofErr w:type="spellStart"/>
      <w:r w:rsidRPr="009142F1">
        <w:rPr>
          <w:rFonts w:ascii="Times New Roman" w:hAnsi="Times New Roman"/>
          <w:lang w:val="en-HK"/>
        </w:rPr>
        <w:lastRenderedPageBreak/>
        <w:t>Simester</w:t>
      </w:r>
      <w:proofErr w:type="spellEnd"/>
      <w:r w:rsidRPr="009142F1">
        <w:rPr>
          <w:rFonts w:ascii="Times New Roman" w:hAnsi="Times New Roman"/>
          <w:lang w:val="en-HK"/>
        </w:rPr>
        <w:t xml:space="preserve"> notes that while intoxication is never a defence, its application differs between specific intent and basic intent offences, yet this distinction does not make it exculpatory. </w:t>
      </w:r>
      <w:r w:rsidRPr="009142F1">
        <w:rPr>
          <w:rFonts w:ascii="Times New Roman" w:hAnsi="Times New Roman"/>
          <w:b/>
          <w:bCs/>
          <w:color w:val="FF0000"/>
          <w:lang w:val="en-HK"/>
        </w:rPr>
        <w:t>For specific intent offences (e.g., murder, theft), intoxication can prevent the prosecution from proving the required intent, leading to acquittal or conviction of a lesser offence. For basic intent offences (e.g., manslaughter, wounding), it constructs liability, ensuring conviction.</w:t>
      </w:r>
    </w:p>
    <w:p w14:paraId="52FB2805" w14:textId="77777777" w:rsidR="009142F1" w:rsidRPr="009142F1" w:rsidRDefault="009142F1" w:rsidP="009142F1">
      <w:pPr>
        <w:numPr>
          <w:ilvl w:val="0"/>
          <w:numId w:val="3"/>
        </w:numPr>
        <w:spacing w:after="100" w:afterAutospacing="1" w:line="360" w:lineRule="auto"/>
        <w:rPr>
          <w:rFonts w:ascii="Times New Roman" w:hAnsi="Times New Roman"/>
          <w:b/>
          <w:bCs/>
          <w:lang w:val="en-HK"/>
        </w:rPr>
      </w:pPr>
      <w:r w:rsidRPr="009142F1">
        <w:rPr>
          <w:rFonts w:ascii="Times New Roman" w:hAnsi="Times New Roman"/>
          <w:b/>
          <w:bCs/>
          <w:lang w:val="en-HK"/>
        </w:rPr>
        <w:t>Case: Majewski (continued)</w:t>
      </w:r>
      <w:r w:rsidRPr="009142F1">
        <w:rPr>
          <w:rFonts w:ascii="Times New Roman" w:hAnsi="Times New Roman"/>
          <w:lang w:val="en-HK"/>
        </w:rPr>
        <w:br/>
        <w:t xml:space="preserve">The Majewski ruling exemplifies this distinction. The defendant was acquitted of specific intent charges (e.g., wounding with intent) because intoxication negated proof of intent, but convicted of basic intent offences (e.g., unlawful wounding).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argues this is not intoxication acting as a defence but rather the prosecution </w:t>
      </w:r>
      <w:r w:rsidRPr="009142F1">
        <w:rPr>
          <w:rFonts w:ascii="Times New Roman" w:hAnsi="Times New Roman"/>
          <w:b/>
          <w:bCs/>
          <w:lang w:val="en-HK"/>
        </w:rPr>
        <w:t>failing to prove an element of the offence, while the doctrine ensures liability for the lesser charge.</w:t>
      </w:r>
    </w:p>
    <w:p w14:paraId="083B18AB" w14:textId="77777777" w:rsidR="009142F1" w:rsidRPr="009142F1" w:rsidRDefault="009142F1" w:rsidP="009142F1">
      <w:pPr>
        <w:numPr>
          <w:ilvl w:val="0"/>
          <w:numId w:val="3"/>
        </w:numPr>
        <w:spacing w:after="100" w:afterAutospacing="1" w:line="360" w:lineRule="auto"/>
        <w:rPr>
          <w:rFonts w:ascii="Times New Roman" w:hAnsi="Times New Roman"/>
          <w:lang w:val="en-HK"/>
        </w:rPr>
      </w:pPr>
      <w:r w:rsidRPr="009142F1">
        <w:rPr>
          <w:rFonts w:ascii="Times New Roman" w:hAnsi="Times New Roman"/>
          <w:b/>
          <w:bCs/>
          <w:lang w:val="en-HK"/>
        </w:rPr>
        <w:t>Case: Sheehan and Moore [1975] 1 WLR 739 CA (Crim Div)</w:t>
      </w:r>
      <w:r w:rsidRPr="009142F1">
        <w:rPr>
          <w:rFonts w:ascii="Times New Roman" w:hAnsi="Times New Roman"/>
          <w:lang w:val="en-HK"/>
        </w:rPr>
        <w:br/>
        <w:t xml:space="preserve">This case supports the adage </w:t>
      </w:r>
      <w:r w:rsidRPr="009142F1">
        <w:rPr>
          <w:rFonts w:ascii="Times New Roman" w:hAnsi="Times New Roman"/>
          <w:b/>
          <w:bCs/>
          <w:lang w:val="en-HK"/>
        </w:rPr>
        <w:t>“a drunken intent is nevertheless an intent.”</w:t>
      </w:r>
      <w:r w:rsidRPr="009142F1">
        <w:rPr>
          <w:rFonts w:ascii="Times New Roman" w:hAnsi="Times New Roman"/>
          <w:lang w:val="en-HK"/>
        </w:rPr>
        <w:t xml:space="preserve"> The court held that if a defendant </w:t>
      </w:r>
      <w:r w:rsidRPr="009142F1">
        <w:rPr>
          <w:rFonts w:ascii="Times New Roman" w:hAnsi="Times New Roman"/>
          <w:b/>
          <w:bCs/>
          <w:lang w:val="en-HK"/>
        </w:rPr>
        <w:t>forms the specific intent despite intoxication</w:t>
      </w:r>
      <w:r w:rsidRPr="009142F1">
        <w:rPr>
          <w:rFonts w:ascii="Times New Roman" w:hAnsi="Times New Roman"/>
          <w:lang w:val="en-HK"/>
        </w:rPr>
        <w:t xml:space="preserve">, they remain liable (e.g., for murder). However, if intoxication prevents intent, liability shifts to a basic intent offence like manslaughter.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uses this to show that intoxication does not excuse but adjusts the scope of liability, reinforcing its inculpatory nature.</w:t>
      </w:r>
    </w:p>
    <w:p w14:paraId="5E2E0B38" w14:textId="77777777" w:rsidR="009142F1" w:rsidRPr="009142F1" w:rsidRDefault="009142F1" w:rsidP="009142F1">
      <w:pPr>
        <w:spacing w:after="100" w:afterAutospacing="1" w:line="360" w:lineRule="auto"/>
        <w:outlineLvl w:val="3"/>
        <w:rPr>
          <w:rFonts w:ascii="Times New Roman" w:hAnsi="Times New Roman"/>
          <w:b/>
          <w:bCs/>
          <w:lang w:val="en-HK"/>
        </w:rPr>
      </w:pPr>
      <w:r w:rsidRPr="009142F1">
        <w:rPr>
          <w:rFonts w:ascii="Times New Roman" w:hAnsi="Times New Roman"/>
          <w:b/>
          <w:bCs/>
          <w:lang w:val="en-HK"/>
        </w:rPr>
        <w:t>Rejection of Intoxication as Exculpatory</w:t>
      </w:r>
    </w:p>
    <w:p w14:paraId="27715EE7" w14:textId="77777777" w:rsidR="009142F1" w:rsidRPr="009142F1" w:rsidRDefault="009142F1" w:rsidP="009142F1">
      <w:pPr>
        <w:spacing w:after="100" w:afterAutospacing="1" w:line="360" w:lineRule="auto"/>
        <w:rPr>
          <w:rFonts w:ascii="Times New Roman" w:hAnsi="Times New Roman"/>
          <w:lang w:val="en-HK"/>
        </w:rPr>
      </w:pPr>
      <w:r w:rsidRPr="009142F1">
        <w:rPr>
          <w:rFonts w:ascii="Times New Roman" w:hAnsi="Times New Roman"/>
          <w:lang w:val="en-HK"/>
        </w:rPr>
        <w:t xml:space="preserve">Finally,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addresses judicial language that might imply intoxication is a defence (e.g., in Gallagher and Majewski), arguing it is a misreading. He insists that intoxication’s sole function is to impute </w:t>
      </w:r>
      <w:proofErr w:type="spellStart"/>
      <w:r w:rsidRPr="009142F1">
        <w:rPr>
          <w:rFonts w:ascii="Times New Roman" w:hAnsi="Times New Roman"/>
          <w:lang w:val="en-HK"/>
        </w:rPr>
        <w:t>mens</w:t>
      </w:r>
      <w:proofErr w:type="spellEnd"/>
      <w:r w:rsidRPr="009142F1">
        <w:rPr>
          <w:rFonts w:ascii="Times New Roman" w:hAnsi="Times New Roman"/>
          <w:lang w:val="en-HK"/>
        </w:rPr>
        <w:t xml:space="preserve"> rea where it is absent due to drunkenness, not to excuse the act.</w:t>
      </w:r>
    </w:p>
    <w:p w14:paraId="43528B8D" w14:textId="77777777" w:rsidR="009142F1" w:rsidRPr="009142F1" w:rsidRDefault="009142F1" w:rsidP="009142F1">
      <w:pPr>
        <w:spacing w:after="100" w:afterAutospacing="1" w:line="360" w:lineRule="auto"/>
        <w:rPr>
          <w:rFonts w:ascii="Times New Roman" w:hAnsi="Times New Roman"/>
          <w:lang w:val="en-HK"/>
        </w:rPr>
      </w:pPr>
      <w:r w:rsidRPr="009142F1">
        <w:rPr>
          <w:rFonts w:ascii="Times New Roman" w:hAnsi="Times New Roman"/>
          <w:b/>
          <w:bCs/>
          <w:lang w:val="en-HK"/>
        </w:rPr>
        <w:t>Case: Kingston [1995] 2 A.C. 355 HL</w:t>
      </w:r>
      <w:r w:rsidRPr="009142F1">
        <w:rPr>
          <w:rFonts w:ascii="Times New Roman" w:hAnsi="Times New Roman"/>
          <w:lang w:val="en-HK"/>
        </w:rPr>
        <w:br/>
        <w:t xml:space="preserve">Although intoxication here was involuntary, the principle applies: if </w:t>
      </w:r>
      <w:proofErr w:type="spellStart"/>
      <w:r w:rsidRPr="009142F1">
        <w:rPr>
          <w:rFonts w:ascii="Times New Roman" w:hAnsi="Times New Roman"/>
          <w:lang w:val="en-HK"/>
        </w:rPr>
        <w:t>mens</w:t>
      </w:r>
      <w:proofErr w:type="spellEnd"/>
      <w:r w:rsidRPr="009142F1">
        <w:rPr>
          <w:rFonts w:ascii="Times New Roman" w:hAnsi="Times New Roman"/>
          <w:lang w:val="en-HK"/>
        </w:rPr>
        <w:t xml:space="preserve"> rea is proven, intoxication (voluntary or not) is irrelevant. The defendant, drugged against his will, was liable because he acted with intent. </w:t>
      </w:r>
      <w:proofErr w:type="spellStart"/>
      <w:r w:rsidRPr="009142F1">
        <w:rPr>
          <w:rFonts w:ascii="Times New Roman" w:hAnsi="Times New Roman"/>
          <w:lang w:val="en-HK"/>
        </w:rPr>
        <w:t>Simester</w:t>
      </w:r>
      <w:proofErr w:type="spellEnd"/>
      <w:r w:rsidRPr="009142F1">
        <w:rPr>
          <w:rFonts w:ascii="Times New Roman" w:hAnsi="Times New Roman"/>
          <w:lang w:val="en-HK"/>
        </w:rPr>
        <w:t xml:space="preserve"> cites this to show that even when intoxication plays a role, it does not exculpate—only the absence of </w:t>
      </w:r>
      <w:proofErr w:type="spellStart"/>
      <w:r w:rsidRPr="009142F1">
        <w:rPr>
          <w:rFonts w:ascii="Times New Roman" w:hAnsi="Times New Roman"/>
          <w:lang w:val="en-HK"/>
        </w:rPr>
        <w:t>mens</w:t>
      </w:r>
      <w:proofErr w:type="spellEnd"/>
      <w:r w:rsidRPr="009142F1">
        <w:rPr>
          <w:rFonts w:ascii="Times New Roman" w:hAnsi="Times New Roman"/>
          <w:lang w:val="en-HK"/>
        </w:rPr>
        <w:t xml:space="preserve"> rea does, and voluntary intoxication cannot claim that absence as a defence.</w:t>
      </w:r>
    </w:p>
    <w:p w14:paraId="7605E1EB" w14:textId="77777777" w:rsidR="00CD39F1" w:rsidRPr="009142F1" w:rsidRDefault="00CD39F1" w:rsidP="009142F1">
      <w:pPr>
        <w:spacing w:line="360" w:lineRule="auto"/>
      </w:pPr>
    </w:p>
    <w:sectPr w:rsidR="00CD39F1" w:rsidRPr="00914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46B4E"/>
    <w:multiLevelType w:val="multilevel"/>
    <w:tmpl w:val="52EC95BE"/>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8B11631"/>
    <w:multiLevelType w:val="multilevel"/>
    <w:tmpl w:val="F34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32169"/>
    <w:multiLevelType w:val="multilevel"/>
    <w:tmpl w:val="8376E126"/>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41D22FD"/>
    <w:multiLevelType w:val="multilevel"/>
    <w:tmpl w:val="D2A0F848"/>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07893051">
    <w:abstractNumId w:val="2"/>
  </w:num>
  <w:num w:numId="2" w16cid:durableId="139421192">
    <w:abstractNumId w:val="3"/>
  </w:num>
  <w:num w:numId="3" w16cid:durableId="155804936">
    <w:abstractNumId w:val="0"/>
  </w:num>
  <w:num w:numId="4" w16cid:durableId="123608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50"/>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3D5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142F1"/>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3817C7"/>
  <w15:chartTrackingRefBased/>
  <w15:docId w15:val="{FBE6F894-6610-BE4F-AE12-E3B41265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63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3D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3D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3D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63D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3D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3D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3D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D50"/>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63D50"/>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63D50"/>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63D50"/>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263D50"/>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63D50"/>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63D50"/>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63D50"/>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63D50"/>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63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D5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63D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D50"/>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63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3D50"/>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63D50"/>
    <w:pPr>
      <w:ind w:left="720"/>
      <w:contextualSpacing/>
    </w:pPr>
  </w:style>
  <w:style w:type="character" w:styleId="IntenseEmphasis">
    <w:name w:val="Intense Emphasis"/>
    <w:basedOn w:val="DefaultParagraphFont"/>
    <w:uiPriority w:val="21"/>
    <w:qFormat/>
    <w:rsid w:val="00263D50"/>
    <w:rPr>
      <w:i/>
      <w:iCs/>
      <w:color w:val="2F5496" w:themeColor="accent1" w:themeShade="BF"/>
    </w:rPr>
  </w:style>
  <w:style w:type="paragraph" w:styleId="IntenseQuote">
    <w:name w:val="Intense Quote"/>
    <w:basedOn w:val="Normal"/>
    <w:next w:val="Normal"/>
    <w:link w:val="IntenseQuoteChar"/>
    <w:uiPriority w:val="30"/>
    <w:qFormat/>
    <w:rsid w:val="00263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50"/>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63D50"/>
    <w:rPr>
      <w:b/>
      <w:bCs/>
      <w:smallCaps/>
      <w:color w:val="2F5496" w:themeColor="accent1" w:themeShade="BF"/>
      <w:spacing w:val="5"/>
    </w:rPr>
  </w:style>
  <w:style w:type="paragraph" w:customStyle="1" w:styleId="break-words">
    <w:name w:val="break-words"/>
    <w:basedOn w:val="Normal"/>
    <w:rsid w:val="009142F1"/>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914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8541751">
      <w:bodyDiv w:val="1"/>
      <w:marLeft w:val="0"/>
      <w:marRight w:val="0"/>
      <w:marTop w:val="0"/>
      <w:marBottom w:val="0"/>
      <w:divBdr>
        <w:top w:val="none" w:sz="0" w:space="0" w:color="auto"/>
        <w:left w:val="none" w:sz="0" w:space="0" w:color="auto"/>
        <w:bottom w:val="none" w:sz="0" w:space="0" w:color="auto"/>
        <w:right w:val="none" w:sz="0" w:space="0" w:color="auto"/>
      </w:divBdr>
      <w:divsChild>
        <w:div w:id="1314945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1044</Words>
  <Characters>5954</Characters>
  <Application>Microsoft Office Word</Application>
  <DocSecurity>0</DocSecurity>
  <Lines>49</Lines>
  <Paragraphs>13</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2025-03-04T08:52:00Z</dcterms:created>
  <dcterms:modified xsi:type="dcterms:W3CDTF">2025-03-04T09:18:00Z</dcterms:modified>
</cp:coreProperties>
</file>