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0FFA4" w14:textId="77777777" w:rsidR="00461163" w:rsidRPr="00461163" w:rsidRDefault="00461163" w:rsidP="007E185B">
      <w:pPr>
        <w:spacing w:after="240" w:line="360" w:lineRule="auto"/>
        <w:outlineLvl w:val="3"/>
        <w:rPr>
          <w:rFonts w:ascii="Times New Roman" w:hAnsi="Times New Roman"/>
          <w:b/>
          <w:bCs/>
          <w:lang w:val="en-HK"/>
        </w:rPr>
      </w:pPr>
      <w:r w:rsidRPr="00461163">
        <w:rPr>
          <w:rFonts w:ascii="Times New Roman" w:hAnsi="Times New Roman"/>
          <w:b/>
          <w:bCs/>
          <w:lang w:val="en-HK"/>
        </w:rPr>
        <w:t>1. The Court’s Approach on Intoxication</w:t>
      </w:r>
    </w:p>
    <w:p w14:paraId="7E9C18A8" w14:textId="77777777" w:rsidR="00461163" w:rsidRPr="00461163" w:rsidRDefault="00461163" w:rsidP="007E185B">
      <w:pPr>
        <w:spacing w:after="240" w:line="360" w:lineRule="auto"/>
        <w:rPr>
          <w:rFonts w:ascii="Times New Roman" w:hAnsi="Times New Roman"/>
          <w:lang w:val="en-HK"/>
        </w:rPr>
      </w:pPr>
      <w:proofErr w:type="spellStart"/>
      <w:r w:rsidRPr="00461163">
        <w:rPr>
          <w:rFonts w:ascii="Times New Roman" w:hAnsi="Times New Roman"/>
          <w:lang w:val="en-HK"/>
        </w:rPr>
        <w:t>Horder’s</w:t>
      </w:r>
      <w:proofErr w:type="spellEnd"/>
      <w:r w:rsidRPr="00461163">
        <w:rPr>
          <w:rFonts w:ascii="Times New Roman" w:hAnsi="Times New Roman"/>
          <w:lang w:val="en-HK"/>
        </w:rPr>
        <w:t xml:space="preserve"> article examines how courts in English law approach intoxication, particularly through the distinction between crimes of basic and specific intent, and interprets relevant statutes and case law. The courts’ approach is rooted in controlling the admissibility of intoxication evidence to deny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(guilty mind), reflecting a balance between legal principle and public policy. Below, this is explored through statutory interpretation and a detailed breakdown of all cases cited in the text.</w:t>
      </w:r>
    </w:p>
    <w:p w14:paraId="456ADC51" w14:textId="77777777" w:rsidR="00461163" w:rsidRPr="00461163" w:rsidRDefault="00461163" w:rsidP="007E185B">
      <w:pPr>
        <w:spacing w:after="240" w:line="360" w:lineRule="auto"/>
        <w:outlineLvl w:val="4"/>
        <w:rPr>
          <w:rFonts w:ascii="Times New Roman" w:hAnsi="Times New Roman"/>
          <w:b/>
          <w:bCs/>
          <w:lang w:val="en-HK"/>
        </w:rPr>
      </w:pPr>
      <w:r w:rsidRPr="00461163">
        <w:rPr>
          <w:rFonts w:ascii="Times New Roman" w:hAnsi="Times New Roman"/>
          <w:b/>
          <w:bCs/>
          <w:lang w:val="en-HK"/>
        </w:rPr>
        <w:t>Reading of Statutes</w:t>
      </w:r>
    </w:p>
    <w:p w14:paraId="2F92EFD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lang w:val="en-HK"/>
        </w:rPr>
        <w:t xml:space="preserve">The article references two key statutes shaping the courts’ approach to intoxication, which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critiques in light of the Law Commission’s proposals:</w:t>
      </w:r>
    </w:p>
    <w:p w14:paraId="33089BFF"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Section 8 of the Criminal Justice Act 1967</w:t>
      </w:r>
      <w:r w:rsidRPr="00461163">
        <w:rPr>
          <w:rFonts w:ascii="Times New Roman" w:hAnsi="Times New Roman"/>
          <w:lang w:val="en-HK"/>
        </w:rPr>
        <w:t>: This statute requires courts or juries to determine intent or foresight “</w:t>
      </w:r>
      <w:r w:rsidRPr="00461163">
        <w:rPr>
          <w:rFonts w:ascii="Times New Roman" w:hAnsi="Times New Roman"/>
          <w:b/>
          <w:bCs/>
          <w:lang w:val="en-HK"/>
        </w:rPr>
        <w:t>by reference to all the evidence,” rejecting presumptions based solely on natural and probable consequences</w:t>
      </w:r>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notes a subjectivist argument that this </w:t>
      </w:r>
      <w:r w:rsidRPr="00461163">
        <w:rPr>
          <w:rFonts w:ascii="Times New Roman" w:hAnsi="Times New Roman"/>
          <w:b/>
          <w:bCs/>
          <w:lang w:val="en-HK"/>
        </w:rPr>
        <w:t xml:space="preserve">mandates considering intoxication evidence wherever relevant to </w:t>
      </w:r>
      <w:proofErr w:type="spellStart"/>
      <w:r w:rsidRPr="00461163">
        <w:rPr>
          <w:rFonts w:ascii="Times New Roman" w:hAnsi="Times New Roman"/>
          <w:b/>
          <w:bCs/>
          <w:lang w:val="en-HK"/>
        </w:rPr>
        <w:t>mens</w:t>
      </w:r>
      <w:proofErr w:type="spellEnd"/>
      <w:r w:rsidRPr="00461163">
        <w:rPr>
          <w:rFonts w:ascii="Times New Roman" w:hAnsi="Times New Roman"/>
          <w:b/>
          <w:bCs/>
          <w:lang w:val="en-HK"/>
        </w:rPr>
        <w:t xml:space="preserve"> rea.</w:t>
      </w:r>
      <w:r w:rsidRPr="00461163">
        <w:rPr>
          <w:rFonts w:ascii="Times New Roman" w:hAnsi="Times New Roman"/>
          <w:lang w:val="en-HK"/>
        </w:rPr>
        <w:t xml:space="preserve"> However, he counters that the statute’s purpose is narrower—to overturn DPP v Smith [1961] AC 290, which did not involve intoxication—and does not preclude excluding intoxication evidence for basic intent crimes. Courts, as in Majewski [1977] AC 443, interpret it as irrelevant to admissibility rules, allowing exclusion where intoxication is voluntary, aligning with common law principles rather than statutory compulsion.</w:t>
      </w:r>
    </w:p>
    <w:p w14:paraId="6C554DA4"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Section 22(1) of the Theft Act 1968</w:t>
      </w:r>
      <w:r w:rsidRPr="00461163">
        <w:rPr>
          <w:rFonts w:ascii="Times New Roman" w:hAnsi="Times New Roman"/>
          <w:lang w:val="en-HK"/>
        </w:rPr>
        <w:t xml:space="preserve">: This defines handling stolen goods, requiring knowledge or belief that the goods are stolen.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uses this statute to illustrate specific intent, where intoxication evidence is admissible because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is intrinsic to the wrong. Courts, as in Durante [1972] 3 All ER 962, focus on actual awareness, not recklessness, showing that statutory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requirements shape intoxication’s relevance, reinforcing the basic/specific intent distinction.</w:t>
      </w:r>
    </w:p>
    <w:p w14:paraId="1F907BC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lang w:val="en-HK"/>
        </w:rPr>
        <w:t xml:space="preserve">The Law Commission’s proposed clauses (e.g., clause 1(3), treating voluntarily intoxicated defendants as aware of risks they would have perceived sober) are also </w:t>
      </w:r>
      <w:proofErr w:type="spellStart"/>
      <w:r w:rsidRPr="00461163">
        <w:rPr>
          <w:rFonts w:ascii="Times New Roman" w:hAnsi="Times New Roman"/>
          <w:lang w:val="en-HK"/>
        </w:rPr>
        <w:t>analyzed</w:t>
      </w:r>
      <w:proofErr w:type="spellEnd"/>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argues this statutory phrasing unnecessarily complicates jury deliberations by posing hypothetical questions, diverging from the courts’ simpler admissibility-focused approach.</w:t>
      </w:r>
    </w:p>
    <w:p w14:paraId="04E923B0" w14:textId="77777777" w:rsidR="00461163" w:rsidRPr="00461163" w:rsidRDefault="00461163" w:rsidP="007E185B">
      <w:pPr>
        <w:spacing w:after="240" w:line="360" w:lineRule="auto"/>
        <w:outlineLvl w:val="4"/>
        <w:rPr>
          <w:rFonts w:ascii="Times New Roman" w:hAnsi="Times New Roman"/>
          <w:b/>
          <w:bCs/>
          <w:lang w:val="en-HK"/>
        </w:rPr>
      </w:pPr>
      <w:r w:rsidRPr="00461163">
        <w:rPr>
          <w:rFonts w:ascii="Times New Roman" w:hAnsi="Times New Roman"/>
          <w:b/>
          <w:bCs/>
          <w:lang w:val="en-HK"/>
        </w:rPr>
        <w:lastRenderedPageBreak/>
        <w:t>All Cases with Facts, Held, and Reasoning</w:t>
      </w:r>
    </w:p>
    <w:p w14:paraId="7F0AD8B9"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lang w:val="en-HK"/>
        </w:rPr>
        <w:t>The article cites several cases to illustrate the courts’ approach. Below, each is detailed with facts, holdings, and reasoning, drawn strictly from the text.</w:t>
      </w:r>
    </w:p>
    <w:p w14:paraId="5E291D7A"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Aitkin [1992] 1 WLR 1006</w:t>
      </w:r>
      <w:r w:rsidRPr="00461163">
        <w:rPr>
          <w:rFonts w:ascii="Times New Roman" w:hAnsi="Times New Roman"/>
          <w:lang w:val="en-HK"/>
        </w:rPr>
        <w:t xml:space="preserve"> </w:t>
      </w:r>
    </w:p>
    <w:p w14:paraId="6A5CBD4A"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xml:space="preserve">: Not specified in detail, but referenced as a case involving voluntary intoxication and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w:t>
      </w:r>
    </w:p>
    <w:p w14:paraId="02D6B64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xml:space="preserve">: Evidence of intoxication was inadmissible to deny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for a basic intent crime.</w:t>
      </w:r>
    </w:p>
    <w:p w14:paraId="021B4E9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xml:space="preserve">: The court applied the common law rule that voluntary intoxication cannot negate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for basic intent offences, reflecting the principle that such evidence is irrelevant where subjective awareness is not the sole determinant of liability.</w:t>
      </w:r>
    </w:p>
    <w:p w14:paraId="6CA36C78"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Majewski [1977] AC 443</w:t>
      </w:r>
      <w:r w:rsidRPr="00461163">
        <w:rPr>
          <w:rFonts w:ascii="Times New Roman" w:hAnsi="Times New Roman"/>
          <w:lang w:val="en-HK"/>
        </w:rPr>
        <w:t xml:space="preserve"> </w:t>
      </w:r>
    </w:p>
    <w:p w14:paraId="54853877"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xml:space="preserve">: The defendant, intoxicated, committed assaults and argued lack of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due to drunkenness.</w:t>
      </w:r>
    </w:p>
    <w:p w14:paraId="15D40F9D"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xml:space="preserve">: The House of Lords upheld conviction for basic intent offences (e.g., assault), ruling that voluntary intoxication evidence is inadmissible to deny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though admissible for specific intent charges (e.g., intent to wound).</w:t>
      </w:r>
    </w:p>
    <w:p w14:paraId="0367C079"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xml:space="preserve">: The court distinguished basic intent (e.g., recklessness-based crimes) from specific intent (e.g., purposive intent), holding that intoxication’s known risk of impairing judgment justifies excluding it for basic intent. Lord Elwyn-Jones emphasized public outrage at unpunished drunken harm, while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suggests a principled basis: basic intent wrongs persist regardless of awareness, unlike specific intent wrongs requiring intent.</w:t>
      </w:r>
    </w:p>
    <w:p w14:paraId="3E4F8B8B"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R v Woods (1981) 74 Cr App R 312</w:t>
      </w:r>
      <w:r w:rsidRPr="00461163">
        <w:rPr>
          <w:rFonts w:ascii="Times New Roman" w:hAnsi="Times New Roman"/>
          <w:lang w:val="en-HK"/>
        </w:rPr>
        <w:t xml:space="preserve"> </w:t>
      </w:r>
    </w:p>
    <w:p w14:paraId="0CA92612"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Not detailed, but cited as supporting Majewski’s approach.</w:t>
      </w:r>
    </w:p>
    <w:p w14:paraId="50263A75"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xml:space="preserve">: Voluntary intoxication evidence was inadmissible to deny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for a basic intent crime.</w:t>
      </w:r>
    </w:p>
    <w:p w14:paraId="659D8400"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lastRenderedPageBreak/>
        <w:t>Reasoning</w:t>
      </w:r>
      <w:r w:rsidRPr="00461163">
        <w:rPr>
          <w:rFonts w:ascii="Times New Roman" w:hAnsi="Times New Roman"/>
          <w:lang w:val="en-HK"/>
        </w:rPr>
        <w:t xml:space="preserve">: The court reinforced that intoxication does not supply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but is excluded as a denial for basic intent, aligning with Majewski’s view that admissibility, not presumption, governs, consistent with section 8’s limited scope.</w:t>
      </w:r>
    </w:p>
    <w:p w14:paraId="66DDEA9C"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Durante [1972] 3 All ER 962</w:t>
      </w:r>
      <w:r w:rsidRPr="00461163">
        <w:rPr>
          <w:rFonts w:ascii="Times New Roman" w:hAnsi="Times New Roman"/>
          <w:lang w:val="en-HK"/>
        </w:rPr>
        <w:t xml:space="preserve"> </w:t>
      </w:r>
    </w:p>
    <w:p w14:paraId="6A7E511D"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The defendant handled goods, with the issue being knowledge or belief they were stolen under the Theft Act 1968.</w:t>
      </w:r>
    </w:p>
    <w:p w14:paraId="0AFABBB3"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Conviction required proof of actual knowledge or belief, not recklessness.</w:t>
      </w:r>
    </w:p>
    <w:p w14:paraId="4FFF86A9"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xml:space="preserve">: The court treated handling as a specific intent crime, where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defines the wrong. Intoxication evidence would be admissible to deny this awareness, showing how statutory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shapes the intoxication rule.</w:t>
      </w:r>
    </w:p>
    <w:p w14:paraId="18DDE9EC"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Grange [1974] 1 All ER 928</w:t>
      </w:r>
      <w:r w:rsidRPr="00461163">
        <w:rPr>
          <w:rFonts w:ascii="Times New Roman" w:hAnsi="Times New Roman"/>
          <w:lang w:val="en-HK"/>
        </w:rPr>
        <w:t xml:space="preserve"> and </w:t>
      </w:r>
      <w:r w:rsidRPr="00461163">
        <w:rPr>
          <w:rFonts w:ascii="Times New Roman" w:hAnsi="Times New Roman"/>
          <w:b/>
          <w:bCs/>
          <w:lang w:val="en-HK"/>
        </w:rPr>
        <w:t>Griffiths (1974) 60 Cr App R 14</w:t>
      </w:r>
      <w:r w:rsidRPr="00461163">
        <w:rPr>
          <w:rFonts w:ascii="Times New Roman" w:hAnsi="Times New Roman"/>
          <w:lang w:val="en-HK"/>
        </w:rPr>
        <w:t xml:space="preserve"> </w:t>
      </w:r>
    </w:p>
    <w:p w14:paraId="1463C520"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Both cases involved handling stolen goods, with defendants possibly unaware due to intoxication or negligence.</w:t>
      </w:r>
    </w:p>
    <w:p w14:paraId="528E0D8D"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Convictions required actual knowledge or belief, not mere recklessness.</w:t>
      </w:r>
    </w:p>
    <w:p w14:paraId="2EAACB84"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courts excluded reckless handling from the offence, emphasizing specific intent. Intoxication could negate the required awareness, reinforcing that the wrong’s nature, not fault alone, determines admissibility.</w:t>
      </w:r>
    </w:p>
    <w:p w14:paraId="694E5301"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Pigg [1982] 2 All ER 591</w:t>
      </w:r>
      <w:r w:rsidRPr="00461163">
        <w:rPr>
          <w:rFonts w:ascii="Times New Roman" w:hAnsi="Times New Roman"/>
          <w:lang w:val="en-HK"/>
        </w:rPr>
        <w:t xml:space="preserve"> and </w:t>
      </w:r>
      <w:r w:rsidRPr="00461163">
        <w:rPr>
          <w:rFonts w:ascii="Times New Roman" w:hAnsi="Times New Roman"/>
          <w:b/>
          <w:bCs/>
          <w:lang w:val="en-HK"/>
        </w:rPr>
        <w:t>Satnam (1983) 78 Cr App R 149</w:t>
      </w:r>
      <w:r w:rsidRPr="00461163">
        <w:rPr>
          <w:rFonts w:ascii="Times New Roman" w:hAnsi="Times New Roman"/>
          <w:lang w:val="en-HK"/>
        </w:rPr>
        <w:t xml:space="preserve"> </w:t>
      </w:r>
    </w:p>
    <w:p w14:paraId="7CD3353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xml:space="preserve">: These rape cases debated whether recklessness or blundering sufficed for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w:t>
      </w:r>
    </w:p>
    <w:p w14:paraId="4DAD4F61"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Pigg required subjective recklessness; Satnam’s position is less clear but contrasts on this point.</w:t>
      </w:r>
    </w:p>
    <w:p w14:paraId="0CCB125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xml:space="preserve">: Disagreement persisted on whether rape, a basic intent crime, allows blundering liability. Intoxication evidence remained inadmissible for recklessness, showing courts grappling with wrong-based distinctions despite subjective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w:t>
      </w:r>
    </w:p>
    <w:p w14:paraId="658B1567"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DPP v K [1990] 1 All ER 331</w:t>
      </w:r>
      <w:r w:rsidRPr="00461163">
        <w:rPr>
          <w:rFonts w:ascii="Times New Roman" w:hAnsi="Times New Roman"/>
          <w:lang w:val="en-HK"/>
        </w:rPr>
        <w:t xml:space="preserve"> and </w:t>
      </w:r>
      <w:r w:rsidRPr="00461163">
        <w:rPr>
          <w:rFonts w:ascii="Times New Roman" w:hAnsi="Times New Roman"/>
          <w:b/>
          <w:bCs/>
          <w:lang w:val="en-HK"/>
        </w:rPr>
        <w:t>Spratt [1991] 2 All ER 210</w:t>
      </w:r>
      <w:r w:rsidRPr="00461163">
        <w:rPr>
          <w:rFonts w:ascii="Times New Roman" w:hAnsi="Times New Roman"/>
          <w:lang w:val="en-HK"/>
        </w:rPr>
        <w:t xml:space="preserve"> </w:t>
      </w:r>
    </w:p>
    <w:p w14:paraId="23C0F80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lastRenderedPageBreak/>
        <w:t>Facts</w:t>
      </w:r>
      <w:r w:rsidRPr="00461163">
        <w:rPr>
          <w:rFonts w:ascii="Times New Roman" w:hAnsi="Times New Roman"/>
          <w:lang w:val="en-HK"/>
        </w:rPr>
        <w:t>: These involved assault occasioning actual bodily harm under the Offences Against the Person Act 1861.</w:t>
      </w:r>
    </w:p>
    <w:p w14:paraId="3CF89FDA"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Courts differed—DPP v K allowed blundering liability; Spratt required subjective recklessness.</w:t>
      </w:r>
    </w:p>
    <w:p w14:paraId="29195094"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inconsistency reflects basic intent’s focus on the wrong (harm) over precise fault. Intoxication evidence was inadmissible, as the wrong persisted, aligning with Majewski’s approach.</w:t>
      </w:r>
    </w:p>
    <w:p w14:paraId="4B350433"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Reid [1992] 1 WLR 793</w:t>
      </w:r>
      <w:r w:rsidRPr="00461163">
        <w:rPr>
          <w:rFonts w:ascii="Times New Roman" w:hAnsi="Times New Roman"/>
          <w:lang w:val="en-HK"/>
        </w:rPr>
        <w:t xml:space="preserve"> </w:t>
      </w:r>
    </w:p>
    <w:p w14:paraId="4BEEE87A"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Not detailed, but cited for ethically justified risk-taking.</w:t>
      </w:r>
    </w:p>
    <w:p w14:paraId="275962E5"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The House of Lords found no recklessness where risks were taken for good reasons.</w:t>
      </w:r>
    </w:p>
    <w:p w14:paraId="2B33A51D"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 distinguished reckless from justified acts, suggesting intoxication’s relevance depends on fault context, not merely awareness, supporting a nuanced basic intent approach.</w:t>
      </w:r>
    </w:p>
    <w:p w14:paraId="77520CAB"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Sharp [1987] QB 853</w:t>
      </w:r>
      <w:r w:rsidRPr="00461163">
        <w:rPr>
          <w:rFonts w:ascii="Times New Roman" w:hAnsi="Times New Roman"/>
          <w:lang w:val="en-HK"/>
        </w:rPr>
        <w:t xml:space="preserve"> </w:t>
      </w:r>
    </w:p>
    <w:p w14:paraId="21BCF2B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The defendant claimed duress, self-induced by prior actions.</w:t>
      </w:r>
    </w:p>
    <w:p w14:paraId="68B8DE73"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Self-induced duress was not a valid defence.</w:t>
      </w:r>
    </w:p>
    <w:p w14:paraId="173ADEE9"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 ruled that responsibility for creating excusing conditions bars reliance, paralleling voluntary intoxication’s exclusion for basic intent, emphasizing personal accountability.</w:t>
      </w:r>
    </w:p>
    <w:p w14:paraId="48865128"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Lipman [1970] 1 QB 152</w:t>
      </w:r>
      <w:r w:rsidRPr="00461163">
        <w:rPr>
          <w:rFonts w:ascii="Times New Roman" w:hAnsi="Times New Roman"/>
          <w:lang w:val="en-HK"/>
        </w:rPr>
        <w:t xml:space="preserve"> </w:t>
      </w:r>
    </w:p>
    <w:p w14:paraId="63E4546E"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The defendant, on LSD, hallucinated snakes and killed his companion by cramming a sheet into her mouth and striking her head.</w:t>
      </w:r>
    </w:p>
    <w:p w14:paraId="4987E530"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Convicted of manslaughter, upheld on appeal.</w:t>
      </w:r>
    </w:p>
    <w:p w14:paraId="7D704B7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lastRenderedPageBreak/>
        <w:t>Reasoning</w:t>
      </w:r>
      <w:r w:rsidRPr="00461163">
        <w:rPr>
          <w:rFonts w:ascii="Times New Roman" w:hAnsi="Times New Roman"/>
          <w:lang w:val="en-HK"/>
        </w:rPr>
        <w:t xml:space="preserve">: The court found voluntary intoxication caused automatism, but liability persisted for basic intent (manslaughter) due to the dangerous act of taking LSD, presumed foreseeable.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critiques this as unclear but sees it as extending reckless liability.</w:t>
      </w:r>
    </w:p>
    <w:p w14:paraId="580CC736"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 xml:space="preserve">Quick and </w:t>
      </w:r>
      <w:proofErr w:type="spellStart"/>
      <w:r w:rsidRPr="00461163">
        <w:rPr>
          <w:rFonts w:ascii="Times New Roman" w:hAnsi="Times New Roman"/>
          <w:b/>
          <w:bCs/>
          <w:lang w:val="en-HK"/>
        </w:rPr>
        <w:t>Paddison</w:t>
      </w:r>
      <w:proofErr w:type="spellEnd"/>
      <w:r w:rsidRPr="00461163">
        <w:rPr>
          <w:rFonts w:ascii="Times New Roman" w:hAnsi="Times New Roman"/>
          <w:b/>
          <w:bCs/>
          <w:lang w:val="en-HK"/>
        </w:rPr>
        <w:t xml:space="preserve"> [1973] 3 All ER 347</w:t>
      </w:r>
      <w:r w:rsidRPr="00461163">
        <w:rPr>
          <w:rFonts w:ascii="Times New Roman" w:hAnsi="Times New Roman"/>
          <w:lang w:val="en-HK"/>
        </w:rPr>
        <w:t xml:space="preserve"> </w:t>
      </w:r>
    </w:p>
    <w:p w14:paraId="7D43437F"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xml:space="preserve">: Quick took insulin, leading to automatism and harm; details on </w:t>
      </w:r>
      <w:proofErr w:type="spellStart"/>
      <w:r w:rsidRPr="00461163">
        <w:rPr>
          <w:rFonts w:ascii="Times New Roman" w:hAnsi="Times New Roman"/>
          <w:lang w:val="en-HK"/>
        </w:rPr>
        <w:t>Paddison</w:t>
      </w:r>
      <w:proofErr w:type="spellEnd"/>
      <w:r w:rsidRPr="00461163">
        <w:rPr>
          <w:rFonts w:ascii="Times New Roman" w:hAnsi="Times New Roman"/>
          <w:lang w:val="en-HK"/>
        </w:rPr>
        <w:t xml:space="preserve"> are not specified.</w:t>
      </w:r>
    </w:p>
    <w:p w14:paraId="18815A0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Quick’s conviction was quashed; automatism applied.</w:t>
      </w:r>
    </w:p>
    <w:p w14:paraId="3567477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 distinguished voluntary intoxication from external causes (insulin), allowing automatism to negate liability, contrasting with Lipman’s voluntary intake focus.</w:t>
      </w:r>
    </w:p>
    <w:p w14:paraId="562D44F2"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R v Kingston [1994] 3 WLR 519</w:t>
      </w:r>
      <w:r w:rsidRPr="00461163">
        <w:rPr>
          <w:rFonts w:ascii="Times New Roman" w:hAnsi="Times New Roman"/>
          <w:lang w:val="en-HK"/>
        </w:rPr>
        <w:t xml:space="preserve"> </w:t>
      </w:r>
    </w:p>
    <w:p w14:paraId="21BAD1E8"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xml:space="preserve">: The defendant was involuntarily intoxicated and committed an offence with admitted actus reus and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w:t>
      </w:r>
    </w:p>
    <w:p w14:paraId="17136A87"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The House of Lords rejected involuntary intoxication as a defence.</w:t>
      </w:r>
    </w:p>
    <w:p w14:paraId="5EEA8E30"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xml:space="preserve">: The court held that liability persists if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is present, regardless of intoxication’s cause, as no defence exists for involuntary acts with intent, aligning with policy over subjectivism.</w:t>
      </w:r>
    </w:p>
    <w:p w14:paraId="675DBCC6" w14:textId="77777777" w:rsidR="00461163" w:rsidRPr="00461163" w:rsidRDefault="00461163" w:rsidP="007E185B">
      <w:pPr>
        <w:numPr>
          <w:ilvl w:val="0"/>
          <w:numId w:val="2"/>
        </w:numPr>
        <w:spacing w:after="240" w:line="360" w:lineRule="auto"/>
        <w:rPr>
          <w:rFonts w:ascii="Times New Roman" w:hAnsi="Times New Roman"/>
          <w:lang w:val="en-HK"/>
        </w:rPr>
      </w:pPr>
      <w:proofErr w:type="spellStart"/>
      <w:r w:rsidRPr="00461163">
        <w:rPr>
          <w:rFonts w:ascii="Times New Roman" w:hAnsi="Times New Roman"/>
          <w:b/>
          <w:bCs/>
          <w:lang w:val="en-HK"/>
        </w:rPr>
        <w:t>Kopsch</w:t>
      </w:r>
      <w:proofErr w:type="spellEnd"/>
      <w:r w:rsidRPr="00461163">
        <w:rPr>
          <w:rFonts w:ascii="Times New Roman" w:hAnsi="Times New Roman"/>
          <w:b/>
          <w:bCs/>
          <w:lang w:val="en-HK"/>
        </w:rPr>
        <w:t xml:space="preserve"> [1925] 19 Cr App R 50</w:t>
      </w:r>
      <w:r w:rsidRPr="00461163">
        <w:rPr>
          <w:rFonts w:ascii="Times New Roman" w:hAnsi="Times New Roman"/>
          <w:lang w:val="en-HK"/>
        </w:rPr>
        <w:t xml:space="preserve"> and </w:t>
      </w:r>
      <w:r w:rsidRPr="00461163">
        <w:rPr>
          <w:rFonts w:ascii="Times New Roman" w:hAnsi="Times New Roman"/>
          <w:b/>
          <w:bCs/>
          <w:lang w:val="en-HK"/>
        </w:rPr>
        <w:t>Beard [1920] AC 479</w:t>
      </w:r>
      <w:r w:rsidRPr="00461163">
        <w:rPr>
          <w:rFonts w:ascii="Times New Roman" w:hAnsi="Times New Roman"/>
          <w:lang w:val="en-HK"/>
        </w:rPr>
        <w:t xml:space="preserve"> </w:t>
      </w:r>
    </w:p>
    <w:p w14:paraId="121FE301"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Not detailed, but cited for involuntary lack of capacity.</w:t>
      </w:r>
    </w:p>
    <w:p w14:paraId="6C54667E"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xml:space="preserve">: No defence was recognized for involuntary intoxication with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w:t>
      </w:r>
    </w:p>
    <w:p w14:paraId="7CECD46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courts reinforced that intent, not intoxication’s source, determines liability, supporting Kingston’s stance against excusing involuntary acts.</w:t>
      </w:r>
    </w:p>
    <w:p w14:paraId="249D4B29" w14:textId="77777777" w:rsidR="00461163" w:rsidRPr="00461163" w:rsidRDefault="00461163" w:rsidP="007E185B">
      <w:pPr>
        <w:numPr>
          <w:ilvl w:val="0"/>
          <w:numId w:val="2"/>
        </w:numPr>
        <w:spacing w:after="240" w:line="360" w:lineRule="auto"/>
        <w:rPr>
          <w:rFonts w:ascii="Times New Roman" w:hAnsi="Times New Roman"/>
          <w:lang w:val="en-HK"/>
        </w:rPr>
      </w:pPr>
      <w:proofErr w:type="spellStart"/>
      <w:r w:rsidRPr="00461163">
        <w:rPr>
          <w:rFonts w:ascii="Times New Roman" w:hAnsi="Times New Roman"/>
          <w:b/>
          <w:bCs/>
          <w:lang w:val="en-HK"/>
        </w:rPr>
        <w:t>Issit</w:t>
      </w:r>
      <w:proofErr w:type="spellEnd"/>
      <w:r w:rsidRPr="00461163">
        <w:rPr>
          <w:rFonts w:ascii="Times New Roman" w:hAnsi="Times New Roman"/>
          <w:b/>
          <w:bCs/>
          <w:lang w:val="en-HK"/>
        </w:rPr>
        <w:t xml:space="preserve"> [1978] RTR 211</w:t>
      </w:r>
      <w:r w:rsidRPr="00461163">
        <w:rPr>
          <w:rFonts w:ascii="Times New Roman" w:hAnsi="Times New Roman"/>
          <w:lang w:val="en-HK"/>
        </w:rPr>
        <w:t xml:space="preserve"> </w:t>
      </w:r>
    </w:p>
    <w:p w14:paraId="41593258"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Not detailed, but cited for difficulty in compliance.</w:t>
      </w:r>
    </w:p>
    <w:p w14:paraId="15ED3AA1"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Difficulty controlling actions did not negate liability.</w:t>
      </w:r>
    </w:p>
    <w:p w14:paraId="48EEF21A"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lastRenderedPageBreak/>
        <w:t>Reasoning</w:t>
      </w:r>
      <w:r w:rsidRPr="00461163">
        <w:rPr>
          <w:rFonts w:ascii="Times New Roman" w:hAnsi="Times New Roman"/>
          <w:lang w:val="en-HK"/>
        </w:rPr>
        <w:t>: The court, per Lawton LJ, distinguished capacity from culpability, aligning with Kingston’s rejection of involuntary intoxication as a defence.</w:t>
      </w:r>
    </w:p>
    <w:p w14:paraId="11CAB174" w14:textId="77777777" w:rsidR="00461163" w:rsidRPr="00461163" w:rsidRDefault="00461163" w:rsidP="007E185B">
      <w:pPr>
        <w:numPr>
          <w:ilvl w:val="0"/>
          <w:numId w:val="2"/>
        </w:numPr>
        <w:spacing w:after="240" w:line="360" w:lineRule="auto"/>
        <w:rPr>
          <w:rFonts w:ascii="Times New Roman" w:hAnsi="Times New Roman"/>
          <w:lang w:val="en-HK"/>
        </w:rPr>
      </w:pPr>
      <w:r w:rsidRPr="00461163">
        <w:rPr>
          <w:rFonts w:ascii="Times New Roman" w:hAnsi="Times New Roman"/>
          <w:b/>
          <w:bCs/>
          <w:lang w:val="en-HK"/>
        </w:rPr>
        <w:t>Kitson (1955) CAR 66</w:t>
      </w:r>
      <w:r w:rsidRPr="00461163">
        <w:rPr>
          <w:rFonts w:ascii="Times New Roman" w:hAnsi="Times New Roman"/>
          <w:lang w:val="en-HK"/>
        </w:rPr>
        <w:t xml:space="preserve"> </w:t>
      </w:r>
    </w:p>
    <w:p w14:paraId="28067919"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Facts</w:t>
      </w:r>
      <w:r w:rsidRPr="00461163">
        <w:rPr>
          <w:rFonts w:ascii="Times New Roman" w:hAnsi="Times New Roman"/>
          <w:lang w:val="en-HK"/>
        </w:rPr>
        <w:t>: Not detailed, but referenced for necessity in automatism.</w:t>
      </w:r>
    </w:p>
    <w:p w14:paraId="1B607246"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Held</w:t>
      </w:r>
      <w:r w:rsidRPr="00461163">
        <w:rPr>
          <w:rFonts w:ascii="Times New Roman" w:hAnsi="Times New Roman"/>
          <w:lang w:val="en-HK"/>
        </w:rPr>
        <w:t>: Necessity applied, not automatism.</w:t>
      </w:r>
    </w:p>
    <w:p w14:paraId="5E0CB820"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Reasoning</w:t>
      </w:r>
      <w:r w:rsidRPr="00461163">
        <w:rPr>
          <w:rFonts w:ascii="Times New Roman" w:hAnsi="Times New Roman"/>
          <w:lang w:val="en-HK"/>
        </w:rPr>
        <w:t>: The court suggested external compulsion (e.g., forced intoxication) might justify necessity, not automatism, contrasting with voluntary intake cases.</w:t>
      </w:r>
    </w:p>
    <w:p w14:paraId="29009585" w14:textId="77777777" w:rsidR="00461163" w:rsidRPr="00461163" w:rsidRDefault="00461163" w:rsidP="007E185B">
      <w:pPr>
        <w:spacing w:after="240" w:line="360" w:lineRule="auto"/>
        <w:outlineLvl w:val="3"/>
        <w:rPr>
          <w:rFonts w:ascii="Times New Roman" w:hAnsi="Times New Roman"/>
          <w:b/>
          <w:bCs/>
          <w:lang w:val="en-HK"/>
        </w:rPr>
      </w:pPr>
      <w:r w:rsidRPr="00461163">
        <w:rPr>
          <w:rFonts w:ascii="Times New Roman" w:hAnsi="Times New Roman"/>
          <w:b/>
          <w:bCs/>
          <w:lang w:val="en-HK"/>
        </w:rPr>
        <w:t>2. Opinions of Intoxication</w:t>
      </w:r>
    </w:p>
    <w:p w14:paraId="1674C664" w14:textId="77777777" w:rsidR="00461163" w:rsidRPr="00461163" w:rsidRDefault="00461163" w:rsidP="007E185B">
      <w:pPr>
        <w:spacing w:after="240" w:line="360" w:lineRule="auto"/>
        <w:rPr>
          <w:rFonts w:ascii="Times New Roman" w:hAnsi="Times New Roman"/>
          <w:lang w:val="en-HK"/>
        </w:rPr>
      </w:pP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offers a critical perspective on intoxication, focusing on the Law Commission’s proposals and the courts’ common law approach, advocating a principled rather than policy-driven framework.</w:t>
      </w:r>
    </w:p>
    <w:p w14:paraId="18EBB137"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On the Basic/Specific Intent Distinction</w:t>
      </w:r>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defends the courts’ distinction, arguing it reflects a principled division between wrongs where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defines the offence (specific intent, e.g., theft, murder) and those where the wrong persists regardless of awareness (basic intent, e.g., assault, manslaughter). He critiques the Commission’s view that it lacks principle, suggesting it aligns with moral sense: intoxication evidence is admissible for specific intent to deny the wrong itself, but inadmissible for basic intent, where the wrong’s existence is independent of fault.</w:t>
      </w:r>
    </w:p>
    <w:p w14:paraId="24FA3804"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On Voluntary vs. Involuntary Intoxication</w:t>
      </w:r>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challenges the Commission’s reliance on this dichotomy, proposing that knowledge of intoxication, not its voluntariness, should govern liability for basic intent offences. He argues that knowing one is intoxicated imposes a duty to avoid risky conduct, as in driving cases, while involuntariness should only matter for defences like automatism or necessity (e.g., Kingston critique).</w:t>
      </w:r>
    </w:p>
    <w:p w14:paraId="2E43AB4D"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On Policy vs. Principle</w:t>
      </w:r>
      <w:r w:rsidRPr="00461163">
        <w:rPr>
          <w:rFonts w:ascii="Times New Roman" w:hAnsi="Times New Roman"/>
          <w:lang w:val="en-HK"/>
        </w:rPr>
        <w:t xml:space="preserve">: He criticizes the Commission’s policy-driven approach—e.g., citing J.C. Smith’s outrage rationale in Majewski—as unprincipled, weakening its proposals.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asserts that deeper principles (e.g., wrongs-based distinctions) justify the law, making it fair and workable, as consultees noted, rather than merely defensive against public criticism.</w:t>
      </w:r>
    </w:p>
    <w:p w14:paraId="750F6523"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lastRenderedPageBreak/>
        <w:t>On Intoxication and Automatism</w:t>
      </w:r>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finds clause 2 overly broad, arguing that voluntary intoxication causing automatism (e.g., Lipman) should require awareness of serious risks and specific harm potential, not blanket liability. He contrasts action-failure (e.g., collapsing) with hallucination-driven acts, suggesting nuanced treatment, possibly via insanity pleas.</w:t>
      </w:r>
    </w:p>
    <w:p w14:paraId="6AA7EA72"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On Subjectivism</w:t>
      </w:r>
      <w:r w:rsidRPr="00461163">
        <w:rPr>
          <w:rFonts w:ascii="Times New Roman" w:hAnsi="Times New Roman"/>
          <w:lang w:val="en-HK"/>
        </w:rPr>
        <w:t xml:space="preserve">: He faults the Commission’s subjectivist bias, which allows intoxication to deny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broadly, ignoring objective fault contexts.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advocates a blended approach, where reasons for unawareness (e.g., ethical risk-taking in Reid) merge excuses with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denials, justifying intoxication’s exclusion for basic intent.</w:t>
      </w:r>
    </w:p>
    <w:p w14:paraId="46DA057C" w14:textId="77777777" w:rsidR="00461163" w:rsidRPr="00461163" w:rsidRDefault="00461163" w:rsidP="007E185B">
      <w:pPr>
        <w:spacing w:after="240" w:line="360" w:lineRule="auto"/>
        <w:rPr>
          <w:rFonts w:ascii="Times New Roman" w:hAnsi="Times New Roman"/>
          <w:lang w:val="en-HK"/>
        </w:rPr>
      </w:pPr>
      <w:r w:rsidRPr="00461163">
        <w:rPr>
          <w:rFonts w:ascii="Times New Roman" w:hAnsi="Times New Roman"/>
          <w:b/>
          <w:bCs/>
          <w:lang w:val="en-HK"/>
        </w:rPr>
        <w:t>On Kingston</w:t>
      </w:r>
      <w:r w:rsidRPr="00461163">
        <w:rPr>
          <w:rFonts w:ascii="Times New Roman" w:hAnsi="Times New Roman"/>
          <w:lang w:val="en-HK"/>
        </w:rPr>
        <w:t xml:space="preserve">: </w:t>
      </w:r>
      <w:proofErr w:type="spellStart"/>
      <w:r w:rsidRPr="00461163">
        <w:rPr>
          <w:rFonts w:ascii="Times New Roman" w:hAnsi="Times New Roman"/>
          <w:lang w:val="en-HK"/>
        </w:rPr>
        <w:t>Horder</w:t>
      </w:r>
      <w:proofErr w:type="spellEnd"/>
      <w:r w:rsidRPr="00461163">
        <w:rPr>
          <w:rFonts w:ascii="Times New Roman" w:hAnsi="Times New Roman"/>
          <w:lang w:val="en-HK"/>
        </w:rPr>
        <w:t xml:space="preserve"> supports the court’s rejection of involuntary intoxication as a defence when </w:t>
      </w:r>
      <w:proofErr w:type="spellStart"/>
      <w:r w:rsidRPr="00461163">
        <w:rPr>
          <w:rFonts w:ascii="Times New Roman" w:hAnsi="Times New Roman"/>
          <w:lang w:val="en-HK"/>
        </w:rPr>
        <w:t>mens</w:t>
      </w:r>
      <w:proofErr w:type="spellEnd"/>
      <w:r w:rsidRPr="00461163">
        <w:rPr>
          <w:rFonts w:ascii="Times New Roman" w:hAnsi="Times New Roman"/>
          <w:lang w:val="en-HK"/>
        </w:rPr>
        <w:t xml:space="preserve"> rea exists, but suggests rare cases of incapacity might warrant insanity verdicts, not liability, aligning with principle over policy.</w:t>
      </w:r>
    </w:p>
    <w:p w14:paraId="3EDCF649" w14:textId="645EFECD" w:rsidR="00CD39F1" w:rsidRPr="007E185B" w:rsidRDefault="00CD39F1" w:rsidP="007E185B">
      <w:pPr>
        <w:spacing w:after="240" w:line="360" w:lineRule="auto"/>
      </w:pPr>
    </w:p>
    <w:sectPr w:rsidR="00CD39F1" w:rsidRPr="007E1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912A8C"/>
    <w:multiLevelType w:val="multilevel"/>
    <w:tmpl w:val="E4A42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D92340"/>
    <w:multiLevelType w:val="multilevel"/>
    <w:tmpl w:val="27B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2319D"/>
    <w:multiLevelType w:val="multilevel"/>
    <w:tmpl w:val="3F8EA778"/>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97456248">
    <w:abstractNumId w:val="1"/>
  </w:num>
  <w:num w:numId="2" w16cid:durableId="1839155783">
    <w:abstractNumId w:val="2"/>
  </w:num>
  <w:num w:numId="3" w16cid:durableId="210064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3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61163"/>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185B"/>
    <w:rsid w:val="007E2E80"/>
    <w:rsid w:val="007E4AE6"/>
    <w:rsid w:val="007F776E"/>
    <w:rsid w:val="00816563"/>
    <w:rsid w:val="00830C88"/>
    <w:rsid w:val="00845A72"/>
    <w:rsid w:val="00845AB5"/>
    <w:rsid w:val="00850813"/>
    <w:rsid w:val="00861B11"/>
    <w:rsid w:val="008829C2"/>
    <w:rsid w:val="00890D36"/>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C2CAD"/>
  <w15:chartTrackingRefBased/>
  <w15:docId w15:val="{E2A63E7C-0938-2B4E-9FF2-15234F89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890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D3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0D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890D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90D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0D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0D3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0D3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D3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890D3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890D3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890D3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890D3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890D3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890D3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890D3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890D3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890D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D3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890D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D3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890D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0D3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890D36"/>
    <w:pPr>
      <w:ind w:left="720"/>
      <w:contextualSpacing/>
    </w:pPr>
  </w:style>
  <w:style w:type="character" w:styleId="IntenseEmphasis">
    <w:name w:val="Intense Emphasis"/>
    <w:basedOn w:val="DefaultParagraphFont"/>
    <w:uiPriority w:val="21"/>
    <w:qFormat/>
    <w:rsid w:val="00890D36"/>
    <w:rPr>
      <w:i/>
      <w:iCs/>
      <w:color w:val="2F5496" w:themeColor="accent1" w:themeShade="BF"/>
    </w:rPr>
  </w:style>
  <w:style w:type="paragraph" w:styleId="IntenseQuote">
    <w:name w:val="Intense Quote"/>
    <w:basedOn w:val="Normal"/>
    <w:next w:val="Normal"/>
    <w:link w:val="IntenseQuoteChar"/>
    <w:uiPriority w:val="30"/>
    <w:qFormat/>
    <w:rsid w:val="00890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D3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890D36"/>
    <w:rPr>
      <w:b/>
      <w:bCs/>
      <w:smallCaps/>
      <w:color w:val="2F5496" w:themeColor="accent1" w:themeShade="BF"/>
      <w:spacing w:val="5"/>
    </w:rPr>
  </w:style>
  <w:style w:type="paragraph" w:customStyle="1" w:styleId="break-words">
    <w:name w:val="break-words"/>
    <w:basedOn w:val="Normal"/>
    <w:rsid w:val="00461163"/>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461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41539">
      <w:bodyDiv w:val="1"/>
      <w:marLeft w:val="0"/>
      <w:marRight w:val="0"/>
      <w:marTop w:val="0"/>
      <w:marBottom w:val="0"/>
      <w:divBdr>
        <w:top w:val="none" w:sz="0" w:space="0" w:color="auto"/>
        <w:left w:val="none" w:sz="0" w:space="0" w:color="auto"/>
        <w:bottom w:val="none" w:sz="0" w:space="0" w:color="auto"/>
        <w:right w:val="none" w:sz="0" w:space="0" w:color="auto"/>
      </w:divBdr>
      <w:divsChild>
        <w:div w:id="1933852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2025-03-04T09:32:00Z</dcterms:created>
  <dcterms:modified xsi:type="dcterms:W3CDTF">2025-03-04T10:39:00Z</dcterms:modified>
</cp:coreProperties>
</file>