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E2C00F" w14:textId="77777777" w:rsidR="009D1968" w:rsidRPr="009D1968" w:rsidRDefault="009D1968" w:rsidP="00083A6F">
      <w:pPr>
        <w:spacing w:after="240" w:line="360" w:lineRule="auto"/>
        <w:outlineLvl w:val="3"/>
        <w:rPr>
          <w:rFonts w:ascii="Times New Roman" w:hAnsi="Times New Roman"/>
          <w:b/>
          <w:bCs/>
          <w:lang w:val="en-HK"/>
        </w:rPr>
      </w:pPr>
      <w:r w:rsidRPr="009D1968">
        <w:rPr>
          <w:rFonts w:ascii="Times New Roman" w:hAnsi="Times New Roman"/>
          <w:b/>
          <w:bCs/>
          <w:lang w:val="en-HK"/>
        </w:rPr>
        <w:t>1. The Current Law of Voluntary Intoxication</w:t>
      </w:r>
    </w:p>
    <w:p w14:paraId="67EEF1B6"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lang w:val="en-HK"/>
        </w:rPr>
        <w:t>The current law of voluntary intoxication in England, as detailed in Williams’ article, is primarily shaped by the decision in DPP v Majewski [1977] A.C. 443 and its subsequent interpretations, such as R. v Heard [2007] EWCA Crim 125. This framework addresses how voluntary intoxication—resulting from a defendant’s deliberate consumption of alcohol or non-therapeutic drugs—affects criminal liability, distinguishing between offences of basic and specific intent. The law navigates a complex interplay of statutory provisions, judicial interpretations, and practical considerations, reflecting a tension between protecting society and assessing individual culpability.</w:t>
      </w:r>
    </w:p>
    <w:p w14:paraId="54BBD378"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b/>
          <w:bCs/>
          <w:lang w:val="en-HK"/>
        </w:rPr>
        <w:t>Basic Intent Offences</w:t>
      </w:r>
      <w:r w:rsidRPr="009D1968">
        <w:rPr>
          <w:rFonts w:ascii="Times New Roman" w:hAnsi="Times New Roman"/>
          <w:lang w:val="en-HK"/>
        </w:rPr>
        <w:t xml:space="preserve">: </w:t>
      </w:r>
    </w:p>
    <w:p w14:paraId="44AC8234"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t xml:space="preserve">For offences deemed basic intent, such as assault occasioning actual bodily harm or criminal damage, voluntary intoxication does not excuse liability. If a defendant, due to intoxication, lacks the </w:t>
      </w:r>
      <w:proofErr w:type="spellStart"/>
      <w:r w:rsidRPr="009D1968">
        <w:rPr>
          <w:rFonts w:ascii="Times New Roman" w:hAnsi="Times New Roman"/>
          <w:lang w:val="en-HK"/>
        </w:rPr>
        <w:t>mens</w:t>
      </w:r>
      <w:proofErr w:type="spellEnd"/>
      <w:r w:rsidRPr="009D1968">
        <w:rPr>
          <w:rFonts w:ascii="Times New Roman" w:hAnsi="Times New Roman"/>
          <w:lang w:val="en-HK"/>
        </w:rPr>
        <w:t xml:space="preserve"> rea (guilty mind) typically required—such as subjective recklessness—the law still holds them accountable. The article explains that Majewski establishes that intoxication itself can substitute for the fault element in these cases, meaning the prosecution need not prove the defendant foresaw the risk of harm if their voluntary intoxication caused the lack of foresight.</w:t>
      </w:r>
    </w:p>
    <w:p w14:paraId="290BD60A"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t xml:space="preserve">The underlying reasoning, as articulated by Lord Elwyn-Jones in Majewski, suggests that intoxication provides a form of culpability broadly equivalent to recklessness, reflecting a policy to punish drunken harm rather than strictly adhering to </w:t>
      </w:r>
      <w:proofErr w:type="spellStart"/>
      <w:r w:rsidRPr="009D1968">
        <w:rPr>
          <w:rFonts w:ascii="Times New Roman" w:hAnsi="Times New Roman"/>
          <w:lang w:val="en-HK"/>
        </w:rPr>
        <w:t>mens</w:t>
      </w:r>
      <w:proofErr w:type="spellEnd"/>
      <w:r w:rsidRPr="009D1968">
        <w:rPr>
          <w:rFonts w:ascii="Times New Roman" w:hAnsi="Times New Roman"/>
          <w:lang w:val="en-HK"/>
        </w:rPr>
        <w:t xml:space="preserve"> rea principles. The article notes that this applies particularly to reckless result crimes, where the actus reus involves producing a prohibited consequence (e.g., injury or damage).</w:t>
      </w:r>
    </w:p>
    <w:p w14:paraId="461F0C9B"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t xml:space="preserve">Williams highlights that the Judicial Studies Board (JSB) and Crown Court Bench Book recommend a hypothetical test, derived from R. v Richardson and Irwin [1999] 1 Cr. App. R. 392, asking juries to determine whether the defendant would have foreseen the harm if sober. This approach, supported by analogy to section 6(5) of the Public Order Act 1986, treats the defendant as if they possessed the awareness a sober person would have had, reinforcing liability without directly proving </w:t>
      </w:r>
      <w:proofErr w:type="spellStart"/>
      <w:r w:rsidRPr="009D1968">
        <w:rPr>
          <w:rFonts w:ascii="Times New Roman" w:hAnsi="Times New Roman"/>
          <w:lang w:val="en-HK"/>
        </w:rPr>
        <w:t>mens</w:t>
      </w:r>
      <w:proofErr w:type="spellEnd"/>
      <w:r w:rsidRPr="009D1968">
        <w:rPr>
          <w:rFonts w:ascii="Times New Roman" w:hAnsi="Times New Roman"/>
          <w:lang w:val="en-HK"/>
        </w:rPr>
        <w:t xml:space="preserve"> rea.</w:t>
      </w:r>
    </w:p>
    <w:p w14:paraId="30338162"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b/>
          <w:bCs/>
          <w:lang w:val="en-HK"/>
        </w:rPr>
        <w:t>Specific Intent Offences</w:t>
      </w:r>
      <w:r w:rsidRPr="009D1968">
        <w:rPr>
          <w:rFonts w:ascii="Times New Roman" w:hAnsi="Times New Roman"/>
          <w:lang w:val="en-HK"/>
        </w:rPr>
        <w:t xml:space="preserve">: </w:t>
      </w:r>
    </w:p>
    <w:p w14:paraId="42F755BB"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lastRenderedPageBreak/>
        <w:t>In contrast, for offences of specific intent, such as murder, theft, or section 18 of the Offences Against the Person Act 1861 (causing grievous bodily harm with intent), evidence of voluntary intoxication is admissible to show the defendant lacked the requisite specific intent—e.g., intent to kill or permanently deprive. If this evidence succeeds, the defendant may be acquitted of the specific intent offence or convicted of a lesser basic intent offence (e.g., manslaughter instead of murder).</w:t>
      </w:r>
    </w:p>
    <w:p w14:paraId="25A0CB90"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t>The article underscores that this distinction stems from Majewski, where Lord Elwyn-Jones defined specific intent offences as those involving “ulterior intent,” requiring a purpose beyond the immediate actus reus. For instance, theft requires intent to deprive permanently, a mental state intoxication might negate, transforming the act into a non-criminal appropriation if intent is absent.</w:t>
      </w:r>
    </w:p>
    <w:p w14:paraId="24AE2AFB"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t xml:space="preserve">Heard complicates this by rejecting intoxication as directly supplying </w:t>
      </w:r>
      <w:proofErr w:type="spellStart"/>
      <w:r w:rsidRPr="009D1968">
        <w:rPr>
          <w:rFonts w:ascii="Times New Roman" w:hAnsi="Times New Roman"/>
          <w:lang w:val="en-HK"/>
        </w:rPr>
        <w:t>mens</w:t>
      </w:r>
      <w:proofErr w:type="spellEnd"/>
      <w:r w:rsidRPr="009D1968">
        <w:rPr>
          <w:rFonts w:ascii="Times New Roman" w:hAnsi="Times New Roman"/>
          <w:lang w:val="en-HK"/>
        </w:rPr>
        <w:t xml:space="preserve"> rea, instead framing it as “broadly equivalent culpability,” yet it upholds the admissibility of intoxication evidence for specific intent elements, such as intent to touch in sexual assault under section 3 of the Sexual Offences Act 2003.</w:t>
      </w:r>
    </w:p>
    <w:p w14:paraId="48B3A697"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b/>
          <w:bCs/>
          <w:lang w:val="en-HK"/>
        </w:rPr>
        <w:t>Statutory Context and Section 8</w:t>
      </w:r>
      <w:r w:rsidRPr="009D1968">
        <w:rPr>
          <w:rFonts w:ascii="Times New Roman" w:hAnsi="Times New Roman"/>
          <w:lang w:val="en-HK"/>
        </w:rPr>
        <w:t xml:space="preserve">: </w:t>
      </w:r>
    </w:p>
    <w:p w14:paraId="2F0ACCAB"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t>The article emphasizes the role of section 8 of the Criminal Justice Act 1967, which mandates that courts or juries assess whether a defendant intended or foresaw a result “by reference to all the evidence.” This statutory requirement challenges an evidential interpretation of Majewski that bars intoxication evidence outright, as it suggests all relevant evidence, including intoxication, must be considered. Williams argues this renders the first possible interpretation of Majewski—excluding evidence—immediately untenable, pushing the law towards substantive or hypothetical approaches.</w:t>
      </w:r>
    </w:p>
    <w:p w14:paraId="4C5A7F7B"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t>The hypothetical test aligns with section 8 by allowing evidence of intoxication to be admitted, then directing juries to evaluate what a sober defendant would have foreseen, thus preserving statutory compliance while maintaining liability for basic intent offences.</w:t>
      </w:r>
    </w:p>
    <w:p w14:paraId="46D976D6"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b/>
          <w:bCs/>
          <w:lang w:val="en-HK"/>
        </w:rPr>
        <w:t>Judicial Interpretations and Evolution</w:t>
      </w:r>
      <w:r w:rsidRPr="009D1968">
        <w:rPr>
          <w:rFonts w:ascii="Times New Roman" w:hAnsi="Times New Roman"/>
          <w:lang w:val="en-HK"/>
        </w:rPr>
        <w:t xml:space="preserve">: </w:t>
      </w:r>
    </w:p>
    <w:p w14:paraId="1FB0D1D3"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t xml:space="preserve">Majewski’s House of Lords dicta, per Lord Elwyn-Jones and Lord Edmund-Davies, initially suggested a substantive rule: voluntary intoxication constitutes </w:t>
      </w:r>
      <w:proofErr w:type="spellStart"/>
      <w:r w:rsidRPr="009D1968">
        <w:rPr>
          <w:rFonts w:ascii="Times New Roman" w:hAnsi="Times New Roman"/>
          <w:lang w:val="en-HK"/>
        </w:rPr>
        <w:t>mens</w:t>
      </w:r>
      <w:proofErr w:type="spellEnd"/>
      <w:r w:rsidRPr="009D1968">
        <w:rPr>
          <w:rFonts w:ascii="Times New Roman" w:hAnsi="Times New Roman"/>
          <w:lang w:val="en-HK"/>
        </w:rPr>
        <w:t xml:space="preserve"> rea for basic </w:t>
      </w:r>
      <w:r w:rsidRPr="009D1968">
        <w:rPr>
          <w:rFonts w:ascii="Times New Roman" w:hAnsi="Times New Roman"/>
          <w:lang w:val="en-HK"/>
        </w:rPr>
        <w:lastRenderedPageBreak/>
        <w:t>intent offences, equating drunkenness with recklessness. Lord Salmon’s ambiguity, later clarified as supporting this view, and the unanimity of the Lords reinforce this interpretation, as noted in the 1995 Law Commission report.</w:t>
      </w:r>
    </w:p>
    <w:p w14:paraId="5D6E5C93"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t xml:space="preserve">Heard shifts this stance, with Hughes L.J. rejecting intoxication as directly supplying </w:t>
      </w:r>
      <w:proofErr w:type="spellStart"/>
      <w:r w:rsidRPr="009D1968">
        <w:rPr>
          <w:rFonts w:ascii="Times New Roman" w:hAnsi="Times New Roman"/>
          <w:lang w:val="en-HK"/>
        </w:rPr>
        <w:t>mens</w:t>
      </w:r>
      <w:proofErr w:type="spellEnd"/>
      <w:r w:rsidRPr="009D1968">
        <w:rPr>
          <w:rFonts w:ascii="Times New Roman" w:hAnsi="Times New Roman"/>
          <w:lang w:val="en-HK"/>
        </w:rPr>
        <w:t xml:space="preserve"> rea due to “many difficulties,” such as punishing mere drunkenness without regard to sober foreseeability. Instead, it posits intoxication as broadly equivalent to recklessness, reflecting a policy-driven compromise rather than a strict fault equivalence. The article critiques this as lacking authority to override Majewski and as conceptually vague, neither fully evidential nor substantive.</w:t>
      </w:r>
    </w:p>
    <w:p w14:paraId="6DE253D5" w14:textId="77777777" w:rsidR="009D1968" w:rsidRPr="009D1968" w:rsidRDefault="009D1968" w:rsidP="00083A6F">
      <w:pPr>
        <w:numPr>
          <w:ilvl w:val="1"/>
          <w:numId w:val="1"/>
        </w:numPr>
        <w:spacing w:after="240" w:line="360" w:lineRule="auto"/>
        <w:rPr>
          <w:rFonts w:ascii="Times New Roman" w:hAnsi="Times New Roman"/>
          <w:lang w:val="en-HK"/>
        </w:rPr>
      </w:pPr>
      <w:r w:rsidRPr="009D1968">
        <w:rPr>
          <w:rFonts w:ascii="Times New Roman" w:hAnsi="Times New Roman"/>
          <w:lang w:val="en-HK"/>
        </w:rPr>
        <w:t xml:space="preserve">The JSB’s hypothetical test, endorsed in Richardson and Irwin, asks juries to assess sober foresight, aligning with </w:t>
      </w:r>
      <w:proofErr w:type="spellStart"/>
      <w:r w:rsidRPr="009D1968">
        <w:rPr>
          <w:rFonts w:ascii="Times New Roman" w:hAnsi="Times New Roman"/>
          <w:lang w:val="en-HK"/>
        </w:rPr>
        <w:t>Heard’s</w:t>
      </w:r>
      <w:proofErr w:type="spellEnd"/>
      <w:r w:rsidRPr="009D1968">
        <w:rPr>
          <w:rFonts w:ascii="Times New Roman" w:hAnsi="Times New Roman"/>
          <w:lang w:val="en-HK"/>
        </w:rPr>
        <w:t xml:space="preserve"> policy focus but raising questions about its fit with Majewski’s original intent. Williams notes this test’s statutory analogy to section 6(5) of the Public Order Act 1986, yet questions its legitimacy outside such contexts.</w:t>
      </w:r>
    </w:p>
    <w:p w14:paraId="1EB709D1"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b/>
          <w:bCs/>
          <w:lang w:val="en-HK"/>
        </w:rPr>
        <w:t>Practical Operation</w:t>
      </w:r>
      <w:r w:rsidRPr="009D1968">
        <w:rPr>
          <w:rFonts w:ascii="Times New Roman" w:hAnsi="Times New Roman"/>
          <w:lang w:val="en-HK"/>
        </w:rPr>
        <w:t xml:space="preserve">: </w:t>
      </w:r>
    </w:p>
    <w:p w14:paraId="6F005EEE"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lang w:val="en-HK"/>
        </w:rPr>
        <w:t xml:space="preserve">The law’s operation reflects a compromise: it protects society from intoxicated harm-doers, as seen in the Cardiff study’s evidence of first-time offenders in alcohol-related crimes, while allowing leniency for specific intent where intoxication negates purpose. However, Williams argues this punishes drunkenness itself, echoing Lord Birkenhead in Beard, rather than the offence’s specific fault, highlighting a disconnect from traditional </w:t>
      </w:r>
      <w:proofErr w:type="spellStart"/>
      <w:r w:rsidRPr="009D1968">
        <w:rPr>
          <w:rFonts w:ascii="Times New Roman" w:hAnsi="Times New Roman"/>
          <w:lang w:val="en-HK"/>
        </w:rPr>
        <w:t>mens</w:t>
      </w:r>
      <w:proofErr w:type="spellEnd"/>
      <w:r w:rsidRPr="009D1968">
        <w:rPr>
          <w:rFonts w:ascii="Times New Roman" w:hAnsi="Times New Roman"/>
          <w:lang w:val="en-HK"/>
        </w:rPr>
        <w:t xml:space="preserve"> rea principles.</w:t>
      </w:r>
    </w:p>
    <w:p w14:paraId="7C46BFA7"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lang w:val="en-HK"/>
        </w:rPr>
        <w:t>This detailed framework illustrates a law balancing pragmatism and principle, yet fraught with interpretive tensions and statutory constraints.</w:t>
      </w:r>
    </w:p>
    <w:p w14:paraId="413358C9" w14:textId="77777777" w:rsidR="009D1968" w:rsidRPr="009D1968" w:rsidRDefault="009D1968" w:rsidP="00083A6F">
      <w:pPr>
        <w:spacing w:after="240" w:line="360" w:lineRule="auto"/>
        <w:outlineLvl w:val="3"/>
        <w:rPr>
          <w:rFonts w:ascii="Times New Roman" w:hAnsi="Times New Roman"/>
          <w:b/>
          <w:bCs/>
          <w:lang w:val="en-HK"/>
        </w:rPr>
      </w:pPr>
      <w:r w:rsidRPr="009D1968">
        <w:rPr>
          <w:rFonts w:ascii="Times New Roman" w:hAnsi="Times New Roman"/>
          <w:b/>
          <w:bCs/>
          <w:lang w:val="en-HK"/>
        </w:rPr>
        <w:t>2. The Law of Intoxication: a Lost Cause?</w:t>
      </w:r>
    </w:p>
    <w:p w14:paraId="69E1FF3E"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lang w:val="en-HK"/>
        </w:rPr>
        <w:t>Williams explores whether the law of intoxication is a “lost cause,” reflecting on its 30-year stasis since Majewski, persistent academic criticism, and repeated but unsuccessful reform efforts by the Law Commission. The section probes whether this entrenched compromise—illogical yet practical—renders further reform futile or necessitates reconsideration.</w:t>
      </w:r>
    </w:p>
    <w:p w14:paraId="1E09E0C4"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b/>
          <w:bCs/>
          <w:lang w:val="en-HK"/>
        </w:rPr>
        <w:t>Historical Stasis and Criticism</w:t>
      </w:r>
      <w:r w:rsidRPr="009D1968">
        <w:rPr>
          <w:rFonts w:ascii="Times New Roman" w:hAnsi="Times New Roman"/>
          <w:lang w:val="en-HK"/>
        </w:rPr>
        <w:t xml:space="preserve">: </w:t>
      </w:r>
    </w:p>
    <w:p w14:paraId="7C00809D" w14:textId="77777777" w:rsidR="009D1968" w:rsidRPr="009D1968" w:rsidRDefault="009D1968" w:rsidP="00083A6F">
      <w:pPr>
        <w:numPr>
          <w:ilvl w:val="1"/>
          <w:numId w:val="2"/>
        </w:numPr>
        <w:spacing w:after="240" w:line="360" w:lineRule="auto"/>
        <w:rPr>
          <w:rFonts w:ascii="Times New Roman" w:hAnsi="Times New Roman"/>
          <w:lang w:val="en-HK"/>
        </w:rPr>
      </w:pPr>
      <w:r w:rsidRPr="009D1968">
        <w:rPr>
          <w:rFonts w:ascii="Times New Roman" w:hAnsi="Times New Roman"/>
          <w:lang w:val="en-HK"/>
        </w:rPr>
        <w:lastRenderedPageBreak/>
        <w:t>For over three decades, the law has remained largely unchanged since Majewski, despite extensive academic critique. The article cites numerous scholarly works—e.g., by G. Williams, G. Virgo, and J. Chalmers—condemning its illogicality, particularly for punishing intoxication over offence-specific fault. This longevity suggests a resilience rooted in pragmatism, yet Williams questions if this default retention is defensible given its flaws.</w:t>
      </w:r>
    </w:p>
    <w:p w14:paraId="3A52F6D4" w14:textId="77777777" w:rsidR="009D1968" w:rsidRPr="009D1968" w:rsidRDefault="009D1968" w:rsidP="00083A6F">
      <w:pPr>
        <w:numPr>
          <w:ilvl w:val="1"/>
          <w:numId w:val="2"/>
        </w:numPr>
        <w:spacing w:after="240" w:line="360" w:lineRule="auto"/>
        <w:rPr>
          <w:rFonts w:ascii="Times New Roman" w:hAnsi="Times New Roman"/>
          <w:lang w:val="en-HK"/>
        </w:rPr>
      </w:pPr>
      <w:r w:rsidRPr="009D1968">
        <w:rPr>
          <w:rFonts w:ascii="Times New Roman" w:hAnsi="Times New Roman"/>
          <w:lang w:val="en-HK"/>
        </w:rPr>
        <w:t xml:space="preserve">The critique </w:t>
      </w:r>
      <w:proofErr w:type="spellStart"/>
      <w:r w:rsidRPr="009D1968">
        <w:rPr>
          <w:rFonts w:ascii="Times New Roman" w:hAnsi="Times New Roman"/>
          <w:lang w:val="en-HK"/>
        </w:rPr>
        <w:t>centers</w:t>
      </w:r>
      <w:proofErr w:type="spellEnd"/>
      <w:r w:rsidRPr="009D1968">
        <w:rPr>
          <w:rFonts w:ascii="Times New Roman" w:hAnsi="Times New Roman"/>
          <w:lang w:val="en-HK"/>
        </w:rPr>
        <w:t xml:space="preserve"> on Majewski’s failure to align with </w:t>
      </w:r>
      <w:proofErr w:type="spellStart"/>
      <w:r w:rsidRPr="009D1968">
        <w:rPr>
          <w:rFonts w:ascii="Times New Roman" w:hAnsi="Times New Roman"/>
          <w:lang w:val="en-HK"/>
        </w:rPr>
        <w:t>mens</w:t>
      </w:r>
      <w:proofErr w:type="spellEnd"/>
      <w:r w:rsidRPr="009D1968">
        <w:rPr>
          <w:rFonts w:ascii="Times New Roman" w:hAnsi="Times New Roman"/>
          <w:lang w:val="en-HK"/>
        </w:rPr>
        <w:t xml:space="preserve"> rea logic, a point reinforced by Lord Salmon’s admission in Majewski that “in strict logic this view cannot be justified.” The article frames this as an uneasy compromise between protecting society and ensuring fair culpability, unresolved for 30 years.</w:t>
      </w:r>
    </w:p>
    <w:p w14:paraId="1BD3FD28"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b/>
          <w:bCs/>
          <w:lang w:val="en-HK"/>
        </w:rPr>
        <w:t>Law Commission Reform Efforts</w:t>
      </w:r>
      <w:r w:rsidRPr="009D1968">
        <w:rPr>
          <w:rFonts w:ascii="Times New Roman" w:hAnsi="Times New Roman"/>
          <w:lang w:val="en-HK"/>
        </w:rPr>
        <w:t xml:space="preserve">: </w:t>
      </w:r>
    </w:p>
    <w:p w14:paraId="2EA3AEB7" w14:textId="77777777" w:rsidR="009D1968" w:rsidRPr="009D1968" w:rsidRDefault="009D1968" w:rsidP="00083A6F">
      <w:pPr>
        <w:numPr>
          <w:ilvl w:val="1"/>
          <w:numId w:val="2"/>
        </w:numPr>
        <w:spacing w:after="240" w:line="360" w:lineRule="auto"/>
        <w:rPr>
          <w:rFonts w:ascii="Times New Roman" w:hAnsi="Times New Roman"/>
          <w:lang w:val="en-HK"/>
        </w:rPr>
      </w:pPr>
      <w:r w:rsidRPr="009D1968">
        <w:rPr>
          <w:rFonts w:ascii="Times New Roman" w:hAnsi="Times New Roman"/>
          <w:lang w:val="en-HK"/>
        </w:rPr>
        <w:t xml:space="preserve">In 1993, the Law Commission’s Consultation Paper (No. 127) proposed a radical shift: an offence of “criminal intoxication” to openly punish intoxication causing harm, regardless of </w:t>
      </w:r>
      <w:proofErr w:type="spellStart"/>
      <w:r w:rsidRPr="009D1968">
        <w:rPr>
          <w:rFonts w:ascii="Times New Roman" w:hAnsi="Times New Roman"/>
          <w:lang w:val="en-HK"/>
        </w:rPr>
        <w:t>mens</w:t>
      </w:r>
      <w:proofErr w:type="spellEnd"/>
      <w:r w:rsidRPr="009D1968">
        <w:rPr>
          <w:rFonts w:ascii="Times New Roman" w:hAnsi="Times New Roman"/>
          <w:lang w:val="en-HK"/>
        </w:rPr>
        <w:t xml:space="preserve"> rea or automatism. This aimed to replace Majewski’s implicit approach with transparency, but consultees rejected it outright, </w:t>
      </w:r>
      <w:proofErr w:type="spellStart"/>
      <w:r w:rsidRPr="009D1968">
        <w:rPr>
          <w:rFonts w:ascii="Times New Roman" w:hAnsi="Times New Roman"/>
          <w:lang w:val="en-HK"/>
        </w:rPr>
        <w:t>favoring</w:t>
      </w:r>
      <w:proofErr w:type="spellEnd"/>
      <w:r w:rsidRPr="009D1968">
        <w:rPr>
          <w:rFonts w:ascii="Times New Roman" w:hAnsi="Times New Roman"/>
          <w:lang w:val="en-HK"/>
        </w:rPr>
        <w:t xml:space="preserve"> Majewski’s fairness and simplicity, as noted in the 1995 final report (Law Com No. 229).</w:t>
      </w:r>
    </w:p>
    <w:p w14:paraId="58726B62" w14:textId="77777777" w:rsidR="009D1968" w:rsidRPr="009D1968" w:rsidRDefault="009D1968" w:rsidP="00083A6F">
      <w:pPr>
        <w:numPr>
          <w:ilvl w:val="1"/>
          <w:numId w:val="2"/>
        </w:numPr>
        <w:spacing w:after="240" w:line="360" w:lineRule="auto"/>
        <w:rPr>
          <w:rFonts w:ascii="Times New Roman" w:hAnsi="Times New Roman"/>
          <w:lang w:val="en-HK"/>
        </w:rPr>
      </w:pPr>
      <w:r w:rsidRPr="009D1968">
        <w:rPr>
          <w:rFonts w:ascii="Times New Roman" w:hAnsi="Times New Roman"/>
          <w:lang w:val="en-HK"/>
        </w:rPr>
        <w:t>The 1995 report concluded that “the Majewski approach operate[s] fairly, on the whole, and without undue difficulty,” supported by justice system stakeholders who valued its practicality, including resource savings from guilty pleas. This marked a retreat from reform, endorsing codification of the existing law with minor clarifications.</w:t>
      </w:r>
    </w:p>
    <w:p w14:paraId="388E84B0" w14:textId="77777777" w:rsidR="009D1968" w:rsidRPr="009D1968" w:rsidRDefault="009D1968" w:rsidP="00083A6F">
      <w:pPr>
        <w:numPr>
          <w:ilvl w:val="1"/>
          <w:numId w:val="2"/>
        </w:numPr>
        <w:spacing w:after="240" w:line="360" w:lineRule="auto"/>
        <w:rPr>
          <w:rFonts w:ascii="Times New Roman" w:hAnsi="Times New Roman"/>
          <w:lang w:val="en-HK"/>
        </w:rPr>
      </w:pPr>
      <w:r w:rsidRPr="009D1968">
        <w:rPr>
          <w:rFonts w:ascii="Times New Roman" w:hAnsi="Times New Roman"/>
          <w:lang w:val="en-HK"/>
        </w:rPr>
        <w:t>The 2008 report (Law Com No. 314) revisited this, affirming codification with modifications as “still the right approach,” yet the government rejected these proposals in 2012, citing their complexity and lack of intelligibility compared to the current law. Williams interprets this as settling “by default” for Majewski’s pragmatic compromise, despite its acknowledged illogicality.</w:t>
      </w:r>
    </w:p>
    <w:p w14:paraId="4E8537F7"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b/>
          <w:bCs/>
          <w:lang w:val="en-HK"/>
        </w:rPr>
        <w:t>Pragmatic Advantages vs. Disadvantages</w:t>
      </w:r>
      <w:r w:rsidRPr="009D1968">
        <w:rPr>
          <w:rFonts w:ascii="Times New Roman" w:hAnsi="Times New Roman"/>
          <w:lang w:val="en-HK"/>
        </w:rPr>
        <w:t xml:space="preserve">: </w:t>
      </w:r>
    </w:p>
    <w:p w14:paraId="67C0EB60" w14:textId="77777777" w:rsidR="009D1968" w:rsidRPr="009D1968" w:rsidRDefault="009D1968" w:rsidP="00083A6F">
      <w:pPr>
        <w:numPr>
          <w:ilvl w:val="1"/>
          <w:numId w:val="2"/>
        </w:numPr>
        <w:spacing w:after="240" w:line="360" w:lineRule="auto"/>
        <w:rPr>
          <w:rFonts w:ascii="Times New Roman" w:hAnsi="Times New Roman"/>
          <w:lang w:val="en-HK"/>
        </w:rPr>
      </w:pPr>
      <w:r w:rsidRPr="009D1968">
        <w:rPr>
          <w:rFonts w:ascii="Times New Roman" w:hAnsi="Times New Roman"/>
          <w:lang w:val="en-HK"/>
        </w:rPr>
        <w:t xml:space="preserve">The article acknowledges Majewski’s practical benefits: it streamlines trials by encouraging guilty pleas, saving court resources, and ensures intoxicated offenders face consequences, aligning with public safety concerns highlighted by the Cardiff study (over </w:t>
      </w:r>
      <w:r w:rsidRPr="009D1968">
        <w:rPr>
          <w:rFonts w:ascii="Times New Roman" w:hAnsi="Times New Roman"/>
          <w:lang w:val="en-HK"/>
        </w:rPr>
        <w:lastRenderedPageBreak/>
        <w:t>half of alcohol-related arrests involve first-time offenders). This efficiency underpins its retention, as consultees in 1995 affirmed its operational fairness.</w:t>
      </w:r>
    </w:p>
    <w:p w14:paraId="6F12AA3F" w14:textId="77777777" w:rsidR="009D1968" w:rsidRPr="009D1968" w:rsidRDefault="009D1968" w:rsidP="00083A6F">
      <w:pPr>
        <w:numPr>
          <w:ilvl w:val="1"/>
          <w:numId w:val="2"/>
        </w:numPr>
        <w:spacing w:after="240" w:line="360" w:lineRule="auto"/>
        <w:rPr>
          <w:rFonts w:ascii="Times New Roman" w:hAnsi="Times New Roman"/>
          <w:lang w:val="en-HK"/>
        </w:rPr>
      </w:pPr>
      <w:r w:rsidRPr="009D1968">
        <w:rPr>
          <w:rFonts w:ascii="Times New Roman" w:hAnsi="Times New Roman"/>
          <w:lang w:val="en-HK"/>
        </w:rPr>
        <w:t xml:space="preserve">However, Williams urges reflection on its disadvantages: it punishes intoxication itself, not the offence, as per Lord Birkenhead’s observation in Beard, and applies inconsistently across offence types, as seen in </w:t>
      </w:r>
      <w:proofErr w:type="spellStart"/>
      <w:r w:rsidRPr="009D1968">
        <w:rPr>
          <w:rFonts w:ascii="Times New Roman" w:hAnsi="Times New Roman"/>
          <w:lang w:val="en-HK"/>
        </w:rPr>
        <w:t>Heard’s</w:t>
      </w:r>
      <w:proofErr w:type="spellEnd"/>
      <w:r w:rsidRPr="009D1968">
        <w:rPr>
          <w:rFonts w:ascii="Times New Roman" w:hAnsi="Times New Roman"/>
          <w:lang w:val="en-HK"/>
        </w:rPr>
        <w:t xml:space="preserve"> strained extension to sexual assault. The specific/basic intent distinction remains obscure, with the Law Commission in 2008 unable to confidently define it, a “regrettable” state per Ormerod, given its importance.</w:t>
      </w:r>
    </w:p>
    <w:p w14:paraId="3A1A3410" w14:textId="77777777" w:rsidR="009D1968" w:rsidRPr="009D1968" w:rsidRDefault="009D1968" w:rsidP="00083A6F">
      <w:pPr>
        <w:spacing w:after="240" w:line="360" w:lineRule="auto"/>
        <w:rPr>
          <w:rFonts w:ascii="Times New Roman" w:hAnsi="Times New Roman"/>
          <w:lang w:val="en-HK"/>
        </w:rPr>
      </w:pPr>
      <w:r w:rsidRPr="009D1968">
        <w:rPr>
          <w:rFonts w:ascii="Times New Roman" w:hAnsi="Times New Roman"/>
          <w:b/>
          <w:bCs/>
          <w:lang w:val="en-HK"/>
        </w:rPr>
        <w:t>A Lost Cause?</w:t>
      </w:r>
      <w:r w:rsidRPr="009D1968">
        <w:rPr>
          <w:rFonts w:ascii="Times New Roman" w:hAnsi="Times New Roman"/>
          <w:lang w:val="en-HK"/>
        </w:rPr>
        <w:t xml:space="preserve">: </w:t>
      </w:r>
    </w:p>
    <w:p w14:paraId="1A4C2959" w14:textId="77777777" w:rsidR="009D1968" w:rsidRPr="009D1968" w:rsidRDefault="009D1968" w:rsidP="00083A6F">
      <w:pPr>
        <w:numPr>
          <w:ilvl w:val="1"/>
          <w:numId w:val="2"/>
        </w:numPr>
        <w:spacing w:after="240" w:line="360" w:lineRule="auto"/>
        <w:rPr>
          <w:rFonts w:ascii="Times New Roman" w:hAnsi="Times New Roman"/>
          <w:lang w:val="en-HK"/>
        </w:rPr>
      </w:pPr>
      <w:r w:rsidRPr="009D1968">
        <w:rPr>
          <w:rFonts w:ascii="Times New Roman" w:hAnsi="Times New Roman"/>
          <w:lang w:val="en-HK"/>
        </w:rPr>
        <w:t>The phrase “lost cause” encapsulates the law’s apparent reform inertia: despite cogent critiques and reform proposals, it persists unchanged, suggesting a lost opportunity for principled clarity. Yet, Williams resists this fatalism, arguing that before accepting Majewski by default, its flaws—illogicality, limited scope, and statutory tension (e.g., with section 8)—warrant exploring alternatives.</w:t>
      </w:r>
    </w:p>
    <w:p w14:paraId="76DB0582" w14:textId="77777777" w:rsidR="009D1968" w:rsidRPr="00083A6F" w:rsidRDefault="009D1968" w:rsidP="00083A6F">
      <w:pPr>
        <w:numPr>
          <w:ilvl w:val="1"/>
          <w:numId w:val="2"/>
        </w:numPr>
        <w:spacing w:after="240" w:line="360" w:lineRule="auto"/>
        <w:rPr>
          <w:rFonts w:ascii="Times New Roman" w:hAnsi="Times New Roman"/>
          <w:lang w:val="en-HK"/>
        </w:rPr>
      </w:pPr>
      <w:r w:rsidRPr="009D1968">
        <w:rPr>
          <w:rFonts w:ascii="Times New Roman" w:hAnsi="Times New Roman"/>
          <w:lang w:val="en-HK"/>
        </w:rPr>
        <w:t>The article posits that while not all intoxication issues can be resolved here, key improvements are possible, challenging the notion that the law is irredeemably stalled. The “lost cause” question thus serves as a call to reassess, not capitulate, to the current compromise.</w:t>
      </w:r>
    </w:p>
    <w:p w14:paraId="7B42BF26" w14:textId="77777777" w:rsidR="009D7613" w:rsidRPr="009D7613" w:rsidRDefault="009D7613" w:rsidP="00083A6F">
      <w:pPr>
        <w:spacing w:after="240" w:line="360" w:lineRule="auto"/>
        <w:outlineLvl w:val="3"/>
        <w:rPr>
          <w:rFonts w:ascii="Times New Roman" w:hAnsi="Times New Roman"/>
          <w:b/>
          <w:bCs/>
          <w:lang w:val="en-HK"/>
        </w:rPr>
      </w:pPr>
      <w:r w:rsidRPr="009D7613">
        <w:rPr>
          <w:rFonts w:ascii="Times New Roman" w:hAnsi="Times New Roman"/>
          <w:b/>
          <w:bCs/>
          <w:lang w:val="en-HK"/>
        </w:rPr>
        <w:t>3. What is the Matter with the Current Rules?</w:t>
      </w:r>
    </w:p>
    <w:p w14:paraId="4AAC01AD"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lang w:val="en-HK"/>
        </w:rPr>
        <w:t xml:space="preserve">Rebecca Williams identifies two fundamental flaws in the current rules on voluntary intoxication, as established by DPP v Majewski [1977] A.C. 443 and interpreted in cases like R. v Heard [2007] EWCA Crim 125. These flaws—punishing intoxication itself rather than the offence and the rules’ limited applicability—reveal a disconnect between the law’s pragmatic operation and the principles of criminal liability, particularly concerning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(guilty mind). The article delves into these issues with detailed critique, supported by judicial and statutory analysis.</w:t>
      </w:r>
    </w:p>
    <w:p w14:paraId="43C920D7"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b/>
          <w:bCs/>
          <w:lang w:val="en-HK"/>
        </w:rPr>
        <w:t>Punishing Intoxication Itself</w:t>
      </w:r>
      <w:r w:rsidRPr="009D7613">
        <w:rPr>
          <w:rFonts w:ascii="Times New Roman" w:hAnsi="Times New Roman"/>
          <w:lang w:val="en-HK"/>
        </w:rPr>
        <w:t xml:space="preserve">: </w:t>
      </w:r>
    </w:p>
    <w:p w14:paraId="15FDAD87"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b/>
          <w:bCs/>
          <w:lang w:val="en-HK"/>
        </w:rPr>
        <w:t>Core Critique</w:t>
      </w:r>
      <w:r w:rsidRPr="009D7613">
        <w:rPr>
          <w:rFonts w:ascii="Times New Roman" w:hAnsi="Times New Roman"/>
          <w:lang w:val="en-HK"/>
        </w:rPr>
        <w:t xml:space="preserve">: Williams begins by citing Lord Birkenhead in DPP v Beard [1920] A.C. 479, who stated that under the present law, “the cause of the punishment is the drunkenness which has led to the crime, rather than the crime itself.” This encapsulates her argument that the </w:t>
      </w:r>
      <w:r w:rsidRPr="009D7613">
        <w:rPr>
          <w:rFonts w:ascii="Times New Roman" w:hAnsi="Times New Roman"/>
          <w:lang w:val="en-HK"/>
        </w:rPr>
        <w:lastRenderedPageBreak/>
        <w:t>Majewski rules effectively criminalize voluntary intoxication, not the offence’s specific fault, a conclusion she finds inevitable upon examining their operation.</w:t>
      </w:r>
    </w:p>
    <w:p w14:paraId="3FF6CA37"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b/>
          <w:bCs/>
          <w:lang w:val="en-HK"/>
        </w:rPr>
        <w:t>Three Interpretive Options</w:t>
      </w:r>
      <w:r w:rsidRPr="009D7613">
        <w:rPr>
          <w:rFonts w:ascii="Times New Roman" w:hAnsi="Times New Roman"/>
          <w:lang w:val="en-HK"/>
        </w:rPr>
        <w:t xml:space="preserve">: The article explores three ways Majewski might function when a defendant claims intoxication negated their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w:t>
      </w:r>
    </w:p>
    <w:p w14:paraId="79B88654" w14:textId="77777777" w:rsidR="009D7613" w:rsidRPr="009D7613" w:rsidRDefault="009D7613" w:rsidP="00083A6F">
      <w:pPr>
        <w:numPr>
          <w:ilvl w:val="2"/>
          <w:numId w:val="3"/>
        </w:numPr>
        <w:spacing w:after="240" w:line="360" w:lineRule="auto"/>
        <w:rPr>
          <w:rFonts w:ascii="Times New Roman" w:hAnsi="Times New Roman"/>
          <w:lang w:val="en-HK"/>
        </w:rPr>
      </w:pPr>
      <w:r w:rsidRPr="009D7613">
        <w:rPr>
          <w:rFonts w:ascii="Times New Roman" w:hAnsi="Times New Roman"/>
          <w:b/>
          <w:bCs/>
          <w:lang w:val="en-HK"/>
        </w:rPr>
        <w:t>Evidential Bar</w:t>
      </w:r>
      <w:r w:rsidRPr="009D7613">
        <w:rPr>
          <w:rFonts w:ascii="Times New Roman" w:hAnsi="Times New Roman"/>
          <w:lang w:val="en-HK"/>
        </w:rPr>
        <w:t xml:space="preserve">: The first possibility is that Majewski prevents defendants from adducing intoxication evidence to deny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Williams rejects this outright due to section 8 of the Criminal Justice Act 1967, which requires courts to consider “all the evidence” in determining intent or foresight. Excluding intoxication evidence would breach this, though she notes this objection does not apply to defences like self-defence (e.g., R. v Hatton [2005] EWCA Crim 2951), where different rules might justify exclusion. However, she finds it “undesirably complicated” to vary rules by issue type.</w:t>
      </w:r>
    </w:p>
    <w:p w14:paraId="3706495D" w14:textId="77777777" w:rsidR="009D7613" w:rsidRPr="009D7613" w:rsidRDefault="009D7613" w:rsidP="00083A6F">
      <w:pPr>
        <w:numPr>
          <w:ilvl w:val="2"/>
          <w:numId w:val="3"/>
        </w:numPr>
        <w:spacing w:after="240" w:line="360" w:lineRule="auto"/>
        <w:rPr>
          <w:rFonts w:ascii="Times New Roman" w:hAnsi="Times New Roman"/>
          <w:lang w:val="en-HK"/>
        </w:rPr>
      </w:pPr>
      <w:r w:rsidRPr="009D7613">
        <w:rPr>
          <w:rFonts w:ascii="Times New Roman" w:hAnsi="Times New Roman"/>
          <w:b/>
          <w:bCs/>
          <w:lang w:val="en-HK"/>
        </w:rPr>
        <w:t>Substantive Equivalence</w:t>
      </w:r>
      <w:r w:rsidRPr="009D7613">
        <w:rPr>
          <w:rFonts w:ascii="Times New Roman" w:hAnsi="Times New Roman"/>
          <w:lang w:val="en-HK"/>
        </w:rPr>
        <w:t xml:space="preserve">: The second option, deemed section 8-compliant, is that Majewski holds intoxication itself constitutes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for basic intent offences, a substantive rule. This aligns with House of Lords dicta in Majewski—e.g., Lord Elwyn-Jones and Lord Edmund-Davies framing intoxication as morally equivalent to recklessness—and the Law Commission’s 2008 view that judiciary classify offences as basic intent if intoxication without fault equates to the defined fault. Yet, Williams argues this supports her critique: it punishes drunkenness, not the crime, differing morally from usual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(e.g., lacking contemporaneity or specific foresight), as Heard later challenges.</w:t>
      </w:r>
    </w:p>
    <w:p w14:paraId="07395093" w14:textId="77777777" w:rsidR="009D7613" w:rsidRPr="009D7613" w:rsidRDefault="009D7613" w:rsidP="00083A6F">
      <w:pPr>
        <w:numPr>
          <w:ilvl w:val="2"/>
          <w:numId w:val="3"/>
        </w:numPr>
        <w:spacing w:after="240" w:line="360" w:lineRule="auto"/>
        <w:rPr>
          <w:rFonts w:ascii="Times New Roman" w:hAnsi="Times New Roman"/>
          <w:lang w:val="en-HK"/>
        </w:rPr>
      </w:pPr>
      <w:r w:rsidRPr="009D7613">
        <w:rPr>
          <w:rFonts w:ascii="Times New Roman" w:hAnsi="Times New Roman"/>
          <w:b/>
          <w:bCs/>
          <w:lang w:val="en-HK"/>
        </w:rPr>
        <w:t>Broad Equivalence and Hypothetical Test</w:t>
      </w:r>
      <w:r w:rsidRPr="009D7613">
        <w:rPr>
          <w:rFonts w:ascii="Times New Roman" w:hAnsi="Times New Roman"/>
          <w:lang w:val="en-HK"/>
        </w:rPr>
        <w:t xml:space="preserve">: The third interpretation arises from Heard, where Hughes L.J. rejected intoxication supplying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due to difficulties (e.g., punishing mere drunkenness without sober foreseeability), instead proposing “broadly equivalent culpability.” This aligns with the Judicial Studies Board (JSB) and Richardson and Irwin’s hypothetical test: would the defendant have foreseen harm if sober? Supported by section 6(5) of the Public Order Act 1986, this asks juries to assess a sober mindset, but Williams critiques its proximity to section 8’s prohibition and its demand for juries to imagine a non-existent sober defendant, shifting towards objective recklessness inconsistent with R. v G. and R. [2003] UKHL 50.</w:t>
      </w:r>
    </w:p>
    <w:p w14:paraId="3CD4DE6F" w14:textId="77777777" w:rsidR="009D7613" w:rsidRPr="009D7613" w:rsidRDefault="009D7613" w:rsidP="00083A6F">
      <w:pPr>
        <w:spacing w:after="240" w:line="360" w:lineRule="auto"/>
        <w:rPr>
          <w:rFonts w:ascii="Times New Roman" w:hAnsi="Times New Roman"/>
          <w:lang w:val="en-HK"/>
        </w:rPr>
      </w:pPr>
      <w:proofErr w:type="spellStart"/>
      <w:r w:rsidRPr="009D7613">
        <w:rPr>
          <w:rFonts w:ascii="Times New Roman" w:hAnsi="Times New Roman"/>
          <w:b/>
          <w:bCs/>
          <w:lang w:val="en-HK"/>
        </w:rPr>
        <w:t>Heard’s</w:t>
      </w:r>
      <w:proofErr w:type="spellEnd"/>
      <w:r w:rsidRPr="009D7613">
        <w:rPr>
          <w:rFonts w:ascii="Times New Roman" w:hAnsi="Times New Roman"/>
          <w:b/>
          <w:bCs/>
          <w:lang w:val="en-HK"/>
        </w:rPr>
        <w:t xml:space="preserve"> Implications</w:t>
      </w:r>
      <w:r w:rsidRPr="009D7613">
        <w:rPr>
          <w:rFonts w:ascii="Times New Roman" w:hAnsi="Times New Roman"/>
          <w:lang w:val="en-HK"/>
        </w:rPr>
        <w:t xml:space="preserve">: </w:t>
      </w:r>
      <w:proofErr w:type="spellStart"/>
      <w:r w:rsidRPr="009D7613">
        <w:rPr>
          <w:rFonts w:ascii="Times New Roman" w:hAnsi="Times New Roman"/>
          <w:lang w:val="en-HK"/>
        </w:rPr>
        <w:t>Heard’s</w:t>
      </w:r>
      <w:proofErr w:type="spellEnd"/>
      <w:r w:rsidRPr="009D7613">
        <w:rPr>
          <w:rFonts w:ascii="Times New Roman" w:hAnsi="Times New Roman"/>
          <w:lang w:val="en-HK"/>
        </w:rPr>
        <w:t xml:space="preserve"> downgrade of Majewski to “broad equivalence” raises two issues: its lack of authority to override the House of Lords and its conceptual vagueness—</w:t>
      </w:r>
      <w:r w:rsidRPr="009D7613">
        <w:rPr>
          <w:rFonts w:ascii="Times New Roman" w:hAnsi="Times New Roman"/>
          <w:lang w:val="en-HK"/>
        </w:rPr>
        <w:lastRenderedPageBreak/>
        <w:t xml:space="preserve">neither fully substantive nor evidential. Williams argues that if intoxication does not constitute recklessness, it cannot relieve the prosecution of proving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or bar its denial without breaching section 8, rendering the rule a policy choice to avoid acquittals, as Lord Salmon in Majewski conceded is illogical.</w:t>
      </w:r>
    </w:p>
    <w:p w14:paraId="4D6629A8"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b/>
          <w:bCs/>
          <w:lang w:val="en-HK"/>
        </w:rPr>
        <w:t>Moral and Legal Disconnect</w:t>
      </w:r>
      <w:r w:rsidRPr="009D7613">
        <w:rPr>
          <w:rFonts w:ascii="Times New Roman" w:hAnsi="Times New Roman"/>
          <w:lang w:val="en-HK"/>
        </w:rPr>
        <w:t>: The article asserts that all interpretations—whether substantive, broadly equivalent, or hypothetical—result in punishing intoxication, not the offence, contrasting with sober inadvertence (post-G. and R.) and highlighting a moral mismatch between drunken stupidity and deliberate fault.</w:t>
      </w:r>
    </w:p>
    <w:p w14:paraId="6358E9FF"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b/>
          <w:bCs/>
          <w:lang w:val="en-HK"/>
        </w:rPr>
        <w:t>Limited Applicability</w:t>
      </w:r>
      <w:r w:rsidRPr="009D7613">
        <w:rPr>
          <w:rFonts w:ascii="Times New Roman" w:hAnsi="Times New Roman"/>
          <w:lang w:val="en-HK"/>
        </w:rPr>
        <w:t xml:space="preserve">: </w:t>
      </w:r>
    </w:p>
    <w:p w14:paraId="6515BEEA" w14:textId="77777777" w:rsidR="009D7613" w:rsidRPr="009D7613" w:rsidRDefault="009D7613" w:rsidP="00083A6F">
      <w:pPr>
        <w:numPr>
          <w:ilvl w:val="1"/>
          <w:numId w:val="3"/>
        </w:numPr>
        <w:spacing w:after="240" w:line="360" w:lineRule="auto"/>
        <w:rPr>
          <w:rFonts w:ascii="Times New Roman" w:hAnsi="Times New Roman"/>
          <w:lang w:val="en-HK"/>
        </w:rPr>
      </w:pPr>
      <w:r w:rsidRPr="009D7613">
        <w:rPr>
          <w:rFonts w:ascii="Times New Roman" w:hAnsi="Times New Roman"/>
          <w:b/>
          <w:bCs/>
          <w:lang w:val="en-HK"/>
        </w:rPr>
        <w:t>Scope Restriction</w:t>
      </w:r>
      <w:r w:rsidRPr="009D7613">
        <w:rPr>
          <w:rFonts w:ascii="Times New Roman" w:hAnsi="Times New Roman"/>
          <w:lang w:val="en-HK"/>
        </w:rPr>
        <w:t>: The second flaw is that Majewski applies only to basic intent offences, traditionally reckless result crimes (e.g., assault causing harm), leaving specific intent offences (e.g., theft, murder) unaffected. This necessitates a line between the two, which Williams finds logically constrained and inconsistently applied.</w:t>
      </w:r>
    </w:p>
    <w:p w14:paraId="0E4A0AB3" w14:textId="77777777" w:rsidR="009D7613" w:rsidRPr="009D7613" w:rsidRDefault="009D7613" w:rsidP="00083A6F">
      <w:pPr>
        <w:numPr>
          <w:ilvl w:val="1"/>
          <w:numId w:val="3"/>
        </w:numPr>
        <w:spacing w:after="240" w:line="360" w:lineRule="auto"/>
        <w:rPr>
          <w:rFonts w:ascii="Times New Roman" w:hAnsi="Times New Roman"/>
          <w:lang w:val="en-HK"/>
        </w:rPr>
      </w:pPr>
      <w:r w:rsidRPr="009D7613">
        <w:rPr>
          <w:rFonts w:ascii="Times New Roman" w:hAnsi="Times New Roman"/>
          <w:b/>
          <w:bCs/>
          <w:lang w:val="en-HK"/>
        </w:rPr>
        <w:t>Logical Basis</w:t>
      </w:r>
      <w:r w:rsidRPr="009D7613">
        <w:rPr>
          <w:rFonts w:ascii="Times New Roman" w:hAnsi="Times New Roman"/>
          <w:lang w:val="en-HK"/>
        </w:rPr>
        <w:t xml:space="preserve">: She argues basic intent offences must involve an actus reus of producing a prohibited consequence with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satisfied by recklessness, as only here can the hypothetical test (sober foreseeability) make sense. For non-result crimes, like behaviour offences, asking what a sober defendant would foresee is incoherent if the actus reus lacks a result element.</w:t>
      </w:r>
    </w:p>
    <w:p w14:paraId="498939E3" w14:textId="77777777" w:rsidR="009D7613" w:rsidRPr="009D7613" w:rsidRDefault="009D7613" w:rsidP="00083A6F">
      <w:pPr>
        <w:numPr>
          <w:ilvl w:val="1"/>
          <w:numId w:val="3"/>
        </w:numPr>
        <w:spacing w:after="240" w:line="360" w:lineRule="auto"/>
        <w:rPr>
          <w:rFonts w:ascii="Times New Roman" w:hAnsi="Times New Roman"/>
          <w:lang w:val="en-HK"/>
        </w:rPr>
      </w:pPr>
      <w:proofErr w:type="spellStart"/>
      <w:r w:rsidRPr="009D7613">
        <w:rPr>
          <w:rFonts w:ascii="Times New Roman" w:hAnsi="Times New Roman"/>
          <w:b/>
          <w:bCs/>
          <w:lang w:val="en-HK"/>
        </w:rPr>
        <w:t>Heard’s</w:t>
      </w:r>
      <w:proofErr w:type="spellEnd"/>
      <w:r w:rsidRPr="009D7613">
        <w:rPr>
          <w:rFonts w:ascii="Times New Roman" w:hAnsi="Times New Roman"/>
          <w:b/>
          <w:bCs/>
          <w:lang w:val="en-HK"/>
        </w:rPr>
        <w:t xml:space="preserve"> Extension</w:t>
      </w:r>
      <w:r w:rsidRPr="009D7613">
        <w:rPr>
          <w:rFonts w:ascii="Times New Roman" w:hAnsi="Times New Roman"/>
          <w:lang w:val="en-HK"/>
        </w:rPr>
        <w:t>: Heard extended Majewski to sexual assault under section 3 of the Sexual Offences Act 2003, a behaviour crime requiring intentional touching. The Court of Appeal, per Hughes L.J., rejected counsel’s claim that intent made it specific intent, reinterpreting Lord Elwyn-Jones’ “ulterior intent” test to exclude offences without intent beyond the actus reus. Williams critiques this as illogical: section 3’s intentional touching does not fit Majewski’s reckless result paradigm.</w:t>
      </w:r>
    </w:p>
    <w:p w14:paraId="307E9088" w14:textId="77777777" w:rsidR="009D7613" w:rsidRPr="009D7613" w:rsidRDefault="009D7613" w:rsidP="00083A6F">
      <w:pPr>
        <w:numPr>
          <w:ilvl w:val="1"/>
          <w:numId w:val="3"/>
        </w:numPr>
        <w:spacing w:after="240" w:line="360" w:lineRule="auto"/>
        <w:rPr>
          <w:rFonts w:ascii="Times New Roman" w:hAnsi="Times New Roman"/>
          <w:lang w:val="en-HK"/>
        </w:rPr>
      </w:pPr>
      <w:r w:rsidRPr="009D7613">
        <w:rPr>
          <w:rFonts w:ascii="Times New Roman" w:hAnsi="Times New Roman"/>
          <w:b/>
          <w:bCs/>
          <w:lang w:val="en-HK"/>
        </w:rPr>
        <w:t>Practical Problems</w:t>
      </w:r>
      <w:r w:rsidRPr="009D7613">
        <w:rPr>
          <w:rFonts w:ascii="Times New Roman" w:hAnsi="Times New Roman"/>
          <w:lang w:val="en-HK"/>
        </w:rPr>
        <w:t xml:space="preserve">: Two issues arise, per Ormerod: </w:t>
      </w:r>
    </w:p>
    <w:p w14:paraId="027B8DCC" w14:textId="77777777" w:rsidR="009D7613" w:rsidRPr="009D7613" w:rsidRDefault="009D7613" w:rsidP="00083A6F">
      <w:pPr>
        <w:numPr>
          <w:ilvl w:val="2"/>
          <w:numId w:val="3"/>
        </w:numPr>
        <w:spacing w:after="240" w:line="360" w:lineRule="auto"/>
        <w:rPr>
          <w:rFonts w:ascii="Times New Roman" w:hAnsi="Times New Roman"/>
          <w:lang w:val="en-HK"/>
        </w:rPr>
      </w:pPr>
      <w:r w:rsidRPr="009D7613">
        <w:rPr>
          <w:rFonts w:ascii="Times New Roman" w:hAnsi="Times New Roman"/>
          <w:b/>
          <w:bCs/>
          <w:lang w:val="en-HK"/>
        </w:rPr>
        <w:t>Semi-Intentional Acts</w:t>
      </w:r>
      <w:r w:rsidRPr="009D7613">
        <w:rPr>
          <w:rFonts w:ascii="Times New Roman" w:hAnsi="Times New Roman"/>
          <w:lang w:val="en-HK"/>
        </w:rPr>
        <w:t xml:space="preserve">: A defendant intending to avoid touching but reckless about it (e.g., stopping short but failing) falls outside section 3’s intent requirement. </w:t>
      </w:r>
      <w:proofErr w:type="spellStart"/>
      <w:r w:rsidRPr="009D7613">
        <w:rPr>
          <w:rFonts w:ascii="Times New Roman" w:hAnsi="Times New Roman"/>
          <w:lang w:val="en-HK"/>
        </w:rPr>
        <w:t>Heard’s</w:t>
      </w:r>
      <w:proofErr w:type="spellEnd"/>
      <w:r w:rsidRPr="009D7613">
        <w:rPr>
          <w:rFonts w:ascii="Times New Roman" w:hAnsi="Times New Roman"/>
          <w:lang w:val="en-HK"/>
        </w:rPr>
        <w:t xml:space="preserve"> “flailing” dichotomy avoids this, but Williams argues it misses the point: such defendants deny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not voluntariness, and Majewski’s test cannot logically apply.</w:t>
      </w:r>
    </w:p>
    <w:p w14:paraId="58FB7D29" w14:textId="77777777" w:rsidR="009D7613" w:rsidRPr="009D7613" w:rsidRDefault="009D7613" w:rsidP="00083A6F">
      <w:pPr>
        <w:numPr>
          <w:ilvl w:val="2"/>
          <w:numId w:val="3"/>
        </w:numPr>
        <w:spacing w:after="240" w:line="360" w:lineRule="auto"/>
        <w:rPr>
          <w:rFonts w:ascii="Times New Roman" w:hAnsi="Times New Roman"/>
          <w:lang w:val="en-HK"/>
        </w:rPr>
      </w:pPr>
      <w:r w:rsidRPr="009D7613">
        <w:rPr>
          <w:rFonts w:ascii="Times New Roman" w:hAnsi="Times New Roman"/>
          <w:b/>
          <w:bCs/>
          <w:lang w:val="en-HK"/>
        </w:rPr>
        <w:lastRenderedPageBreak/>
        <w:t>Hallucinatory Acts</w:t>
      </w:r>
      <w:r w:rsidRPr="009D7613">
        <w:rPr>
          <w:rFonts w:ascii="Times New Roman" w:hAnsi="Times New Roman"/>
          <w:lang w:val="en-HK"/>
        </w:rPr>
        <w:t>: A Lipman-style defendant (e.g., touching a breast believing it’s an animal) lacks intent to touch a person. Majewski cannot equate intoxication with this intent, nor can barring evidence comply with section 8. The Law Commission’s 2008 suggestion—treating the defendant as aware of risks soberly foreseeable—still fails to bridge intent and hallucination morally, unlike recklessness in result crimes.</w:t>
      </w:r>
    </w:p>
    <w:p w14:paraId="42FD74A0" w14:textId="77777777" w:rsidR="009D7613" w:rsidRPr="009D7613" w:rsidRDefault="009D7613" w:rsidP="00083A6F">
      <w:pPr>
        <w:numPr>
          <w:ilvl w:val="1"/>
          <w:numId w:val="3"/>
        </w:numPr>
        <w:spacing w:after="240" w:line="360" w:lineRule="auto"/>
        <w:rPr>
          <w:rFonts w:ascii="Times New Roman" w:hAnsi="Times New Roman"/>
          <w:lang w:val="en-HK"/>
        </w:rPr>
      </w:pPr>
      <w:r w:rsidRPr="009D7613">
        <w:rPr>
          <w:rFonts w:ascii="Times New Roman" w:hAnsi="Times New Roman"/>
          <w:b/>
          <w:bCs/>
          <w:lang w:val="en-HK"/>
        </w:rPr>
        <w:t>Conclusion on Scope</w:t>
      </w:r>
      <w:r w:rsidRPr="009D7613">
        <w:rPr>
          <w:rFonts w:ascii="Times New Roman" w:hAnsi="Times New Roman"/>
          <w:lang w:val="en-HK"/>
        </w:rPr>
        <w:t xml:space="preserve">: Williams concludes the rules only work for reckless result crimes, leaving behaviour crimes like section 3 to ordinary law, effectively treating intent as specific intent, as </w:t>
      </w:r>
      <w:proofErr w:type="spellStart"/>
      <w:r w:rsidRPr="009D7613">
        <w:rPr>
          <w:rFonts w:ascii="Times New Roman" w:hAnsi="Times New Roman"/>
          <w:lang w:val="en-HK"/>
        </w:rPr>
        <w:t>Heard’s</w:t>
      </w:r>
      <w:proofErr w:type="spellEnd"/>
      <w:r w:rsidRPr="009D7613">
        <w:rPr>
          <w:rFonts w:ascii="Times New Roman" w:hAnsi="Times New Roman"/>
          <w:lang w:val="en-HK"/>
        </w:rPr>
        <w:t xml:space="preserve"> counsel urged. The court’s desire to criminalize intoxication exceeds the rules’ logical scope.</w:t>
      </w:r>
    </w:p>
    <w:p w14:paraId="106FE9BB"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lang w:val="en-HK"/>
        </w:rPr>
        <w:t>These detailed critiques underscore the rules’ incoherence and narrow reach, challenging their alignment with criminal law principles.</w:t>
      </w:r>
    </w:p>
    <w:p w14:paraId="306668FA" w14:textId="77777777" w:rsidR="009D7613" w:rsidRPr="009D7613" w:rsidRDefault="009D7613" w:rsidP="00083A6F">
      <w:pPr>
        <w:spacing w:after="240" w:line="360" w:lineRule="auto"/>
        <w:outlineLvl w:val="3"/>
        <w:rPr>
          <w:rFonts w:ascii="Times New Roman" w:hAnsi="Times New Roman"/>
          <w:b/>
          <w:bCs/>
          <w:lang w:val="en-HK"/>
        </w:rPr>
      </w:pPr>
      <w:r w:rsidRPr="009D7613">
        <w:rPr>
          <w:rFonts w:ascii="Times New Roman" w:hAnsi="Times New Roman"/>
          <w:b/>
          <w:bCs/>
          <w:lang w:val="en-HK"/>
        </w:rPr>
        <w:t>4. Alternatives to Majewski</w:t>
      </w:r>
    </w:p>
    <w:p w14:paraId="63D60194"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lang w:val="en-HK"/>
        </w:rPr>
        <w:t>Williams proposes a new offence—“committing [the actus reus of offence X] while intoxicated”—to replace Majewski, addressing its flaws by explicitly linking liability to intoxication and harm across all offence types, eliminating the specific/basic intent distinction. She explores this alternative in depth for result and behaviour crimes, contrasting it with other options and responding to objections.</w:t>
      </w:r>
    </w:p>
    <w:p w14:paraId="240784E7"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b/>
          <w:bCs/>
          <w:lang w:val="en-HK"/>
        </w:rPr>
        <w:t>Result Crimes</w:t>
      </w:r>
      <w:r w:rsidRPr="009D7613">
        <w:rPr>
          <w:rFonts w:ascii="Times New Roman" w:hAnsi="Times New Roman"/>
          <w:lang w:val="en-HK"/>
        </w:rPr>
        <w:t xml:space="preserve">: </w:t>
      </w:r>
    </w:p>
    <w:p w14:paraId="4F82483E"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Framework</w:t>
      </w:r>
      <w:r w:rsidRPr="009D7613">
        <w:rPr>
          <w:rFonts w:ascii="Times New Roman" w:hAnsi="Times New Roman"/>
          <w:lang w:val="en-HK"/>
        </w:rPr>
        <w:t xml:space="preserve">: For crimes like criminal damage or manslaughter, where actus reus is a prohibited outcome, the proposal uses three questions: (1) Did the defendant commit the actus reus with full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(e.g., intent or recklessness), leading to full offence conviction? (2) Would even a sober, reasonable person in the defendant’s position commit it without foreseeing harm (e.g., due to </w:t>
      </w:r>
      <w:proofErr w:type="spellStart"/>
      <w:r w:rsidRPr="009D7613">
        <w:rPr>
          <w:rFonts w:ascii="Times New Roman" w:hAnsi="Times New Roman"/>
          <w:lang w:val="en-HK"/>
        </w:rPr>
        <w:t>unforeseeability</w:t>
      </w:r>
      <w:proofErr w:type="spellEnd"/>
      <w:r w:rsidRPr="009D7613">
        <w:rPr>
          <w:rFonts w:ascii="Times New Roman" w:hAnsi="Times New Roman"/>
          <w:lang w:val="en-HK"/>
        </w:rPr>
        <w:t xml:space="preserve"> or lawful excuse), leading to acquittal? (3) Did intoxication cause a lack of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where a sober, reasonable person would foresee harm and avoid acting, leading to conviction of the new offence?</w:t>
      </w:r>
    </w:p>
    <w:p w14:paraId="541A4073"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Examples</w:t>
      </w:r>
      <w:r w:rsidRPr="009D7613">
        <w:rPr>
          <w:rFonts w:ascii="Times New Roman" w:hAnsi="Times New Roman"/>
          <w:lang w:val="en-HK"/>
        </w:rPr>
        <w:t xml:space="preserve">: In Majewski, the defendant’s intoxicated assaults would likely fall under (1) if intent was present, or (3) if intoxication negated foresight, resulting in “causing harm </w:t>
      </w:r>
      <w:r w:rsidRPr="009D7613">
        <w:rPr>
          <w:rFonts w:ascii="Times New Roman" w:hAnsi="Times New Roman"/>
          <w:lang w:val="en-HK"/>
        </w:rPr>
        <w:lastRenderedPageBreak/>
        <w:t>while intoxicated.” The 1993 Law Commission example of throwing a dustbin without foreseeing harm fits (3), contrasting with Majewski’s full offence conviction.</w:t>
      </w:r>
    </w:p>
    <w:p w14:paraId="0E275206"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Advantages</w:t>
      </w:r>
      <w:r w:rsidRPr="009D7613">
        <w:rPr>
          <w:rFonts w:ascii="Times New Roman" w:hAnsi="Times New Roman"/>
          <w:lang w:val="en-HK"/>
        </w:rPr>
        <w:t xml:space="preserve">: This avoids Majewski’s blanket liability, offering precise labelling (e.g., “causing harm while intoxicated” vs. assault), and addresses </w:t>
      </w:r>
      <w:proofErr w:type="spellStart"/>
      <w:r w:rsidRPr="009D7613">
        <w:rPr>
          <w:rFonts w:ascii="Times New Roman" w:hAnsi="Times New Roman"/>
          <w:lang w:val="en-HK"/>
        </w:rPr>
        <w:t>Shimmen</w:t>
      </w:r>
      <w:proofErr w:type="spellEnd"/>
      <w:r w:rsidRPr="009D7613">
        <w:rPr>
          <w:rFonts w:ascii="Times New Roman" w:hAnsi="Times New Roman"/>
          <w:lang w:val="en-HK"/>
        </w:rPr>
        <w:t>-style cases (e.g., over-optimistic risk miscalculation) by distinguishing foresight (full offence) from intoxication-induced inadvertence (new offence). It reflects harm’s role, unlike the Law Commission’s single “criminal intoxication” offence.</w:t>
      </w:r>
    </w:p>
    <w:p w14:paraId="15826648"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b/>
          <w:bCs/>
          <w:lang w:val="en-HK"/>
        </w:rPr>
        <w:t>Behaviour Crimes</w:t>
      </w:r>
      <w:r w:rsidRPr="009D7613">
        <w:rPr>
          <w:rFonts w:ascii="Times New Roman" w:hAnsi="Times New Roman"/>
          <w:lang w:val="en-HK"/>
        </w:rPr>
        <w:t xml:space="preserve">: </w:t>
      </w:r>
    </w:p>
    <w:p w14:paraId="469A912D"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Application</w:t>
      </w:r>
      <w:r w:rsidRPr="009D7613">
        <w:rPr>
          <w:rFonts w:ascii="Times New Roman" w:hAnsi="Times New Roman"/>
          <w:lang w:val="en-HK"/>
        </w:rPr>
        <w:t xml:space="preserve">: For offences like sexual assault (section 3, SOA 2003) or theft, the same framework applies: full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(conviction), sober reasonable action (acquittal), or intoxication-induced lack of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(new offence). This covers </w:t>
      </w:r>
      <w:proofErr w:type="spellStart"/>
      <w:r w:rsidRPr="009D7613">
        <w:rPr>
          <w:rFonts w:ascii="Times New Roman" w:hAnsi="Times New Roman"/>
          <w:lang w:val="en-HK"/>
        </w:rPr>
        <w:t>Heard’s</w:t>
      </w:r>
      <w:proofErr w:type="spellEnd"/>
      <w:r w:rsidRPr="009D7613">
        <w:rPr>
          <w:rFonts w:ascii="Times New Roman" w:hAnsi="Times New Roman"/>
          <w:lang w:val="en-HK"/>
        </w:rPr>
        <w:t xml:space="preserve"> semi-intentional touching (intending to stop short but failing) or intoxicated theft lacking dishonesty or intent to deprive permanently.</w:t>
      </w:r>
    </w:p>
    <w:p w14:paraId="32C04DF4"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Contrast with Majewski</w:t>
      </w:r>
      <w:r w:rsidRPr="009D7613">
        <w:rPr>
          <w:rFonts w:ascii="Times New Roman" w:hAnsi="Times New Roman"/>
          <w:lang w:val="en-HK"/>
        </w:rPr>
        <w:t>: Unlike Majewski’s struggle with behaviour crimes—where the Richardson and Irwin test (sober foreseeability) fits poorly—the proposal recognizes the actus reus (e.g., touching, appropriation) plus intoxication, not forcing intent equivalence. It asks whether a sober, reasonable person would act differently, not foresee harm, aligning liability with intoxication’s impact.</w:t>
      </w:r>
    </w:p>
    <w:p w14:paraId="167B64FB"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Need and Scope</w:t>
      </w:r>
      <w:r w:rsidRPr="009D7613">
        <w:rPr>
          <w:rFonts w:ascii="Times New Roman" w:hAnsi="Times New Roman"/>
          <w:lang w:val="en-HK"/>
        </w:rPr>
        <w:t>: While rarer (many behaviour crimes involve intent, as in Heard), such cases exist, and the proposal’s phrasing—“committing [actus reus] while intoxicated”—ensures flexibility across result and behaviour crimes, avoiding Majewski’s result-centric limit.</w:t>
      </w:r>
    </w:p>
    <w:p w14:paraId="16DDB4C6"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b/>
          <w:bCs/>
          <w:lang w:val="en-HK"/>
        </w:rPr>
        <w:t>Comparison to Other Options</w:t>
      </w:r>
      <w:r w:rsidRPr="009D7613">
        <w:rPr>
          <w:rFonts w:ascii="Times New Roman" w:hAnsi="Times New Roman"/>
          <w:lang w:val="en-HK"/>
        </w:rPr>
        <w:t xml:space="preserve">: </w:t>
      </w:r>
    </w:p>
    <w:p w14:paraId="526CBD43"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Abolishing Majewski</w:t>
      </w:r>
      <w:r w:rsidRPr="009D7613">
        <w:rPr>
          <w:rFonts w:ascii="Times New Roman" w:hAnsi="Times New Roman"/>
          <w:lang w:val="en-HK"/>
        </w:rPr>
        <w:t>: Complete abolition risks acquitting high-profile intoxicated offenders, damaging public trust, as Queen’s Bench judges warned in 1995. Williams deems this impractical without a replacement.</w:t>
      </w:r>
    </w:p>
    <w:p w14:paraId="30A5890F"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Scottish Approach</w:t>
      </w:r>
      <w:r w:rsidRPr="009D7613">
        <w:rPr>
          <w:rFonts w:ascii="Times New Roman" w:hAnsi="Times New Roman"/>
          <w:lang w:val="en-HK"/>
        </w:rPr>
        <w:t>: Barring intoxication evidence entirely avoids the specific/basic divide but punishes intoxicated inadvertence while excusing sober inadvertence (post-G. and R.), retaining the intoxication focus Williams critiques.</w:t>
      </w:r>
    </w:p>
    <w:p w14:paraId="5987D67F"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lastRenderedPageBreak/>
        <w:t>Law Commission’s 1993 Proposal</w:t>
      </w:r>
      <w:r w:rsidRPr="009D7613">
        <w:rPr>
          <w:rFonts w:ascii="Times New Roman" w:hAnsi="Times New Roman"/>
          <w:lang w:val="en-HK"/>
        </w:rPr>
        <w:t>: A single “criminal intoxication” offence, supported by some (e.g., Virgo, Chalmers), openly criminalizes intoxication but lumps vandals with killers, lacking harm-specificity. Williams’ proposal refines this by tying liability to each offence’s actus reus, improving labelling and avoiding inchoate-style criminalization of intoxication alone, unlike possession or dangerous driving offences.</w:t>
      </w:r>
    </w:p>
    <w:p w14:paraId="4B3C9C01"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b/>
          <w:bCs/>
          <w:lang w:val="en-HK"/>
        </w:rPr>
        <w:t>Objections and Responses</w:t>
      </w:r>
      <w:r w:rsidRPr="009D7613">
        <w:rPr>
          <w:rFonts w:ascii="Times New Roman" w:hAnsi="Times New Roman"/>
          <w:lang w:val="en-HK"/>
        </w:rPr>
        <w:t xml:space="preserve">: </w:t>
      </w:r>
    </w:p>
    <w:p w14:paraId="6F39B258"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Williams/Smith Precedent</w:t>
      </w:r>
      <w:r w:rsidRPr="009D7613">
        <w:rPr>
          <w:rFonts w:ascii="Times New Roman" w:hAnsi="Times New Roman"/>
          <w:lang w:val="en-HK"/>
        </w:rPr>
        <w:t>: Similar to Glanville Williams and J.C. Smith’s proposal, rejected by the Law Commission for covering only basic intent and jury complexity, Williams’ version extends to all offences, eliminating the distinction, and justifies broader culpability by intoxication’s prevalence (e.g., Cardiff study).</w:t>
      </w:r>
    </w:p>
    <w:p w14:paraId="137BCDF6"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Sentencing</w:t>
      </w:r>
      <w:r w:rsidRPr="009D7613">
        <w:rPr>
          <w:rFonts w:ascii="Times New Roman" w:hAnsi="Times New Roman"/>
          <w:lang w:val="en-HK"/>
        </w:rPr>
        <w:t>: The Law Commission objected that equal sentencing to the full offence reduces forensic exploration. Williams counters that sentencing guidelines can differentiate (e.g., lower tariffs for intoxication-based convictions), aiding judges and rehabilitation (e.g., Criminal Justice Act 2003, ss. 209-212), without needing higher maximums, given intoxication’s lesser culpability.</w:t>
      </w:r>
    </w:p>
    <w:p w14:paraId="0F9910BD"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Hypothetical Questions</w:t>
      </w:r>
      <w:r w:rsidRPr="009D7613">
        <w:rPr>
          <w:rFonts w:ascii="Times New Roman" w:hAnsi="Times New Roman"/>
          <w:lang w:val="en-HK"/>
        </w:rPr>
        <w:t xml:space="preserve">: The hypothetical sober-foresight test persists as an objection, but Williams reframes it objectively (reasonable person in defendant’s position), simplifying jury tasks and ensuring causation between intoxication and </w:t>
      </w:r>
      <w:proofErr w:type="spellStart"/>
      <w:r w:rsidRPr="009D7613">
        <w:rPr>
          <w:rFonts w:ascii="Times New Roman" w:hAnsi="Times New Roman"/>
          <w:lang w:val="en-HK"/>
        </w:rPr>
        <w:t>mens</w:t>
      </w:r>
      <w:proofErr w:type="spellEnd"/>
      <w:r w:rsidRPr="009D7613">
        <w:rPr>
          <w:rFonts w:ascii="Times New Roman" w:hAnsi="Times New Roman"/>
          <w:lang w:val="en-HK"/>
        </w:rPr>
        <w:t xml:space="preserve"> rea absence, addressing Law Commission concerns.</w:t>
      </w:r>
    </w:p>
    <w:p w14:paraId="7E23E93D" w14:textId="77777777" w:rsidR="009D7613" w:rsidRPr="009D7613"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b/>
          <w:bCs/>
          <w:lang w:val="en-HK"/>
        </w:rPr>
        <w:t>Split Juries</w:t>
      </w:r>
      <w:r w:rsidRPr="009D7613">
        <w:rPr>
          <w:rFonts w:ascii="Times New Roman" w:hAnsi="Times New Roman"/>
          <w:lang w:val="en-HK"/>
        </w:rPr>
        <w:t>: The risk of split juries is acknowledged, but Williams cites the Law Commission’s 1993 view that juries handle alternative verdicts elsewhere (e.g., murder/manslaughter), suggesting majority verdicts mitigate this, making it a manageable concern.</w:t>
      </w:r>
    </w:p>
    <w:p w14:paraId="42B7CD69" w14:textId="77777777" w:rsidR="009D7613" w:rsidRPr="009D7613" w:rsidRDefault="009D7613" w:rsidP="00083A6F">
      <w:pPr>
        <w:spacing w:after="240" w:line="360" w:lineRule="auto"/>
        <w:rPr>
          <w:rFonts w:ascii="Times New Roman" w:hAnsi="Times New Roman"/>
          <w:lang w:val="en-HK"/>
        </w:rPr>
      </w:pPr>
      <w:r w:rsidRPr="009D7613">
        <w:rPr>
          <w:rFonts w:ascii="Times New Roman" w:hAnsi="Times New Roman"/>
          <w:b/>
          <w:bCs/>
          <w:lang w:val="en-HK"/>
        </w:rPr>
        <w:t>Broader Implications</w:t>
      </w:r>
      <w:r w:rsidRPr="009D7613">
        <w:rPr>
          <w:rFonts w:ascii="Times New Roman" w:hAnsi="Times New Roman"/>
          <w:lang w:val="en-HK"/>
        </w:rPr>
        <w:t xml:space="preserve">: </w:t>
      </w:r>
    </w:p>
    <w:p w14:paraId="204FFF8D" w14:textId="77777777" w:rsidR="009D7613" w:rsidRPr="00083A6F" w:rsidRDefault="009D7613" w:rsidP="00083A6F">
      <w:pPr>
        <w:numPr>
          <w:ilvl w:val="1"/>
          <w:numId w:val="4"/>
        </w:numPr>
        <w:spacing w:after="240" w:line="360" w:lineRule="auto"/>
        <w:rPr>
          <w:rFonts w:ascii="Times New Roman" w:hAnsi="Times New Roman"/>
          <w:lang w:val="en-HK"/>
        </w:rPr>
      </w:pPr>
      <w:r w:rsidRPr="009D7613">
        <w:rPr>
          <w:rFonts w:ascii="Times New Roman" w:hAnsi="Times New Roman"/>
          <w:lang w:val="en-HK"/>
        </w:rPr>
        <w:t xml:space="preserve">The proposal jettisons the specific/basic divide, critiqued as obscure (per Ormerod) and hard to locate (contra </w:t>
      </w:r>
      <w:proofErr w:type="spellStart"/>
      <w:r w:rsidRPr="009D7613">
        <w:rPr>
          <w:rFonts w:ascii="Times New Roman" w:hAnsi="Times New Roman"/>
          <w:lang w:val="en-HK"/>
        </w:rPr>
        <w:t>Horder</w:t>
      </w:r>
      <w:proofErr w:type="spellEnd"/>
      <w:r w:rsidRPr="009D7613">
        <w:rPr>
          <w:rFonts w:ascii="Times New Roman" w:hAnsi="Times New Roman"/>
          <w:lang w:val="en-HK"/>
        </w:rPr>
        <w:t xml:space="preserve">, </w:t>
      </w:r>
      <w:proofErr w:type="spellStart"/>
      <w:r w:rsidRPr="009D7613">
        <w:rPr>
          <w:rFonts w:ascii="Times New Roman" w:hAnsi="Times New Roman"/>
          <w:lang w:val="en-HK"/>
        </w:rPr>
        <w:t>Simester</w:t>
      </w:r>
      <w:proofErr w:type="spellEnd"/>
      <w:r w:rsidRPr="009D7613">
        <w:rPr>
          <w:rFonts w:ascii="Times New Roman" w:hAnsi="Times New Roman"/>
          <w:lang w:val="en-HK"/>
        </w:rPr>
        <w:t>), simplifying classification of new offences (e.g., SOA 2003 changes). It aligns with victim perspectives—why not punish intoxicated theft like damage?—and offers a coherent, harm-specific alternative to Majewski’s pragmatic but flawed compromise.</w:t>
      </w:r>
    </w:p>
    <w:p w14:paraId="6DBA645A" w14:textId="77777777" w:rsidR="00083A6F" w:rsidRPr="00083A6F" w:rsidRDefault="00083A6F" w:rsidP="00083A6F">
      <w:pPr>
        <w:spacing w:after="240" w:line="360" w:lineRule="auto"/>
        <w:outlineLvl w:val="3"/>
        <w:rPr>
          <w:rFonts w:ascii="Times New Roman" w:hAnsi="Times New Roman"/>
          <w:b/>
          <w:bCs/>
          <w:lang w:val="en-HK"/>
        </w:rPr>
      </w:pPr>
      <w:r w:rsidRPr="00083A6F">
        <w:rPr>
          <w:rFonts w:ascii="Times New Roman" w:hAnsi="Times New Roman"/>
          <w:b/>
          <w:bCs/>
          <w:lang w:val="en-HK"/>
        </w:rPr>
        <w:lastRenderedPageBreak/>
        <w:t>5. Intoxication and Automatism: the Outer Limits of the Proposed Offence</w:t>
      </w:r>
    </w:p>
    <w:p w14:paraId="22A8CF07"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lang w:val="en-HK"/>
        </w:rPr>
        <w:t xml:space="preserve">In this section, Williams clarifies how her proposed offence—“committing [the actus reus of offence X] while intoxicated”—interacts with the concept of automatism, ensuring it does not exceed the boundaries established by current English law on voluntary intoxication. She examines the distinction between intoxication negating </w:t>
      </w:r>
      <w:proofErr w:type="spellStart"/>
      <w:r w:rsidRPr="00083A6F">
        <w:rPr>
          <w:rFonts w:ascii="Times New Roman" w:hAnsi="Times New Roman"/>
          <w:lang w:val="en-HK"/>
        </w:rPr>
        <w:t>mens</w:t>
      </w:r>
      <w:proofErr w:type="spellEnd"/>
      <w:r w:rsidRPr="00083A6F">
        <w:rPr>
          <w:rFonts w:ascii="Times New Roman" w:hAnsi="Times New Roman"/>
          <w:lang w:val="en-HK"/>
        </w:rPr>
        <w:t xml:space="preserve"> rea (guilty mind) and causing a state of automatism, where voluntary action itself is absent, to define the outer limits of her proposal’s application. This detailed exploration reinforces the proposal’s alignment with existing legal principles while addressing its scope beyond specific intent offences.</w:t>
      </w:r>
    </w:p>
    <w:p w14:paraId="411AFC76"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b/>
          <w:bCs/>
          <w:lang w:val="en-HK"/>
        </w:rPr>
        <w:t>Automatism Defined and Distinguished</w:t>
      </w:r>
      <w:r w:rsidRPr="00083A6F">
        <w:rPr>
          <w:rFonts w:ascii="Times New Roman" w:hAnsi="Times New Roman"/>
          <w:lang w:val="en-HK"/>
        </w:rPr>
        <w:t xml:space="preserve">: </w:t>
      </w:r>
    </w:p>
    <w:p w14:paraId="43540831" w14:textId="77777777" w:rsidR="00083A6F" w:rsidRPr="00083A6F" w:rsidRDefault="00083A6F" w:rsidP="00083A6F">
      <w:pPr>
        <w:numPr>
          <w:ilvl w:val="1"/>
          <w:numId w:val="5"/>
        </w:numPr>
        <w:spacing w:after="240" w:line="360" w:lineRule="auto"/>
        <w:rPr>
          <w:rFonts w:ascii="Times New Roman" w:hAnsi="Times New Roman"/>
          <w:lang w:val="en-HK"/>
        </w:rPr>
      </w:pPr>
      <w:r w:rsidRPr="00083A6F">
        <w:rPr>
          <w:rFonts w:ascii="Times New Roman" w:hAnsi="Times New Roman"/>
          <w:b/>
          <w:bCs/>
          <w:lang w:val="en-HK"/>
        </w:rPr>
        <w:t>Legal Principle</w:t>
      </w:r>
      <w:r w:rsidRPr="00083A6F">
        <w:rPr>
          <w:rFonts w:ascii="Times New Roman" w:hAnsi="Times New Roman"/>
          <w:lang w:val="en-HK"/>
        </w:rPr>
        <w:t xml:space="preserve">: Williams begins by referencing DPP v Beard [1920] A.C. 479, where Lord Birkenhead established that extreme intoxication inducing “a state of disease which causes such a degree of madness” excuses liability if it would do so from any other cause. This sets a precedent that automatism—a complete loss of voluntary control—differs from mere intoxication affecting </w:t>
      </w:r>
      <w:proofErr w:type="spellStart"/>
      <w:r w:rsidRPr="00083A6F">
        <w:rPr>
          <w:rFonts w:ascii="Times New Roman" w:hAnsi="Times New Roman"/>
          <w:lang w:val="en-HK"/>
        </w:rPr>
        <w:t>mens</w:t>
      </w:r>
      <w:proofErr w:type="spellEnd"/>
      <w:r w:rsidRPr="00083A6F">
        <w:rPr>
          <w:rFonts w:ascii="Times New Roman" w:hAnsi="Times New Roman"/>
          <w:lang w:val="en-HK"/>
        </w:rPr>
        <w:t xml:space="preserve"> rea, a distinction assumed in English law.</w:t>
      </w:r>
    </w:p>
    <w:p w14:paraId="09CB2B07" w14:textId="77777777" w:rsidR="00083A6F" w:rsidRPr="00083A6F" w:rsidRDefault="00083A6F" w:rsidP="00083A6F">
      <w:pPr>
        <w:numPr>
          <w:ilvl w:val="1"/>
          <w:numId w:val="5"/>
        </w:numPr>
        <w:spacing w:after="240" w:line="360" w:lineRule="auto"/>
        <w:rPr>
          <w:rFonts w:ascii="Times New Roman" w:hAnsi="Times New Roman"/>
          <w:lang w:val="en-HK"/>
        </w:rPr>
      </w:pPr>
      <w:r w:rsidRPr="00083A6F">
        <w:rPr>
          <w:rFonts w:ascii="Times New Roman" w:hAnsi="Times New Roman"/>
          <w:b/>
          <w:bCs/>
          <w:lang w:val="en-HK"/>
        </w:rPr>
        <w:t>Application in Heard</w:t>
      </w:r>
      <w:r w:rsidRPr="00083A6F">
        <w:rPr>
          <w:rFonts w:ascii="Times New Roman" w:hAnsi="Times New Roman"/>
          <w:lang w:val="en-HK"/>
        </w:rPr>
        <w:t xml:space="preserve">: The article cites R. v Heard [2007] EWCA Crim 125, where Hughes L.J. noted that a defendant “flailing” or “stumbling” due to intoxication would not be guilty of sexual assault under section 3 of the Sexual Offences Act 2003. This is because such actions deny the voluntariness of the actus reus (the physical act), not just the intent, placing them beyond the scope of intoxication rules that focus on </w:t>
      </w:r>
      <w:proofErr w:type="spellStart"/>
      <w:r w:rsidRPr="00083A6F">
        <w:rPr>
          <w:rFonts w:ascii="Times New Roman" w:hAnsi="Times New Roman"/>
          <w:lang w:val="en-HK"/>
        </w:rPr>
        <w:t>mens</w:t>
      </w:r>
      <w:proofErr w:type="spellEnd"/>
      <w:r w:rsidRPr="00083A6F">
        <w:rPr>
          <w:rFonts w:ascii="Times New Roman" w:hAnsi="Times New Roman"/>
          <w:lang w:val="en-HK"/>
        </w:rPr>
        <w:t xml:space="preserve"> rea.</w:t>
      </w:r>
    </w:p>
    <w:p w14:paraId="523E5C3F" w14:textId="77777777" w:rsidR="00083A6F" w:rsidRPr="00083A6F" w:rsidRDefault="00083A6F" w:rsidP="00083A6F">
      <w:pPr>
        <w:numPr>
          <w:ilvl w:val="1"/>
          <w:numId w:val="5"/>
        </w:numPr>
        <w:spacing w:after="240" w:line="360" w:lineRule="auto"/>
        <w:rPr>
          <w:rFonts w:ascii="Times New Roman" w:hAnsi="Times New Roman"/>
          <w:lang w:val="en-HK"/>
        </w:rPr>
      </w:pPr>
      <w:r w:rsidRPr="00083A6F">
        <w:rPr>
          <w:rFonts w:ascii="Times New Roman" w:hAnsi="Times New Roman"/>
          <w:b/>
          <w:bCs/>
          <w:lang w:val="en-HK"/>
        </w:rPr>
        <w:t xml:space="preserve">Contrast with </w:t>
      </w:r>
      <w:proofErr w:type="spellStart"/>
      <w:r w:rsidRPr="00083A6F">
        <w:rPr>
          <w:rFonts w:ascii="Times New Roman" w:hAnsi="Times New Roman"/>
          <w:b/>
          <w:bCs/>
          <w:lang w:val="en-HK"/>
        </w:rPr>
        <w:t>Mens</w:t>
      </w:r>
      <w:proofErr w:type="spellEnd"/>
      <w:r w:rsidRPr="00083A6F">
        <w:rPr>
          <w:rFonts w:ascii="Times New Roman" w:hAnsi="Times New Roman"/>
          <w:b/>
          <w:bCs/>
          <w:lang w:val="en-HK"/>
        </w:rPr>
        <w:t xml:space="preserve"> Rea Denial</w:t>
      </w:r>
      <w:r w:rsidRPr="00083A6F">
        <w:rPr>
          <w:rFonts w:ascii="Times New Roman" w:hAnsi="Times New Roman"/>
          <w:lang w:val="en-HK"/>
        </w:rPr>
        <w:t xml:space="preserve">: Williams emphasizes that her proposal targets cases where intoxication negates </w:t>
      </w:r>
      <w:proofErr w:type="spellStart"/>
      <w:r w:rsidRPr="00083A6F">
        <w:rPr>
          <w:rFonts w:ascii="Times New Roman" w:hAnsi="Times New Roman"/>
          <w:lang w:val="en-HK"/>
        </w:rPr>
        <w:t>mens</w:t>
      </w:r>
      <w:proofErr w:type="spellEnd"/>
      <w:r w:rsidRPr="00083A6F">
        <w:rPr>
          <w:rFonts w:ascii="Times New Roman" w:hAnsi="Times New Roman"/>
          <w:lang w:val="en-HK"/>
        </w:rPr>
        <w:t xml:space="preserve"> rea (e.g., foresight or intent), not where it renders actions involuntary. For instance, a defendant “flailing about” denies the actus reus itself, as seen in Bratty v Attorney General of Northern Ireland [1963] A.C. 386, whereas her offence addresses voluntary acts lacking the requisite mental state due to intoxication.</w:t>
      </w:r>
    </w:p>
    <w:p w14:paraId="3D65B946"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b/>
          <w:bCs/>
          <w:lang w:val="en-HK"/>
        </w:rPr>
        <w:t>Scope of the Proposed Offence</w:t>
      </w:r>
      <w:r w:rsidRPr="00083A6F">
        <w:rPr>
          <w:rFonts w:ascii="Times New Roman" w:hAnsi="Times New Roman"/>
          <w:lang w:val="en-HK"/>
        </w:rPr>
        <w:t xml:space="preserve">: </w:t>
      </w:r>
    </w:p>
    <w:p w14:paraId="02818AD9" w14:textId="77777777" w:rsidR="00083A6F" w:rsidRPr="00083A6F" w:rsidRDefault="00083A6F" w:rsidP="00083A6F">
      <w:pPr>
        <w:numPr>
          <w:ilvl w:val="1"/>
          <w:numId w:val="5"/>
        </w:numPr>
        <w:spacing w:after="240" w:line="360" w:lineRule="auto"/>
        <w:rPr>
          <w:rFonts w:ascii="Times New Roman" w:hAnsi="Times New Roman"/>
          <w:lang w:val="en-HK"/>
        </w:rPr>
      </w:pPr>
      <w:r w:rsidRPr="00083A6F">
        <w:rPr>
          <w:rFonts w:ascii="Times New Roman" w:hAnsi="Times New Roman"/>
          <w:b/>
          <w:bCs/>
          <w:lang w:val="en-HK"/>
        </w:rPr>
        <w:t>Alignment with Current Limits</w:t>
      </w:r>
      <w:r w:rsidRPr="00083A6F">
        <w:rPr>
          <w:rFonts w:ascii="Times New Roman" w:hAnsi="Times New Roman"/>
          <w:lang w:val="en-HK"/>
        </w:rPr>
        <w:t xml:space="preserve">: The proposed offence does not extend beyond Majewski’s current reach into automatism cases. Williams notes that it applies “beyond its extension to offences of specific intent” (e.g., covering theft or murder where intent is negated) and certain mistake cases (e.g., </w:t>
      </w:r>
      <w:proofErr w:type="spellStart"/>
      <w:r w:rsidRPr="00083A6F">
        <w:rPr>
          <w:rFonts w:ascii="Times New Roman" w:hAnsi="Times New Roman"/>
          <w:lang w:val="en-HK"/>
        </w:rPr>
        <w:t>Jaggard</w:t>
      </w:r>
      <w:proofErr w:type="spellEnd"/>
      <w:r w:rsidRPr="00083A6F">
        <w:rPr>
          <w:rFonts w:ascii="Times New Roman" w:hAnsi="Times New Roman"/>
          <w:lang w:val="en-HK"/>
        </w:rPr>
        <w:t xml:space="preserve"> v Dickinson [1981] Q.B. 527), but stops </w:t>
      </w:r>
      <w:r w:rsidRPr="00083A6F">
        <w:rPr>
          <w:rFonts w:ascii="Times New Roman" w:hAnsi="Times New Roman"/>
          <w:lang w:val="en-HK"/>
        </w:rPr>
        <w:lastRenderedPageBreak/>
        <w:t>short of involuntary actions. It thus mirrors Beard and Heard by excluding liability where intoxication causes automatism akin to insanity or total loss of control.</w:t>
      </w:r>
    </w:p>
    <w:p w14:paraId="3EB86732" w14:textId="77777777" w:rsidR="00083A6F" w:rsidRPr="00083A6F" w:rsidRDefault="00083A6F" w:rsidP="00083A6F">
      <w:pPr>
        <w:numPr>
          <w:ilvl w:val="1"/>
          <w:numId w:val="5"/>
        </w:numPr>
        <w:spacing w:after="240" w:line="360" w:lineRule="auto"/>
        <w:rPr>
          <w:rFonts w:ascii="Times New Roman" w:hAnsi="Times New Roman"/>
          <w:lang w:val="en-HK"/>
        </w:rPr>
      </w:pPr>
      <w:proofErr w:type="spellStart"/>
      <w:r w:rsidRPr="00083A6F">
        <w:rPr>
          <w:rFonts w:ascii="Times New Roman" w:hAnsi="Times New Roman"/>
          <w:b/>
          <w:bCs/>
          <w:lang w:val="en-HK"/>
        </w:rPr>
        <w:t>Jaggard</w:t>
      </w:r>
      <w:proofErr w:type="spellEnd"/>
      <w:r w:rsidRPr="00083A6F">
        <w:rPr>
          <w:rFonts w:ascii="Times New Roman" w:hAnsi="Times New Roman"/>
          <w:b/>
          <w:bCs/>
          <w:lang w:val="en-HK"/>
        </w:rPr>
        <w:t xml:space="preserve"> Example</w:t>
      </w:r>
      <w:r w:rsidRPr="00083A6F">
        <w:rPr>
          <w:rFonts w:ascii="Times New Roman" w:hAnsi="Times New Roman"/>
          <w:lang w:val="en-HK"/>
        </w:rPr>
        <w:t xml:space="preserve">: In </w:t>
      </w:r>
      <w:proofErr w:type="spellStart"/>
      <w:r w:rsidRPr="00083A6F">
        <w:rPr>
          <w:rFonts w:ascii="Times New Roman" w:hAnsi="Times New Roman"/>
          <w:lang w:val="en-HK"/>
        </w:rPr>
        <w:t>Jaggard</w:t>
      </w:r>
      <w:proofErr w:type="spellEnd"/>
      <w:r w:rsidRPr="00083A6F">
        <w:rPr>
          <w:rFonts w:ascii="Times New Roman" w:hAnsi="Times New Roman"/>
          <w:lang w:val="en-HK"/>
        </w:rPr>
        <w:t>, the defendant’s intoxicated belief in consent to damage property led to acquittal under section 5 of the Criminal Damage Act 1971. Williams’ proposal would convict such a defendant of “committing [damage] while intoxicated” if sober reasonableness would differ, but only for voluntary acts, not automatism. This illustrates its broader reach within voluntary conduct, not beyond into involuntary states.</w:t>
      </w:r>
    </w:p>
    <w:p w14:paraId="435BC421"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b/>
          <w:bCs/>
          <w:lang w:val="en-HK"/>
        </w:rPr>
        <w:t>Purpose and Continuity</w:t>
      </w:r>
      <w:r w:rsidRPr="00083A6F">
        <w:rPr>
          <w:rFonts w:ascii="Times New Roman" w:hAnsi="Times New Roman"/>
          <w:lang w:val="en-HK"/>
        </w:rPr>
        <w:t xml:space="preserve">: </w:t>
      </w:r>
    </w:p>
    <w:p w14:paraId="32800419" w14:textId="77777777" w:rsidR="00083A6F" w:rsidRPr="00083A6F" w:rsidRDefault="00083A6F" w:rsidP="00083A6F">
      <w:pPr>
        <w:numPr>
          <w:ilvl w:val="1"/>
          <w:numId w:val="5"/>
        </w:numPr>
        <w:spacing w:after="240" w:line="360" w:lineRule="auto"/>
        <w:rPr>
          <w:rFonts w:ascii="Times New Roman" w:hAnsi="Times New Roman"/>
          <w:lang w:val="en-HK"/>
        </w:rPr>
      </w:pPr>
      <w:r w:rsidRPr="00083A6F">
        <w:rPr>
          <w:rFonts w:ascii="Times New Roman" w:hAnsi="Times New Roman"/>
          <w:b/>
          <w:bCs/>
          <w:lang w:val="en-HK"/>
        </w:rPr>
        <w:t>Remedial Intent</w:t>
      </w:r>
      <w:r w:rsidRPr="00083A6F">
        <w:rPr>
          <w:rFonts w:ascii="Times New Roman" w:hAnsi="Times New Roman"/>
          <w:lang w:val="en-HK"/>
        </w:rPr>
        <w:t xml:space="preserve">: The sole aim, Williams explains, is to “remedy the situation” where intoxicated defendants are currently convicted of full offences (e.g., assault, manslaughter) despite lacking </w:t>
      </w:r>
      <w:proofErr w:type="spellStart"/>
      <w:r w:rsidRPr="00083A6F">
        <w:rPr>
          <w:rFonts w:ascii="Times New Roman" w:hAnsi="Times New Roman"/>
          <w:lang w:val="en-HK"/>
        </w:rPr>
        <w:t>mens</w:t>
      </w:r>
      <w:proofErr w:type="spellEnd"/>
      <w:r w:rsidRPr="00083A6F">
        <w:rPr>
          <w:rFonts w:ascii="Times New Roman" w:hAnsi="Times New Roman"/>
          <w:lang w:val="en-HK"/>
        </w:rPr>
        <w:t xml:space="preserve"> rea, as under Majewski. Her offence offers a distinct conviction—“committing [actus reus] while intoxicated”—to reflect this lack, rather than equating it to sober fault, but it respects automatism’s exclusion from liability.</w:t>
      </w:r>
    </w:p>
    <w:p w14:paraId="742A1250" w14:textId="77777777" w:rsidR="00083A6F" w:rsidRPr="00083A6F" w:rsidRDefault="00083A6F" w:rsidP="00083A6F">
      <w:pPr>
        <w:numPr>
          <w:ilvl w:val="1"/>
          <w:numId w:val="5"/>
        </w:numPr>
        <w:spacing w:after="240" w:line="360" w:lineRule="auto"/>
        <w:rPr>
          <w:rFonts w:ascii="Times New Roman" w:hAnsi="Times New Roman"/>
          <w:lang w:val="en-HK"/>
        </w:rPr>
      </w:pPr>
      <w:r w:rsidRPr="00083A6F">
        <w:rPr>
          <w:rFonts w:ascii="Times New Roman" w:hAnsi="Times New Roman"/>
          <w:b/>
          <w:bCs/>
          <w:lang w:val="en-HK"/>
        </w:rPr>
        <w:t>Preserving Distinction</w:t>
      </w:r>
      <w:r w:rsidRPr="00083A6F">
        <w:rPr>
          <w:rFonts w:ascii="Times New Roman" w:hAnsi="Times New Roman"/>
          <w:lang w:val="en-HK"/>
        </w:rPr>
        <w:t xml:space="preserve">: By maintaining this boundary, the proposal aligns with English law’s assumption that denying voluntariness (actus reus) differs fundamentally from denying </w:t>
      </w:r>
      <w:proofErr w:type="spellStart"/>
      <w:r w:rsidRPr="00083A6F">
        <w:rPr>
          <w:rFonts w:ascii="Times New Roman" w:hAnsi="Times New Roman"/>
          <w:lang w:val="en-HK"/>
        </w:rPr>
        <w:t>mens</w:t>
      </w:r>
      <w:proofErr w:type="spellEnd"/>
      <w:r w:rsidRPr="00083A6F">
        <w:rPr>
          <w:rFonts w:ascii="Times New Roman" w:hAnsi="Times New Roman"/>
          <w:lang w:val="en-HK"/>
        </w:rPr>
        <w:t xml:space="preserve"> rea. Williams cites no intent to alter this, ensuring her offence operates within, not beyond, current outer limits, unlike Canada’s Henri </w:t>
      </w:r>
      <w:proofErr w:type="spellStart"/>
      <w:r w:rsidRPr="00083A6F">
        <w:rPr>
          <w:rFonts w:ascii="Times New Roman" w:hAnsi="Times New Roman"/>
          <w:lang w:val="en-HK"/>
        </w:rPr>
        <w:t>Daviault</w:t>
      </w:r>
      <w:proofErr w:type="spellEnd"/>
      <w:r w:rsidRPr="00083A6F">
        <w:rPr>
          <w:rFonts w:ascii="Times New Roman" w:hAnsi="Times New Roman"/>
          <w:lang w:val="en-HK"/>
        </w:rPr>
        <w:t xml:space="preserve"> case, where extreme intoxication was controversially treated as a </w:t>
      </w:r>
      <w:proofErr w:type="spellStart"/>
      <w:r w:rsidRPr="00083A6F">
        <w:rPr>
          <w:rFonts w:ascii="Times New Roman" w:hAnsi="Times New Roman"/>
          <w:lang w:val="en-HK"/>
        </w:rPr>
        <w:t>mens</w:t>
      </w:r>
      <w:proofErr w:type="spellEnd"/>
      <w:r w:rsidRPr="00083A6F">
        <w:rPr>
          <w:rFonts w:ascii="Times New Roman" w:hAnsi="Times New Roman"/>
          <w:lang w:val="en-HK"/>
        </w:rPr>
        <w:t xml:space="preserve"> rea defence (later reversed legislatively).</w:t>
      </w:r>
    </w:p>
    <w:p w14:paraId="0D0D8219"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b/>
          <w:bCs/>
          <w:lang w:val="en-HK"/>
        </w:rPr>
        <w:t>Practical Implications</w:t>
      </w:r>
      <w:r w:rsidRPr="00083A6F">
        <w:rPr>
          <w:rFonts w:ascii="Times New Roman" w:hAnsi="Times New Roman"/>
          <w:lang w:val="en-HK"/>
        </w:rPr>
        <w:t xml:space="preserve">: </w:t>
      </w:r>
    </w:p>
    <w:p w14:paraId="5A44B64C" w14:textId="77777777" w:rsidR="00083A6F" w:rsidRPr="00083A6F" w:rsidRDefault="00083A6F" w:rsidP="00083A6F">
      <w:pPr>
        <w:numPr>
          <w:ilvl w:val="1"/>
          <w:numId w:val="5"/>
        </w:numPr>
        <w:spacing w:after="240" w:line="360" w:lineRule="auto"/>
        <w:rPr>
          <w:rFonts w:ascii="Times New Roman" w:hAnsi="Times New Roman"/>
          <w:lang w:val="en-HK"/>
        </w:rPr>
      </w:pPr>
      <w:r w:rsidRPr="00083A6F">
        <w:rPr>
          <w:rFonts w:ascii="Times New Roman" w:hAnsi="Times New Roman"/>
          <w:b/>
          <w:bCs/>
          <w:lang w:val="en-HK"/>
        </w:rPr>
        <w:t>Exclusion of Extreme Cases</w:t>
      </w:r>
      <w:r w:rsidRPr="00083A6F">
        <w:rPr>
          <w:rFonts w:ascii="Times New Roman" w:hAnsi="Times New Roman"/>
          <w:lang w:val="en-HK"/>
        </w:rPr>
        <w:t xml:space="preserve">: A defendant so intoxicated as to “flail” uncontrollably, as in Heard, or to enter a hallucinatory state akin to Lipman’s snake-wrestling (R. v Lipman [1970] 1 Q.B. 152), would fall outside the proposal if their actions were involuntary. Williams clarifies that her offence targets voluntary acts—like </w:t>
      </w:r>
      <w:proofErr w:type="spellStart"/>
      <w:r w:rsidRPr="00083A6F">
        <w:rPr>
          <w:rFonts w:ascii="Times New Roman" w:hAnsi="Times New Roman"/>
          <w:lang w:val="en-HK"/>
        </w:rPr>
        <w:t>Heard’s</w:t>
      </w:r>
      <w:proofErr w:type="spellEnd"/>
      <w:r w:rsidRPr="00083A6F">
        <w:rPr>
          <w:rFonts w:ascii="Times New Roman" w:hAnsi="Times New Roman"/>
          <w:lang w:val="en-HK"/>
        </w:rPr>
        <w:t xml:space="preserve"> deliberate rubbing—where intoxication affects intent or foresight, not control.</w:t>
      </w:r>
    </w:p>
    <w:p w14:paraId="19126AD0" w14:textId="77777777" w:rsidR="00083A6F" w:rsidRPr="00083A6F" w:rsidRDefault="00083A6F" w:rsidP="00083A6F">
      <w:pPr>
        <w:numPr>
          <w:ilvl w:val="1"/>
          <w:numId w:val="5"/>
        </w:numPr>
        <w:spacing w:after="240" w:line="360" w:lineRule="auto"/>
        <w:rPr>
          <w:rFonts w:ascii="Times New Roman" w:hAnsi="Times New Roman"/>
          <w:lang w:val="en-HK"/>
        </w:rPr>
      </w:pPr>
      <w:r w:rsidRPr="00083A6F">
        <w:rPr>
          <w:rFonts w:ascii="Times New Roman" w:hAnsi="Times New Roman"/>
          <w:b/>
          <w:bCs/>
          <w:lang w:val="en-HK"/>
        </w:rPr>
        <w:t>Consistency with Policy</w:t>
      </w:r>
      <w:r w:rsidRPr="00083A6F">
        <w:rPr>
          <w:rFonts w:ascii="Times New Roman" w:hAnsi="Times New Roman"/>
          <w:lang w:val="en-HK"/>
        </w:rPr>
        <w:t>: This limit ensures the proposal does not overreach into areas where public policy and legal tradition excuse liability (e.g., Beard’s madness), focusing instead on culpable, voluntary conduct influenced by intoxication, thus refining rather than expanding current liability.</w:t>
      </w:r>
    </w:p>
    <w:p w14:paraId="729861EF"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lang w:val="en-HK"/>
        </w:rPr>
        <w:lastRenderedPageBreak/>
        <w:t>This detailed delineation ensures the proposed offence enhances clarity within voluntary intoxication’s scope, respecting automatism’s established exclusion.</w:t>
      </w:r>
    </w:p>
    <w:p w14:paraId="5AF20CC0" w14:textId="77777777" w:rsidR="00083A6F" w:rsidRPr="00083A6F" w:rsidRDefault="00083A6F" w:rsidP="00083A6F">
      <w:pPr>
        <w:spacing w:after="240" w:line="360" w:lineRule="auto"/>
        <w:outlineLvl w:val="3"/>
        <w:rPr>
          <w:rFonts w:ascii="Times New Roman" w:hAnsi="Times New Roman"/>
          <w:b/>
          <w:bCs/>
          <w:lang w:val="en-HK"/>
        </w:rPr>
      </w:pPr>
      <w:r w:rsidRPr="00083A6F">
        <w:rPr>
          <w:rFonts w:ascii="Times New Roman" w:hAnsi="Times New Roman"/>
          <w:b/>
          <w:bCs/>
          <w:lang w:val="en-HK"/>
        </w:rPr>
        <w:t>6. Conclusion</w:t>
      </w:r>
    </w:p>
    <w:p w14:paraId="12E0166B"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lang w:val="en-HK"/>
        </w:rPr>
        <w:t>Williams concludes by summarizing the dilemmas posed by voluntary intoxication, critiquing the Majewski rules’ flaws, and advocating her proposed offence as a clearer, fairer alternative. She acknowledges that absolute solutions are elusive but argues for incremental improvement, detailing how her proposal addresses key issues while offering practical benefits.</w:t>
      </w:r>
    </w:p>
    <w:p w14:paraId="39C8B33B"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b/>
          <w:bCs/>
          <w:lang w:val="en-HK"/>
        </w:rPr>
        <w:t>Core Dilemmas</w:t>
      </w:r>
      <w:r w:rsidRPr="00083A6F">
        <w:rPr>
          <w:rFonts w:ascii="Times New Roman" w:hAnsi="Times New Roman"/>
          <w:lang w:val="en-HK"/>
        </w:rPr>
        <w:t xml:space="preserve">: </w:t>
      </w:r>
    </w:p>
    <w:p w14:paraId="6390A64A"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Fairness vs. Protection</w:t>
      </w:r>
      <w:r w:rsidRPr="00083A6F">
        <w:rPr>
          <w:rFonts w:ascii="Times New Roman" w:hAnsi="Times New Roman"/>
          <w:lang w:val="en-HK"/>
        </w:rPr>
        <w:t>: The article identifies three familiar criminal law dilemmas sharpened by intoxication: (1) treating defendants subjectively and fairly while protecting society, (2) responding to intoxication’s varied impacts without overcomplicating the law, and (3) achieving specific labelling without splitting juries. Williams notes these cannot be fully resolved, but improvements are possible.</w:t>
      </w:r>
    </w:p>
    <w:p w14:paraId="3F484624"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Evidence of Tension</w:t>
      </w:r>
      <w:r w:rsidRPr="00083A6F">
        <w:rPr>
          <w:rFonts w:ascii="Times New Roman" w:hAnsi="Times New Roman"/>
          <w:lang w:val="en-HK"/>
        </w:rPr>
        <w:t xml:space="preserve">: She references the Cardiff study and British Crime Survey 2005-2006, highlighting intoxication’s prevalence in crime (e.g., 44% of violent incidents), underscoring the societal need to address drunken harm, yet contrasts this with the principle that lacking </w:t>
      </w:r>
      <w:proofErr w:type="spellStart"/>
      <w:r w:rsidRPr="00083A6F">
        <w:rPr>
          <w:rFonts w:ascii="Times New Roman" w:hAnsi="Times New Roman"/>
          <w:lang w:val="en-HK"/>
        </w:rPr>
        <w:t>mens</w:t>
      </w:r>
      <w:proofErr w:type="spellEnd"/>
      <w:r w:rsidRPr="00083A6F">
        <w:rPr>
          <w:rFonts w:ascii="Times New Roman" w:hAnsi="Times New Roman"/>
          <w:lang w:val="en-HK"/>
        </w:rPr>
        <w:t xml:space="preserve"> rea should acquit, a tension Majewski imperfectly balances.</w:t>
      </w:r>
    </w:p>
    <w:p w14:paraId="52B7A413"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b/>
          <w:bCs/>
          <w:lang w:val="en-HK"/>
        </w:rPr>
        <w:t>Critique of Current Rules</w:t>
      </w:r>
      <w:r w:rsidRPr="00083A6F">
        <w:rPr>
          <w:rFonts w:ascii="Times New Roman" w:hAnsi="Times New Roman"/>
          <w:lang w:val="en-HK"/>
        </w:rPr>
        <w:t xml:space="preserve">: </w:t>
      </w:r>
    </w:p>
    <w:p w14:paraId="2E9B8977"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Two Major Problems</w:t>
      </w:r>
      <w:r w:rsidRPr="00083A6F">
        <w:rPr>
          <w:rFonts w:ascii="Times New Roman" w:hAnsi="Times New Roman"/>
          <w:lang w:val="en-HK"/>
        </w:rPr>
        <w:t xml:space="preserve">: Williams reiterates two flaws: </w:t>
      </w:r>
    </w:p>
    <w:p w14:paraId="6A1E544D" w14:textId="108738D2" w:rsidR="00083A6F" w:rsidRPr="00083A6F" w:rsidRDefault="00083A6F" w:rsidP="00083A6F">
      <w:pPr>
        <w:spacing w:after="240" w:line="360" w:lineRule="auto"/>
        <w:rPr>
          <w:rFonts w:ascii="Times New Roman" w:hAnsi="Times New Roman"/>
          <w:lang w:val="en-HK"/>
        </w:rPr>
      </w:pPr>
      <w:r w:rsidRPr="00083A6F">
        <w:rPr>
          <w:rFonts w:ascii="Times New Roman" w:hAnsi="Times New Roman"/>
          <w:lang w:val="en-HK"/>
        </w:rPr>
        <w:t xml:space="preserve">(1) Majewski either infringes section 8 of the Criminal Justice Act 1967 by barring evidence or criminalizes intoxication itself, as Lord Birkenhead observed in Beard, and (2) it applies only </w:t>
      </w:r>
      <w:r w:rsidRPr="00083A6F">
        <w:rPr>
          <w:rFonts w:ascii="Times New Roman" w:hAnsi="Times New Roman"/>
          <w:b/>
          <w:bCs/>
          <w:lang w:val="en-HK"/>
        </w:rPr>
        <w:t>to reckless result crimes, failing for behaviour or dishonesty offences</w:t>
      </w:r>
      <w:r w:rsidRPr="00083A6F">
        <w:rPr>
          <w:rFonts w:ascii="Times New Roman" w:hAnsi="Times New Roman"/>
          <w:lang w:val="en-HK"/>
        </w:rPr>
        <w:t xml:space="preserve"> (e.g., </w:t>
      </w:r>
      <w:proofErr w:type="spellStart"/>
      <w:r w:rsidRPr="00083A6F">
        <w:rPr>
          <w:rFonts w:ascii="Times New Roman" w:hAnsi="Times New Roman"/>
          <w:lang w:val="en-HK"/>
        </w:rPr>
        <w:t>Heard’s</w:t>
      </w:r>
      <w:proofErr w:type="spellEnd"/>
      <w:r w:rsidRPr="00083A6F">
        <w:rPr>
          <w:rFonts w:ascii="Times New Roman" w:hAnsi="Times New Roman"/>
          <w:lang w:val="en-HK"/>
        </w:rPr>
        <w:t xml:space="preserve"> sexual assault, theft).</w:t>
      </w:r>
    </w:p>
    <w:p w14:paraId="2895014A"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Section 8 Tension</w:t>
      </w:r>
      <w:r w:rsidRPr="00083A6F">
        <w:rPr>
          <w:rFonts w:ascii="Times New Roman" w:hAnsi="Times New Roman"/>
          <w:lang w:val="en-HK"/>
        </w:rPr>
        <w:t>: The evidential bar breaches section 8’s mandate to consider “all the evidence,” while substantive or hypothetical interpretations (e.g., Richardson and Irwin’s sober-foresight test) punish intoxication, not offence-specific fault, misaligning with R. v G. and R.’s subjective recklessness standard.</w:t>
      </w:r>
    </w:p>
    <w:p w14:paraId="775F3C43"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lastRenderedPageBreak/>
        <w:t>Limited Scope</w:t>
      </w:r>
      <w:r w:rsidRPr="00083A6F">
        <w:rPr>
          <w:rFonts w:ascii="Times New Roman" w:hAnsi="Times New Roman"/>
          <w:lang w:val="en-HK"/>
        </w:rPr>
        <w:t xml:space="preserve">: The rules’ focus on result crimes leaves behaviour crimes (e.g., SOA 2003 s.3) ill-fitted, as </w:t>
      </w:r>
      <w:proofErr w:type="spellStart"/>
      <w:r w:rsidRPr="00083A6F">
        <w:rPr>
          <w:rFonts w:ascii="Times New Roman" w:hAnsi="Times New Roman"/>
          <w:lang w:val="en-HK"/>
        </w:rPr>
        <w:t>Heard’s</w:t>
      </w:r>
      <w:proofErr w:type="spellEnd"/>
      <w:r w:rsidRPr="00083A6F">
        <w:rPr>
          <w:rFonts w:ascii="Times New Roman" w:hAnsi="Times New Roman"/>
          <w:lang w:val="en-HK"/>
        </w:rPr>
        <w:t xml:space="preserve"> extension shows, straining logic and leaving gaps for offences like theft where intoxication negates intent or dishonesty.</w:t>
      </w:r>
    </w:p>
    <w:p w14:paraId="1B97C204"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b/>
          <w:bCs/>
          <w:lang w:val="en-HK"/>
        </w:rPr>
        <w:t>Proposed Solution</w:t>
      </w:r>
      <w:r w:rsidRPr="00083A6F">
        <w:rPr>
          <w:rFonts w:ascii="Times New Roman" w:hAnsi="Times New Roman"/>
          <w:lang w:val="en-HK"/>
        </w:rPr>
        <w:t xml:space="preserve">: </w:t>
      </w:r>
    </w:p>
    <w:p w14:paraId="27FAC7AE"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New Offence</w:t>
      </w:r>
      <w:r w:rsidRPr="00083A6F">
        <w:rPr>
          <w:rFonts w:ascii="Times New Roman" w:hAnsi="Times New Roman"/>
          <w:lang w:val="en-HK"/>
        </w:rPr>
        <w:t xml:space="preserve">: Williams suggests “committing [the actus reus of offence X] while intoxicated” to openly criminalize intoxication-plus-harm, avoiding full offence convictions without </w:t>
      </w:r>
      <w:proofErr w:type="spellStart"/>
      <w:r w:rsidRPr="00083A6F">
        <w:rPr>
          <w:rFonts w:ascii="Times New Roman" w:hAnsi="Times New Roman"/>
          <w:lang w:val="en-HK"/>
        </w:rPr>
        <w:t>mens</w:t>
      </w:r>
      <w:proofErr w:type="spellEnd"/>
      <w:r w:rsidRPr="00083A6F">
        <w:rPr>
          <w:rFonts w:ascii="Times New Roman" w:hAnsi="Times New Roman"/>
          <w:lang w:val="en-HK"/>
        </w:rPr>
        <w:t xml:space="preserve"> rea. This applies across result (e.g., damage), behaviour (e.g., touching), and circumstance (e.g., theft’s property ownership) crimes, examined separately for precision but unified in approach.</w:t>
      </w:r>
    </w:p>
    <w:p w14:paraId="5ACB28D7"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Eliminating Distinction</w:t>
      </w:r>
      <w:r w:rsidRPr="00083A6F">
        <w:rPr>
          <w:rFonts w:ascii="Times New Roman" w:hAnsi="Times New Roman"/>
          <w:lang w:val="en-HK"/>
        </w:rPr>
        <w:t xml:space="preserve">: It abandons the problematic specific/basic intent divide—obscure per Ormerod and debated by </w:t>
      </w:r>
      <w:proofErr w:type="spellStart"/>
      <w:r w:rsidRPr="00083A6F">
        <w:rPr>
          <w:rFonts w:ascii="Times New Roman" w:hAnsi="Times New Roman"/>
          <w:lang w:val="en-HK"/>
        </w:rPr>
        <w:t>Horder</w:t>
      </w:r>
      <w:proofErr w:type="spellEnd"/>
      <w:r w:rsidRPr="00083A6F">
        <w:rPr>
          <w:rFonts w:ascii="Times New Roman" w:hAnsi="Times New Roman"/>
          <w:lang w:val="en-HK"/>
        </w:rPr>
        <w:t xml:space="preserve"> and </w:t>
      </w:r>
      <w:proofErr w:type="spellStart"/>
      <w:r w:rsidRPr="00083A6F">
        <w:rPr>
          <w:rFonts w:ascii="Times New Roman" w:hAnsi="Times New Roman"/>
          <w:lang w:val="en-HK"/>
        </w:rPr>
        <w:t>Simester</w:t>
      </w:r>
      <w:proofErr w:type="spellEnd"/>
      <w:r w:rsidRPr="00083A6F">
        <w:rPr>
          <w:rFonts w:ascii="Times New Roman" w:hAnsi="Times New Roman"/>
          <w:lang w:val="en-HK"/>
        </w:rPr>
        <w:t>—simplifying classification (e.g., no Heard-style struggles) and ensuring consistency across offence types.</w:t>
      </w:r>
    </w:p>
    <w:p w14:paraId="3EEA96A6"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Flexibility</w:t>
      </w:r>
      <w:r w:rsidRPr="00083A6F">
        <w:rPr>
          <w:rFonts w:ascii="Times New Roman" w:hAnsi="Times New Roman"/>
          <w:lang w:val="en-HK"/>
        </w:rPr>
        <w:t>: Exceptions (e.g., for inchoate offences) could be specified, but even then, the law would be “more straightforward and predictable” than Majewski’s ad hoc application, with rational, limited exclusions.</w:t>
      </w:r>
    </w:p>
    <w:p w14:paraId="48A23047"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b/>
          <w:bCs/>
          <w:lang w:val="en-HK"/>
        </w:rPr>
        <w:t>Benefits and Outcomes</w:t>
      </w:r>
      <w:r w:rsidRPr="00083A6F">
        <w:rPr>
          <w:rFonts w:ascii="Times New Roman" w:hAnsi="Times New Roman"/>
          <w:lang w:val="en-HK"/>
        </w:rPr>
        <w:t xml:space="preserve">: </w:t>
      </w:r>
    </w:p>
    <w:p w14:paraId="1122E2B2"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Clarity and Fairness</w:t>
      </w:r>
      <w:r w:rsidRPr="00083A6F">
        <w:rPr>
          <w:rFonts w:ascii="Times New Roman" w:hAnsi="Times New Roman"/>
          <w:lang w:val="en-HK"/>
        </w:rPr>
        <w:t>: The proposal offers a “simpler and clearer” approach, avoiding Majewski’s complexity (e.g., hypothetical tests) and providing a “fairer label” (e.g., “causing harm while intoxicated” vs. assault), reflecting intoxication’s role rather than imputing full fault.</w:t>
      </w:r>
    </w:p>
    <w:p w14:paraId="025F8469"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Practical Advantages</w:t>
      </w:r>
      <w:r w:rsidRPr="00083A6F">
        <w:rPr>
          <w:rFonts w:ascii="Times New Roman" w:hAnsi="Times New Roman"/>
          <w:lang w:val="en-HK"/>
        </w:rPr>
        <w:t>: It aids monitoring intoxication’s crime impact—current research struggles to categorize offences (e.g., Cardiff study)—and supports tailored sentencing (e.g., Criminal Justice Act 2003 rehabilitation options), potentially reducing reoffending with proper support, as Strategy Unit research suggests.</w:t>
      </w:r>
    </w:p>
    <w:p w14:paraId="25675709"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Varied Impact</w:t>
      </w:r>
      <w:r w:rsidRPr="00083A6F">
        <w:rPr>
          <w:rFonts w:ascii="Times New Roman" w:hAnsi="Times New Roman"/>
          <w:lang w:val="en-HK"/>
        </w:rPr>
        <w:t xml:space="preserve">: In some cases (e.g., Majewski), it shifts to a different conviction; in others (e.g., </w:t>
      </w:r>
      <w:proofErr w:type="spellStart"/>
      <w:r w:rsidRPr="00083A6F">
        <w:rPr>
          <w:rFonts w:ascii="Times New Roman" w:hAnsi="Times New Roman"/>
          <w:lang w:val="en-HK"/>
        </w:rPr>
        <w:t>Jaggard</w:t>
      </w:r>
      <w:proofErr w:type="spellEnd"/>
      <w:r w:rsidRPr="00083A6F">
        <w:rPr>
          <w:rFonts w:ascii="Times New Roman" w:hAnsi="Times New Roman"/>
          <w:lang w:val="en-HK"/>
        </w:rPr>
        <w:t xml:space="preserve">), it might convict where acquittal occurs now, or be more lenient (e.g., </w:t>
      </w:r>
      <w:proofErr w:type="spellStart"/>
      <w:r w:rsidRPr="00083A6F">
        <w:rPr>
          <w:rFonts w:ascii="Times New Roman" w:hAnsi="Times New Roman"/>
          <w:lang w:val="en-HK"/>
        </w:rPr>
        <w:t>Heard’s</w:t>
      </w:r>
      <w:proofErr w:type="spellEnd"/>
      <w:r w:rsidRPr="00083A6F">
        <w:rPr>
          <w:rFonts w:ascii="Times New Roman" w:hAnsi="Times New Roman"/>
          <w:lang w:val="en-HK"/>
        </w:rPr>
        <w:t xml:space="preserve"> full offence vs. new offence), but always with clearer rationale tied to intoxication and harm.</w:t>
      </w:r>
    </w:p>
    <w:p w14:paraId="0882B22B" w14:textId="77777777" w:rsidR="00083A6F" w:rsidRPr="00083A6F" w:rsidRDefault="00083A6F" w:rsidP="00083A6F">
      <w:pPr>
        <w:numPr>
          <w:ilvl w:val="0"/>
          <w:numId w:val="6"/>
        </w:numPr>
        <w:spacing w:after="240" w:line="360" w:lineRule="auto"/>
        <w:rPr>
          <w:rFonts w:ascii="Times New Roman" w:hAnsi="Times New Roman"/>
          <w:lang w:val="en-HK"/>
        </w:rPr>
      </w:pPr>
      <w:r w:rsidRPr="00083A6F">
        <w:rPr>
          <w:rFonts w:ascii="Times New Roman" w:hAnsi="Times New Roman"/>
          <w:b/>
          <w:bCs/>
          <w:lang w:val="en-HK"/>
        </w:rPr>
        <w:lastRenderedPageBreak/>
        <w:t>Feasibility and Aspiration</w:t>
      </w:r>
      <w:r w:rsidRPr="00083A6F">
        <w:rPr>
          <w:rFonts w:ascii="Times New Roman" w:hAnsi="Times New Roman"/>
          <w:lang w:val="en-HK"/>
        </w:rPr>
        <w:t xml:space="preserve">: </w:t>
      </w:r>
    </w:p>
    <w:p w14:paraId="18F9C117"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Incremental Improvement</w:t>
      </w:r>
      <w:r w:rsidRPr="00083A6F">
        <w:rPr>
          <w:rFonts w:ascii="Times New Roman" w:hAnsi="Times New Roman"/>
          <w:lang w:val="en-HK"/>
        </w:rPr>
        <w:t>: Williams concedes absolute resolution is impossible—dilemmas persist—but argues her proposal improves on Majewski by addressing section 8 tensions, scope limits, and labelling issues, offering a practical step forward.</w:t>
      </w:r>
    </w:p>
    <w:p w14:paraId="40713BF0" w14:textId="77777777" w:rsidR="00083A6F" w:rsidRPr="00083A6F" w:rsidRDefault="00083A6F" w:rsidP="00083A6F">
      <w:pPr>
        <w:numPr>
          <w:ilvl w:val="1"/>
          <w:numId w:val="6"/>
        </w:numPr>
        <w:spacing w:after="240" w:line="360" w:lineRule="auto"/>
        <w:rPr>
          <w:rFonts w:ascii="Times New Roman" w:hAnsi="Times New Roman"/>
          <w:lang w:val="en-HK"/>
        </w:rPr>
      </w:pPr>
      <w:r w:rsidRPr="00083A6F">
        <w:rPr>
          <w:rFonts w:ascii="Times New Roman" w:hAnsi="Times New Roman"/>
          <w:b/>
          <w:bCs/>
          <w:lang w:val="en-HK"/>
        </w:rPr>
        <w:t>Call to Action</w:t>
      </w:r>
      <w:r w:rsidRPr="00083A6F">
        <w:rPr>
          <w:rFonts w:ascii="Times New Roman" w:hAnsi="Times New Roman"/>
          <w:lang w:val="en-HK"/>
        </w:rPr>
        <w:t>: She frames this as a challenge to the “lost cause” stasis, suggesting that while not all intoxication issues are tackled (e.g., involuntary intoxication assumed distinct), key areas can progress, urging reconsideration over resignation to the current flawed compromise.</w:t>
      </w:r>
    </w:p>
    <w:p w14:paraId="531542F3"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lang w:val="en-HK"/>
        </w:rPr>
        <w:t>This detailed conclusion synthesizes the article’s critique and solution, advocating a refined, principled approach within intoxication’s complex legal landscape.</w:t>
      </w:r>
    </w:p>
    <w:p w14:paraId="71B6392B" w14:textId="77777777" w:rsidR="00083A6F" w:rsidRPr="00083A6F" w:rsidRDefault="00BB6669" w:rsidP="00083A6F">
      <w:pPr>
        <w:spacing w:after="240" w:line="360" w:lineRule="auto"/>
        <w:rPr>
          <w:rFonts w:ascii="Times New Roman" w:hAnsi="Times New Roman"/>
          <w:lang w:val="en-HK"/>
        </w:rPr>
      </w:pPr>
      <w:r w:rsidRPr="00BB6669">
        <w:rPr>
          <w:rFonts w:ascii="Times New Roman" w:hAnsi="Times New Roman"/>
          <w:noProof/>
          <w:lang w:val="en-HK"/>
          <w14:ligatures w14:val="standardContextual"/>
        </w:rPr>
        <w:pict w14:anchorId="047092BF">
          <v:rect id="_x0000_i1025" alt="" style="width:451.3pt;height:.05pt;mso-width-percent:0;mso-height-percent:0;mso-width-percent:0;mso-height-percent:0" o:hralign="center" o:hrstd="t" o:hr="t" fillcolor="#a0a0a0" stroked="f"/>
        </w:pict>
      </w:r>
    </w:p>
    <w:p w14:paraId="76BC1F1A" w14:textId="6C53A434" w:rsidR="00083A6F" w:rsidRPr="00083A6F" w:rsidRDefault="00083A6F" w:rsidP="00083A6F">
      <w:pPr>
        <w:spacing w:after="240" w:line="360" w:lineRule="auto"/>
        <w:outlineLvl w:val="2"/>
        <w:rPr>
          <w:rFonts w:ascii="Times New Roman" w:hAnsi="Times New Roman"/>
          <w:b/>
          <w:bCs/>
          <w:lang w:val="en-HK"/>
        </w:rPr>
      </w:pPr>
      <w:r w:rsidRPr="00083A6F">
        <w:rPr>
          <w:rFonts w:ascii="Times New Roman" w:hAnsi="Times New Roman"/>
          <w:b/>
          <w:bCs/>
          <w:lang w:val="en-HK"/>
        </w:rPr>
        <w:t xml:space="preserve">Overall </w:t>
      </w:r>
      <w:r w:rsidRPr="00083A6F">
        <w:rPr>
          <w:rFonts w:ascii="Times New Roman" w:hAnsi="Times New Roman"/>
          <w:b/>
          <w:bCs/>
          <w:lang w:val="en-HK"/>
        </w:rPr>
        <w:t>Conclusion</w:t>
      </w:r>
    </w:p>
    <w:p w14:paraId="2A022BA5" w14:textId="77777777" w:rsidR="00083A6F" w:rsidRPr="00083A6F" w:rsidRDefault="00083A6F" w:rsidP="00083A6F">
      <w:pPr>
        <w:spacing w:after="240" w:line="360" w:lineRule="auto"/>
        <w:rPr>
          <w:rFonts w:ascii="Times New Roman" w:hAnsi="Times New Roman"/>
          <w:lang w:val="en-HK"/>
        </w:rPr>
      </w:pPr>
      <w:r w:rsidRPr="00083A6F">
        <w:rPr>
          <w:rFonts w:ascii="Times New Roman" w:hAnsi="Times New Roman"/>
          <w:lang w:val="en-HK"/>
        </w:rPr>
        <w:t>Williams’ exploration of intoxication and automatism delineates her proposed offence’s limits, aligning with Beard and Heard to exclude involuntary acts while refining liability for voluntary ones, ensuring continuity with current law. Her conclusion critiques Majewski’s incoherence—punishing intoxication and limited to result crimes—and offers “committing [actus reus] while intoxicated” as a clearer, fairer alternative across offence types, eliminating the specific/basic divide. It balances societal protection with equitable labelling, enhancing practical outcomes like sentencing and monitoring, and presents a viable reform to a law otherwise stagnating as a “lost cause.”</w:t>
      </w:r>
    </w:p>
    <w:p w14:paraId="18FFD075" w14:textId="77777777" w:rsidR="00083A6F" w:rsidRPr="009D7613" w:rsidRDefault="00083A6F" w:rsidP="00083A6F">
      <w:pPr>
        <w:spacing w:after="240" w:line="360" w:lineRule="auto"/>
        <w:rPr>
          <w:rFonts w:ascii="Times New Roman" w:hAnsi="Times New Roman"/>
          <w:lang w:val="en-HK"/>
        </w:rPr>
      </w:pPr>
    </w:p>
    <w:p w14:paraId="18F37E77" w14:textId="77777777" w:rsidR="009D1968" w:rsidRPr="009D1968" w:rsidRDefault="009D1968" w:rsidP="00083A6F">
      <w:pPr>
        <w:spacing w:after="240" w:line="360" w:lineRule="auto"/>
        <w:rPr>
          <w:rFonts w:ascii="Times New Roman" w:hAnsi="Times New Roman"/>
          <w:lang w:val="en-HK"/>
        </w:rPr>
      </w:pPr>
    </w:p>
    <w:p w14:paraId="6B80191E" w14:textId="77777777" w:rsidR="00CD39F1" w:rsidRPr="00083A6F" w:rsidRDefault="00CD39F1" w:rsidP="00083A6F">
      <w:pPr>
        <w:spacing w:after="240" w:line="360" w:lineRule="auto"/>
      </w:pPr>
    </w:p>
    <w:sectPr w:rsidR="00CD39F1" w:rsidRPr="00083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B6F9E"/>
    <w:multiLevelType w:val="multilevel"/>
    <w:tmpl w:val="3752A7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D41E6"/>
    <w:multiLevelType w:val="multilevel"/>
    <w:tmpl w:val="0DDCF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36FE9"/>
    <w:multiLevelType w:val="multilevel"/>
    <w:tmpl w:val="C3066CD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201F8"/>
    <w:multiLevelType w:val="multilevel"/>
    <w:tmpl w:val="77628E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53D92"/>
    <w:multiLevelType w:val="multilevel"/>
    <w:tmpl w:val="83DA9F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991A71"/>
    <w:multiLevelType w:val="multilevel"/>
    <w:tmpl w:val="CE32DE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21980">
    <w:abstractNumId w:val="3"/>
  </w:num>
  <w:num w:numId="2" w16cid:durableId="1180702989">
    <w:abstractNumId w:val="0"/>
  </w:num>
  <w:num w:numId="3" w16cid:durableId="1520655831">
    <w:abstractNumId w:val="1"/>
  </w:num>
  <w:num w:numId="4" w16cid:durableId="1416047657">
    <w:abstractNumId w:val="4"/>
  </w:num>
  <w:num w:numId="5" w16cid:durableId="755901292">
    <w:abstractNumId w:val="5"/>
  </w:num>
  <w:num w:numId="6" w16cid:durableId="14911414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866"/>
    <w:rsid w:val="000046A5"/>
    <w:rsid w:val="00012117"/>
    <w:rsid w:val="000147A9"/>
    <w:rsid w:val="00042755"/>
    <w:rsid w:val="0006107D"/>
    <w:rsid w:val="000623A3"/>
    <w:rsid w:val="00066D1D"/>
    <w:rsid w:val="000719DA"/>
    <w:rsid w:val="00083A6F"/>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0866"/>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72"/>
    <w:rsid w:val="00845AB5"/>
    <w:rsid w:val="00850813"/>
    <w:rsid w:val="00861B11"/>
    <w:rsid w:val="008829C2"/>
    <w:rsid w:val="008A54BE"/>
    <w:rsid w:val="008B2AB5"/>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D1968"/>
    <w:rsid w:val="009D7613"/>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B6669"/>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4CFF5"/>
  <w15:chartTrackingRefBased/>
  <w15:docId w15:val="{89A4A46D-2D6D-7649-91C8-0283325AD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3508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08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5086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5086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5086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5086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086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086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086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866"/>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350866"/>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350866"/>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350866"/>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350866"/>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350866"/>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350866"/>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350866"/>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350866"/>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3508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866"/>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35086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866"/>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35086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0866"/>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350866"/>
    <w:pPr>
      <w:ind w:left="720"/>
      <w:contextualSpacing/>
    </w:pPr>
  </w:style>
  <w:style w:type="character" w:styleId="IntenseEmphasis">
    <w:name w:val="Intense Emphasis"/>
    <w:basedOn w:val="DefaultParagraphFont"/>
    <w:uiPriority w:val="21"/>
    <w:qFormat/>
    <w:rsid w:val="00350866"/>
    <w:rPr>
      <w:i/>
      <w:iCs/>
      <w:color w:val="2F5496" w:themeColor="accent1" w:themeShade="BF"/>
    </w:rPr>
  </w:style>
  <w:style w:type="paragraph" w:styleId="IntenseQuote">
    <w:name w:val="Intense Quote"/>
    <w:basedOn w:val="Normal"/>
    <w:next w:val="Normal"/>
    <w:link w:val="IntenseQuoteChar"/>
    <w:uiPriority w:val="30"/>
    <w:qFormat/>
    <w:rsid w:val="003508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0866"/>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350866"/>
    <w:rPr>
      <w:b/>
      <w:bCs/>
      <w:smallCaps/>
      <w:color w:val="2F5496" w:themeColor="accent1" w:themeShade="BF"/>
      <w:spacing w:val="5"/>
    </w:rPr>
  </w:style>
  <w:style w:type="paragraph" w:customStyle="1" w:styleId="break-words">
    <w:name w:val="break-words"/>
    <w:basedOn w:val="Normal"/>
    <w:rsid w:val="009D1968"/>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9D196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061300">
      <w:bodyDiv w:val="1"/>
      <w:marLeft w:val="0"/>
      <w:marRight w:val="0"/>
      <w:marTop w:val="0"/>
      <w:marBottom w:val="0"/>
      <w:divBdr>
        <w:top w:val="none" w:sz="0" w:space="0" w:color="auto"/>
        <w:left w:val="none" w:sz="0" w:space="0" w:color="auto"/>
        <w:bottom w:val="none" w:sz="0" w:space="0" w:color="auto"/>
        <w:right w:val="none" w:sz="0" w:space="0" w:color="auto"/>
      </w:divBdr>
      <w:divsChild>
        <w:div w:id="1559171073">
          <w:marLeft w:val="0"/>
          <w:marRight w:val="0"/>
          <w:marTop w:val="0"/>
          <w:marBottom w:val="0"/>
          <w:divBdr>
            <w:top w:val="none" w:sz="0" w:space="0" w:color="auto"/>
            <w:left w:val="none" w:sz="0" w:space="0" w:color="auto"/>
            <w:bottom w:val="none" w:sz="0" w:space="0" w:color="auto"/>
            <w:right w:val="none" w:sz="0" w:space="0" w:color="auto"/>
          </w:divBdr>
        </w:div>
      </w:divsChild>
    </w:div>
    <w:div w:id="389234200">
      <w:bodyDiv w:val="1"/>
      <w:marLeft w:val="0"/>
      <w:marRight w:val="0"/>
      <w:marTop w:val="0"/>
      <w:marBottom w:val="0"/>
      <w:divBdr>
        <w:top w:val="none" w:sz="0" w:space="0" w:color="auto"/>
        <w:left w:val="none" w:sz="0" w:space="0" w:color="auto"/>
        <w:bottom w:val="none" w:sz="0" w:space="0" w:color="auto"/>
        <w:right w:val="none" w:sz="0" w:space="0" w:color="auto"/>
      </w:divBdr>
      <w:divsChild>
        <w:div w:id="788622334">
          <w:marLeft w:val="0"/>
          <w:marRight w:val="0"/>
          <w:marTop w:val="0"/>
          <w:marBottom w:val="0"/>
          <w:divBdr>
            <w:top w:val="none" w:sz="0" w:space="0" w:color="auto"/>
            <w:left w:val="none" w:sz="0" w:space="0" w:color="auto"/>
            <w:bottom w:val="none" w:sz="0" w:space="0" w:color="auto"/>
            <w:right w:val="none" w:sz="0" w:space="0" w:color="auto"/>
          </w:divBdr>
        </w:div>
      </w:divsChild>
    </w:div>
    <w:div w:id="1556040703">
      <w:bodyDiv w:val="1"/>
      <w:marLeft w:val="0"/>
      <w:marRight w:val="0"/>
      <w:marTop w:val="0"/>
      <w:marBottom w:val="0"/>
      <w:divBdr>
        <w:top w:val="none" w:sz="0" w:space="0" w:color="auto"/>
        <w:left w:val="none" w:sz="0" w:space="0" w:color="auto"/>
        <w:bottom w:val="none" w:sz="0" w:space="0" w:color="auto"/>
        <w:right w:val="none" w:sz="0" w:space="0" w:color="auto"/>
      </w:divBdr>
      <w:divsChild>
        <w:div w:id="13080475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4829</Words>
  <Characters>27529</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2025-03-04T10:42:00Z</dcterms:created>
  <dcterms:modified xsi:type="dcterms:W3CDTF">2025-03-04T15:39:00Z</dcterms:modified>
</cp:coreProperties>
</file>