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5E5730" w14:textId="16D5097D"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Background</w:t>
      </w:r>
    </w:p>
    <w:p w14:paraId="4D43B436"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 xml:space="preserve">The Coroners and Justice Act 2009 replaced the common law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of provocation with a statutory partial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of </w:t>
      </w:r>
      <w:r w:rsidRPr="008300DC">
        <w:rPr>
          <w:rFonts w:ascii="Times New Roman" w:eastAsiaTheme="minorEastAsia" w:hAnsi="Times New Roman"/>
          <w:b/>
          <w:bCs/>
          <w14:ligatures w14:val="standardContextual"/>
        </w:rPr>
        <w:t>loss of control</w:t>
      </w:r>
      <w:r w:rsidRPr="008300DC">
        <w:rPr>
          <w:rFonts w:ascii="Times New Roman" w:eastAsiaTheme="minorEastAsia" w:hAnsi="Times New Roman"/>
          <w14:ligatures w14:val="standardContextual"/>
        </w:rPr>
        <w:t xml:space="preserve"> (Sections 54-56). This was primarily driven by criticisms of the old provocation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which often failed to address issues like gender bias, the triviality of triggers, and unfair expectations on domestic abuse victims. The reform redefined the grounds for reducing murder charges to manslaughter based on two qualifying triggers:</w:t>
      </w:r>
    </w:p>
    <w:p w14:paraId="39656B69" w14:textId="77777777" w:rsidR="008300DC" w:rsidRPr="008300DC" w:rsidRDefault="008300DC" w:rsidP="008300DC">
      <w:pPr>
        <w:numPr>
          <w:ilvl w:val="0"/>
          <w:numId w:val="1"/>
        </w:numPr>
        <w:tabs>
          <w:tab w:val="left" w:pos="220"/>
          <w:tab w:val="left" w:pos="720"/>
        </w:tabs>
        <w:autoSpaceDE w:val="0"/>
        <w:autoSpaceDN w:val="0"/>
        <w:adjustRightInd w:val="0"/>
        <w:spacing w:after="240" w:line="360" w:lineRule="auto"/>
        <w:ind w:hanging="720"/>
        <w:rPr>
          <w:rFonts w:ascii="Times New Roman" w:eastAsiaTheme="minorEastAsia" w:hAnsi="Times New Roman"/>
          <w14:ligatures w14:val="standardContextual"/>
        </w:rPr>
      </w:pPr>
      <w:r w:rsidRPr="008300DC">
        <w:rPr>
          <w:rFonts w:ascii="Times New Roman" w:eastAsiaTheme="minorEastAsia" w:hAnsi="Times New Roman"/>
          <w:b/>
          <w:bCs/>
          <w14:ligatures w14:val="standardContextual"/>
        </w:rPr>
        <w:t>Fear of serious violence</w:t>
      </w:r>
      <w:r w:rsidRPr="008300DC">
        <w:rPr>
          <w:rFonts w:ascii="Times New Roman" w:eastAsiaTheme="minorEastAsia" w:hAnsi="Times New Roman"/>
          <w14:ligatures w14:val="standardContextual"/>
        </w:rPr>
        <w:t xml:space="preserve"> (fear trigger).</w:t>
      </w:r>
    </w:p>
    <w:p w14:paraId="70D76B39" w14:textId="40ABC523" w:rsidR="008300DC" w:rsidRPr="008300DC" w:rsidRDefault="008300DC" w:rsidP="008300DC">
      <w:pPr>
        <w:numPr>
          <w:ilvl w:val="0"/>
          <w:numId w:val="1"/>
        </w:numPr>
        <w:tabs>
          <w:tab w:val="left" w:pos="220"/>
          <w:tab w:val="left" w:pos="720"/>
        </w:tabs>
        <w:autoSpaceDE w:val="0"/>
        <w:autoSpaceDN w:val="0"/>
        <w:adjustRightInd w:val="0"/>
        <w:spacing w:after="240" w:line="360" w:lineRule="auto"/>
        <w:ind w:hanging="720"/>
        <w:rPr>
          <w:rFonts w:ascii="Times New Roman" w:eastAsiaTheme="minorEastAsia" w:hAnsi="Times New Roman"/>
          <w14:ligatures w14:val="standardContextual"/>
        </w:rPr>
      </w:pPr>
      <w:r w:rsidRPr="008300DC">
        <w:rPr>
          <w:rFonts w:ascii="Times New Roman" w:eastAsiaTheme="minorEastAsia" w:hAnsi="Times New Roman"/>
          <w:b/>
          <w:bCs/>
          <w14:ligatures w14:val="standardContextual"/>
        </w:rPr>
        <w:t>Words or actions causing a justifiable sense of being seriously wronged</w:t>
      </w:r>
      <w:r w:rsidRPr="008300DC">
        <w:rPr>
          <w:rFonts w:ascii="Times New Roman" w:eastAsiaTheme="minorEastAsia" w:hAnsi="Times New Roman"/>
          <w14:ligatures w14:val="standardContextual"/>
        </w:rPr>
        <w:t xml:space="preserve"> (anger trigger).</w:t>
      </w:r>
    </w:p>
    <w:p w14:paraId="09AF91E2" w14:textId="77777777" w:rsid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Key Reforms</w:t>
      </w:r>
    </w:p>
    <w:p w14:paraId="51B21A4C" w14:textId="4E3CD122"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Loss of control need not be sudden</w:t>
      </w:r>
      <w:r w:rsidRPr="008300DC">
        <w:rPr>
          <w:rFonts w:ascii="Times New Roman" w:eastAsiaTheme="minorEastAsia" w:hAnsi="Times New Roman"/>
          <w14:ligatures w14:val="standardContextual"/>
        </w:rPr>
        <w:t>: This addressed the shortcomings of the "sudden and temporary" standard, which disproportionately excluded abused individuals acting after prolonged suffering (s.54(2)).</w:t>
      </w:r>
    </w:p>
    <w:p w14:paraId="202EC183" w14:textId="77777777" w:rsid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Exclusion of revenge-motivated killings</w:t>
      </w:r>
      <w:r w:rsidRPr="008300DC">
        <w:rPr>
          <w:rFonts w:ascii="Times New Roman" w:eastAsiaTheme="minorEastAsia" w:hAnsi="Times New Roman"/>
          <w14:ligatures w14:val="standardContextual"/>
        </w:rPr>
        <w:t xml:space="preserve">: Section 54(4) categorically denies the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for killings motivated by revenge, emphasizing the moral boundary.</w:t>
      </w:r>
    </w:p>
    <w:p w14:paraId="15F10A35" w14:textId="28A3C46C"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3. </w:t>
      </w:r>
      <w:r w:rsidRPr="008300DC">
        <w:rPr>
          <w:rFonts w:ascii="Times New Roman" w:eastAsiaTheme="minorEastAsia" w:hAnsi="Times New Roman"/>
          <w:b/>
          <w:bCs/>
          <w14:ligatures w14:val="standardContextual"/>
        </w:rPr>
        <w:t>Sexual infidelity as an excluded trigger</w:t>
      </w:r>
      <w:r w:rsidRPr="008300DC">
        <w:rPr>
          <w:rFonts w:ascii="Times New Roman" w:eastAsiaTheme="minorEastAsia" w:hAnsi="Times New Roman"/>
          <w14:ligatures w14:val="standardContextual"/>
        </w:rPr>
        <w:t>: Section 55(6)(c) excludes infidelity alone as a basis for loss of control to curb its misuse by possessive or abusive defendants.</w:t>
      </w:r>
    </w:p>
    <w:p w14:paraId="5B215A5C"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Underlying Issues Addressed</w:t>
      </w:r>
    </w:p>
    <w:p w14:paraId="299463B9" w14:textId="771892A5"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Trivial Triggers</w:t>
      </w:r>
      <w:r w:rsidRPr="008300DC">
        <w:rPr>
          <w:rFonts w:ascii="Times New Roman" w:eastAsiaTheme="minorEastAsia" w:hAnsi="Times New Roman"/>
          <w14:ligatures w14:val="standardContextual"/>
        </w:rPr>
        <w:t>: The previous law was overinclusive, allowing minor provocations to suffice.</w:t>
      </w:r>
    </w:p>
    <w:p w14:paraId="3CC2840D" w14:textId="77C6FFFF"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Gender Bias</w:t>
      </w:r>
      <w:r w:rsidRPr="008300DC">
        <w:rPr>
          <w:rFonts w:ascii="Times New Roman" w:eastAsiaTheme="minorEastAsia" w:hAnsi="Times New Roman"/>
          <w14:ligatures w14:val="standardContextual"/>
        </w:rPr>
        <w:t>: The "suddenness" requirement catered more to men reacting with immediate anger than women enduring prolonged abuse, often referred to as "</w:t>
      </w:r>
      <w:proofErr w:type="gramStart"/>
      <w:r w:rsidRPr="008300DC">
        <w:rPr>
          <w:rFonts w:ascii="Times New Roman" w:eastAsiaTheme="minorEastAsia" w:hAnsi="Times New Roman"/>
          <w14:ligatures w14:val="standardContextual"/>
        </w:rPr>
        <w:t>slow-burn</w:t>
      </w:r>
      <w:proofErr w:type="gramEnd"/>
      <w:r w:rsidRPr="008300DC">
        <w:rPr>
          <w:rFonts w:ascii="Times New Roman" w:eastAsiaTheme="minorEastAsia" w:hAnsi="Times New Roman"/>
          <w14:ligatures w14:val="standardContextual"/>
        </w:rPr>
        <w:t>" reactions.</w:t>
      </w:r>
    </w:p>
    <w:p w14:paraId="0D50CA61" w14:textId="77777777" w:rsid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5E8D5AEE"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6F70B50A"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lastRenderedPageBreak/>
        <w:t>2. Qualifying Triggers</w:t>
      </w:r>
    </w:p>
    <w:p w14:paraId="51DE3D9D" w14:textId="26C4D4E6"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Fear Trigger (Section 55(3))</w:t>
      </w:r>
    </w:p>
    <w:p w14:paraId="55EE88F9"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 xml:space="preserve">The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applies when the defendant's loss of control is attributable to a </w:t>
      </w:r>
      <w:r w:rsidRPr="008300DC">
        <w:rPr>
          <w:rFonts w:ascii="Times New Roman" w:eastAsiaTheme="minorEastAsia" w:hAnsi="Times New Roman"/>
          <w:b/>
          <w:bCs/>
          <w14:ligatures w14:val="standardContextual"/>
        </w:rPr>
        <w:t>fear of serious violence</w:t>
      </w:r>
      <w:r w:rsidRPr="008300DC">
        <w:rPr>
          <w:rFonts w:ascii="Times New Roman" w:eastAsiaTheme="minorEastAsia" w:hAnsi="Times New Roman"/>
          <w14:ligatures w14:val="standardContextual"/>
        </w:rPr>
        <w:t xml:space="preserve"> from the victim. This is particularly relevant to cases involving domestic violence, where the defendant pre-emptively acts to protect themselves.</w:t>
      </w:r>
    </w:p>
    <w:p w14:paraId="3B09A999" w14:textId="6F95646F"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Illustrative Context</w:t>
      </w:r>
      <w:r w:rsidRPr="008300DC">
        <w:rPr>
          <w:rFonts w:ascii="Times New Roman" w:eastAsiaTheme="minorEastAsia" w:hAnsi="Times New Roman"/>
          <w14:ligatures w14:val="standardContextual"/>
        </w:rPr>
        <w:t xml:space="preserve">: Although not explicitly discussed in cases, this trigger supports women like those in </w:t>
      </w:r>
      <w:r w:rsidRPr="008300DC">
        <w:rPr>
          <w:rFonts w:ascii="Times New Roman" w:eastAsiaTheme="minorEastAsia" w:hAnsi="Times New Roman"/>
          <w:b/>
          <w:bCs/>
          <w14:ligatures w14:val="standardContextual"/>
        </w:rPr>
        <w:t>R v Ahluwalia (1992)</w:t>
      </w:r>
      <w:r w:rsidRPr="008300DC">
        <w:rPr>
          <w:rFonts w:ascii="Times New Roman" w:eastAsiaTheme="minorEastAsia" w:hAnsi="Times New Roman"/>
          <w14:ligatures w14:val="standardContextual"/>
        </w:rPr>
        <w:t>, who acted after enduring prolonged abuse.</w:t>
      </w:r>
    </w:p>
    <w:p w14:paraId="7CBC370F" w14:textId="5A72D46E"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Challenges</w:t>
      </w:r>
      <w:r w:rsidRPr="008300DC">
        <w:rPr>
          <w:rFonts w:ascii="Times New Roman" w:eastAsiaTheme="minorEastAsia" w:hAnsi="Times New Roman"/>
          <w14:ligatures w14:val="standardContextual"/>
        </w:rPr>
        <w:t>: The requirement of serious violence could exclude situations where fear stems from less immediate but equally impactful threats.</w:t>
      </w:r>
    </w:p>
    <w:p w14:paraId="5B992A8A" w14:textId="571DD79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Anger Trigger (Section 55(4))</w:t>
      </w:r>
    </w:p>
    <w:p w14:paraId="1E01E626"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Loss of control can arise from conduct or speech of an "extremely grave character" causing a "justifiable sense of being seriously wronged."</w:t>
      </w:r>
    </w:p>
    <w:p w14:paraId="49E6F681" w14:textId="14270A21"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Subjectivity of ‘Extremely Grave’</w:t>
      </w:r>
      <w:r w:rsidRPr="008300DC">
        <w:rPr>
          <w:rFonts w:ascii="Times New Roman" w:eastAsiaTheme="minorEastAsia" w:hAnsi="Times New Roman"/>
          <w14:ligatures w14:val="standardContextual"/>
        </w:rPr>
        <w:t>: Determining what qualifies as grave remains subjective and fact-specific.</w:t>
      </w:r>
    </w:p>
    <w:p w14:paraId="3C8B7D45" w14:textId="2C309955"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Exclusion of Insults</w:t>
      </w:r>
      <w:r w:rsidRPr="008300DC">
        <w:rPr>
          <w:rFonts w:ascii="Times New Roman" w:eastAsiaTheme="minorEastAsia" w:hAnsi="Times New Roman"/>
          <w14:ligatures w14:val="standardContextual"/>
        </w:rPr>
        <w:t xml:space="preserve">: Trivial provocations or mere offensive remarks are insufficient to invoke the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w:t>
      </w:r>
    </w:p>
    <w:p w14:paraId="4E5181B4" w14:textId="708B5FF5"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3. </w:t>
      </w:r>
      <w:r w:rsidRPr="008300DC">
        <w:rPr>
          <w:rFonts w:ascii="Times New Roman" w:eastAsiaTheme="minorEastAsia" w:hAnsi="Times New Roman"/>
          <w:b/>
          <w:bCs/>
          <w14:ligatures w14:val="standardContextual"/>
        </w:rPr>
        <w:t>Sexual Infidelity Exclusion (Section 55(6)(c))</w:t>
      </w:r>
    </w:p>
    <w:p w14:paraId="335A6346" w14:textId="00103525" w:rsidR="008300DC" w:rsidRDefault="008300DC" w:rsidP="008300DC">
      <w:pPr>
        <w:autoSpaceDE w:val="0"/>
        <w:autoSpaceDN w:val="0"/>
        <w:adjustRightInd w:val="0"/>
        <w:spacing w:after="240" w:line="360" w:lineRule="auto"/>
        <w:rPr>
          <w:rFonts w:ascii="Microsoft JhengHei" w:eastAsia="Microsoft JhengHei" w:hAnsi="Microsoft JhengHei"/>
          <w:color w:val="000000"/>
          <w:sz w:val="18"/>
          <w:szCs w:val="18"/>
          <w:shd w:val="clear" w:color="auto" w:fill="EFF6FF"/>
          <w:lang w:val="en-US"/>
        </w:rPr>
      </w:pPr>
      <w:r w:rsidRPr="008300DC">
        <w:rPr>
          <w:rFonts w:ascii="Times New Roman" w:eastAsiaTheme="minorEastAsia" w:hAnsi="Times New Roman"/>
          <w14:ligatures w14:val="standardContextual"/>
        </w:rPr>
        <w:t>This exclusion aims to prevent the misuse of the defen</w:t>
      </w:r>
      <w:r>
        <w:rPr>
          <w:rFonts w:ascii="Times New Roman" w:eastAsiaTheme="minorEastAsia" w:hAnsi="Times New Roman"/>
          <w14:ligatures w14:val="standardContextual"/>
        </w:rPr>
        <w:t>c</w:t>
      </w:r>
      <w:r w:rsidRPr="008300DC">
        <w:rPr>
          <w:rFonts w:ascii="Times New Roman" w:eastAsiaTheme="minorEastAsia" w:hAnsi="Times New Roman"/>
          <w14:ligatures w14:val="standardContextual"/>
        </w:rPr>
        <w:t>e in cases where infidelity alone triggers violent reactions.</w:t>
      </w:r>
      <w:r>
        <w:rPr>
          <w:rFonts w:ascii="Microsoft JhengHei" w:eastAsia="Microsoft JhengHei" w:hAnsi="Microsoft JhengHei"/>
          <w:color w:val="000000"/>
          <w:sz w:val="18"/>
          <w:szCs w:val="18"/>
          <w:shd w:val="clear" w:color="auto" w:fill="EFF6FF"/>
          <w:lang w:val="en-US"/>
        </w:rPr>
        <w:t xml:space="preserve"> </w:t>
      </w:r>
      <w:r w:rsidRPr="008300DC">
        <w:rPr>
          <w:rFonts w:ascii="Microsoft JhengHei" w:eastAsia="Microsoft JhengHei" w:hAnsi="Microsoft JhengHei" w:hint="eastAsia"/>
          <w:color w:val="000000"/>
          <w:sz w:val="18"/>
          <w:szCs w:val="18"/>
          <w:shd w:val="clear" w:color="auto" w:fill="EFF6FF"/>
          <w:lang w:val="en-US"/>
        </w:rPr>
        <w:t>這項免責條款旨在防止在不忠行為本身引發暴力反應的情況下濫用免責辯護</w:t>
      </w:r>
    </w:p>
    <w:p w14:paraId="27E9B4BA" w14:textId="6A21F254"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However, complexities arise when infidelity is intertwined with sustained psychological or emotional abuse.</w:t>
      </w:r>
    </w:p>
    <w:p w14:paraId="4BC71158" w14:textId="77777777" w:rsid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501AE650"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2EF14BA4"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lastRenderedPageBreak/>
        <w:t>3. The Objective Test</w:t>
      </w:r>
    </w:p>
    <w:p w14:paraId="79EF90EA"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 xml:space="preserve">Under Section 54(1)(c), the reaction of the defendant must be assessed against the standard of a person of the </w:t>
      </w:r>
      <w:r w:rsidRPr="008300DC">
        <w:rPr>
          <w:rFonts w:ascii="Times New Roman" w:eastAsiaTheme="minorEastAsia" w:hAnsi="Times New Roman"/>
          <w:b/>
          <w:bCs/>
          <w14:ligatures w14:val="standardContextual"/>
        </w:rPr>
        <w:t>same age and sex, with a normal degree of tolerance and self-restraint</w:t>
      </w:r>
      <w:r w:rsidRPr="008300DC">
        <w:rPr>
          <w:rFonts w:ascii="Times New Roman" w:eastAsiaTheme="minorEastAsia" w:hAnsi="Times New Roman"/>
          <w14:ligatures w14:val="standardContextual"/>
        </w:rPr>
        <w:t>, in the defendant’s circumstances.</w:t>
      </w:r>
    </w:p>
    <w:p w14:paraId="76976601" w14:textId="77777777"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b/>
          <w:bCs/>
          <w14:ligatures w14:val="standardContextual"/>
        </w:rPr>
        <w:t>Key Case</w:t>
      </w:r>
      <w:r w:rsidRPr="008300DC">
        <w:rPr>
          <w:rFonts w:ascii="Times New Roman" w:eastAsiaTheme="minorEastAsia" w:hAnsi="Times New Roman"/>
          <w14:ligatures w14:val="standardContextual"/>
        </w:rPr>
        <w:t xml:space="preserve">: </w:t>
      </w:r>
      <w:r w:rsidRPr="008300DC">
        <w:rPr>
          <w:rFonts w:ascii="Times New Roman" w:eastAsiaTheme="minorEastAsia" w:hAnsi="Times New Roman"/>
          <w:b/>
          <w:bCs/>
          <w14:ligatures w14:val="standardContextual"/>
        </w:rPr>
        <w:t>Attorney General for Jersey v Holley (2005)</w:t>
      </w:r>
      <w:r w:rsidRPr="008300DC">
        <w:rPr>
          <w:rFonts w:ascii="Times New Roman" w:eastAsiaTheme="minorEastAsia" w:hAnsi="Times New Roman"/>
          <w14:ligatures w14:val="standardContextual"/>
        </w:rPr>
        <w:t xml:space="preserve"> reaffirmed the objective nature of this standard, rejecting the influence of subjective traits like temper.</w:t>
      </w:r>
    </w:p>
    <w:p w14:paraId="29311E17" w14:textId="77777777"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b/>
          <w:bCs/>
          <w14:ligatures w14:val="standardContextual"/>
        </w:rPr>
        <w:t>Implications</w:t>
      </w:r>
      <w:r w:rsidRPr="008300DC">
        <w:rPr>
          <w:rFonts w:ascii="Times New Roman" w:eastAsiaTheme="minorEastAsia" w:hAnsi="Times New Roman"/>
          <w14:ligatures w14:val="standardContextual"/>
        </w:rPr>
        <w:t>:</w:t>
      </w:r>
    </w:p>
    <w:p w14:paraId="5C5C1738" w14:textId="5BCF9F39"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Pr="008300DC">
        <w:rPr>
          <w:rFonts w:ascii="Times New Roman" w:eastAsiaTheme="minorEastAsia" w:hAnsi="Times New Roman"/>
          <w14:ligatures w14:val="standardContextual"/>
        </w:rPr>
        <w:t>Balances subjective circumstances with societal standards.</w:t>
      </w:r>
    </w:p>
    <w:p w14:paraId="53F3A864" w14:textId="1FDAE3E0"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14:ligatures w14:val="standardContextual"/>
        </w:rPr>
        <w:t xml:space="preserve">- </w:t>
      </w:r>
      <w:r w:rsidRPr="008300DC">
        <w:rPr>
          <w:rFonts w:ascii="Times New Roman" w:eastAsiaTheme="minorEastAsia" w:hAnsi="Times New Roman"/>
          <w14:ligatures w14:val="standardContextual"/>
        </w:rPr>
        <w:t>Poses challenges in complex cases, such as those involving emotional immaturity or mental disorders.</w:t>
      </w:r>
    </w:p>
    <w:p w14:paraId="458FF77E"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3F167D95"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4. Domestic Abuse and Abused Women</w:t>
      </w:r>
    </w:p>
    <w:p w14:paraId="5CDC8AAE" w14:textId="3588C46A"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The Act significantly broadens the defen</w:t>
      </w:r>
      <w:r>
        <w:rPr>
          <w:rFonts w:ascii="Times New Roman" w:eastAsiaTheme="minorEastAsia" w:hAnsi="Times New Roman"/>
          <w14:ligatures w14:val="standardContextual"/>
        </w:rPr>
        <w:t>c</w:t>
      </w:r>
      <w:r w:rsidRPr="008300DC">
        <w:rPr>
          <w:rFonts w:ascii="Times New Roman" w:eastAsiaTheme="minorEastAsia" w:hAnsi="Times New Roman"/>
          <w14:ligatures w14:val="standardContextual"/>
        </w:rPr>
        <w:t>e's applicability for victims of prolonged abuse, addressing the criticisms under the old provocation law.</w:t>
      </w:r>
    </w:p>
    <w:p w14:paraId="13C10EFA" w14:textId="481806BA"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Fear Trigger Application</w:t>
      </w:r>
      <w:r w:rsidRPr="008300DC">
        <w:rPr>
          <w:rFonts w:ascii="Times New Roman" w:eastAsiaTheme="minorEastAsia" w:hAnsi="Times New Roman"/>
          <w14:ligatures w14:val="standardContextual"/>
        </w:rPr>
        <w:t xml:space="preserve">: Covers pre-emptive actions where </w:t>
      </w:r>
      <w:r w:rsidRPr="008300DC">
        <w:rPr>
          <w:rFonts w:ascii="Times New Roman" w:eastAsiaTheme="minorEastAsia" w:hAnsi="Times New Roman"/>
          <w:u w:val="single"/>
          <w14:ligatures w14:val="standardContextual"/>
        </w:rPr>
        <w:t>immediate violence isn’t present</w:t>
      </w:r>
      <w:r w:rsidRPr="008300DC">
        <w:rPr>
          <w:rFonts w:ascii="Times New Roman" w:eastAsiaTheme="minorEastAsia" w:hAnsi="Times New Roman"/>
          <w14:ligatures w14:val="standardContextual"/>
        </w:rPr>
        <w:t xml:space="preserve"> </w:t>
      </w:r>
      <w:r w:rsidRPr="002C655B">
        <w:rPr>
          <w:rFonts w:ascii="Times New Roman" w:eastAsiaTheme="minorEastAsia" w:hAnsi="Times New Roman"/>
          <w:u w:val="single"/>
          <w14:ligatures w14:val="standardContextual"/>
        </w:rPr>
        <w:t>but where serious harm is anticipated</w:t>
      </w:r>
      <w:r w:rsidRPr="008300DC">
        <w:rPr>
          <w:rFonts w:ascii="Times New Roman" w:eastAsiaTheme="minorEastAsia" w:hAnsi="Times New Roman"/>
          <w14:ligatures w14:val="standardContextual"/>
        </w:rPr>
        <w:t>.</w:t>
      </w:r>
    </w:p>
    <w:p w14:paraId="70685785" w14:textId="54E7E17B"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Anger Trigger and Cumulative Abuse</w:t>
      </w:r>
      <w:r w:rsidRPr="008300DC">
        <w:rPr>
          <w:rFonts w:ascii="Times New Roman" w:eastAsiaTheme="minorEastAsia" w:hAnsi="Times New Roman"/>
          <w14:ligatures w14:val="standardContextual"/>
        </w:rPr>
        <w:t xml:space="preserve">: </w:t>
      </w:r>
      <w:r w:rsidRPr="008300DC">
        <w:rPr>
          <w:rFonts w:ascii="Times New Roman" w:eastAsiaTheme="minorEastAsia" w:hAnsi="Times New Roman"/>
          <w:u w:val="single"/>
          <w14:ligatures w14:val="standardContextual"/>
        </w:rPr>
        <w:t>Systematic and prolonged abuse</w:t>
      </w:r>
      <w:r w:rsidRPr="008300DC">
        <w:rPr>
          <w:rFonts w:ascii="Times New Roman" w:eastAsiaTheme="minorEastAsia" w:hAnsi="Times New Roman"/>
          <w14:ligatures w14:val="standardContextual"/>
        </w:rPr>
        <w:t xml:space="preserve"> can amount to </w:t>
      </w:r>
      <w:r w:rsidRPr="002C655B">
        <w:rPr>
          <w:rFonts w:ascii="Times New Roman" w:eastAsiaTheme="minorEastAsia" w:hAnsi="Times New Roman"/>
          <w:u w:val="single"/>
          <w14:ligatures w14:val="standardContextual"/>
        </w:rPr>
        <w:t>"extremely grave"</w:t>
      </w:r>
      <w:r w:rsidRPr="008300DC">
        <w:rPr>
          <w:rFonts w:ascii="Times New Roman" w:eastAsiaTheme="minorEastAsia" w:hAnsi="Times New Roman"/>
          <w14:ligatures w14:val="standardContextual"/>
        </w:rPr>
        <w:t xml:space="preserve"> conduct, justifying the defendant's reaction.</w:t>
      </w:r>
    </w:p>
    <w:p w14:paraId="6DF28D30" w14:textId="77777777"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b/>
          <w:bCs/>
          <w14:ligatures w14:val="standardContextual"/>
        </w:rPr>
        <w:t>Key Cases</w:t>
      </w:r>
      <w:r w:rsidRPr="008300DC">
        <w:rPr>
          <w:rFonts w:ascii="Times New Roman" w:eastAsiaTheme="minorEastAsia" w:hAnsi="Times New Roman"/>
          <w14:ligatures w14:val="standardContextual"/>
        </w:rPr>
        <w:t>:</w:t>
      </w:r>
    </w:p>
    <w:p w14:paraId="0D1F5EA8" w14:textId="3869A662"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u w:val="single"/>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R v Ahluwalia (1992)</w:t>
      </w:r>
      <w:r w:rsidRPr="008300DC">
        <w:rPr>
          <w:rFonts w:ascii="Times New Roman" w:eastAsiaTheme="minorEastAsia" w:hAnsi="Times New Roman"/>
          <w14:ligatures w14:val="standardContextual"/>
        </w:rPr>
        <w:t xml:space="preserve">: A landmark case highlighting the need for </w:t>
      </w:r>
      <w:r w:rsidRPr="008300DC">
        <w:rPr>
          <w:rFonts w:ascii="Times New Roman" w:eastAsiaTheme="minorEastAsia" w:hAnsi="Times New Roman"/>
          <w:u w:val="single"/>
          <w14:ligatures w14:val="standardContextual"/>
        </w:rPr>
        <w:t>recognizing cumulative abuse.</w:t>
      </w:r>
    </w:p>
    <w:p w14:paraId="077EFC05" w14:textId="2CF632BE"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 </w:t>
      </w:r>
      <w:r w:rsidRPr="008300DC">
        <w:rPr>
          <w:rFonts w:ascii="Times New Roman" w:eastAsiaTheme="minorEastAsia" w:hAnsi="Times New Roman"/>
          <w:b/>
          <w:bCs/>
          <w14:ligatures w14:val="standardContextual"/>
        </w:rPr>
        <w:t>R v Thornton (No.2) (1996)</w:t>
      </w:r>
      <w:r w:rsidRPr="008300DC">
        <w:rPr>
          <w:rFonts w:ascii="Times New Roman" w:eastAsiaTheme="minorEastAsia" w:hAnsi="Times New Roman"/>
          <w14:ligatures w14:val="standardContextual"/>
        </w:rPr>
        <w:t>: Explored how systematic abuse impacts victims' reactions.</w:t>
      </w:r>
    </w:p>
    <w:p w14:paraId="2D970D01"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16DABA41"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lastRenderedPageBreak/>
        <w:t>5. Gender and Moral Challenges</w:t>
      </w:r>
    </w:p>
    <w:p w14:paraId="60280FC0" w14:textId="5C9CE945"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Gender Sensitivity</w:t>
      </w:r>
    </w:p>
    <w:p w14:paraId="7BF1252B"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Incorporating "sex" into the objective test acknowledges the unique experiences of women, especially in domestic abuse scenarios. However, it still leaves room for judicial interpretation.</w:t>
      </w:r>
    </w:p>
    <w:p w14:paraId="6D2BDC74" w14:textId="75FDE640"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Moral Considerations</w:t>
      </w:r>
    </w:p>
    <w:p w14:paraId="46B53551"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What constitutes a "justifiable sense of being seriously wronged" is culturally nuanced. Excluding infidelity as a trigger reflects modern societal norms but can complicate cases of systematic abuse intertwined with infidelity.</w:t>
      </w:r>
    </w:p>
    <w:p w14:paraId="30CB42E9"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00D2C05C"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6. Limitations of the Reform</w:t>
      </w:r>
    </w:p>
    <w:p w14:paraId="302A497D" w14:textId="65DF06DA"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Loss of Self-Control Proof</w:t>
      </w:r>
      <w:r w:rsidRPr="008300DC">
        <w:rPr>
          <w:rFonts w:ascii="Times New Roman" w:eastAsiaTheme="minorEastAsia" w:hAnsi="Times New Roman"/>
          <w14:ligatures w14:val="standardContextual"/>
        </w:rPr>
        <w:t>: Reintroducing this requirement could disadvantage victims of prolonged abuse, as their reactions may not align with traditional notions of control loss.</w:t>
      </w:r>
    </w:p>
    <w:p w14:paraId="6151FF80" w14:textId="62C065BF"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Exclusion of Infidelity</w:t>
      </w:r>
      <w:r w:rsidRPr="008300DC">
        <w:rPr>
          <w:rFonts w:ascii="Times New Roman" w:eastAsiaTheme="minorEastAsia" w:hAnsi="Times New Roman"/>
          <w14:ligatures w14:val="standardContextual"/>
        </w:rPr>
        <w:t>: Overlooks its role in cumulative taunting or psychological harm.</w:t>
      </w:r>
    </w:p>
    <w:p w14:paraId="21C3B498" w14:textId="2C8535DE"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3. </w:t>
      </w:r>
      <w:r w:rsidRPr="008300DC">
        <w:rPr>
          <w:rFonts w:ascii="Times New Roman" w:eastAsiaTheme="minorEastAsia" w:hAnsi="Times New Roman"/>
          <w:b/>
          <w:bCs/>
          <w14:ligatures w14:val="standardContextual"/>
        </w:rPr>
        <w:t>Emphasis on Normal Tolerance</w:t>
      </w:r>
      <w:r w:rsidRPr="008300DC">
        <w:rPr>
          <w:rFonts w:ascii="Times New Roman" w:eastAsiaTheme="minorEastAsia" w:hAnsi="Times New Roman"/>
          <w14:ligatures w14:val="standardContextual"/>
        </w:rPr>
        <w:t>: Risks marginalizing vulnerable defendants, such as those with cognitive impairments or low emotional maturity.</w:t>
      </w:r>
    </w:p>
    <w:p w14:paraId="6BF3FA57"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09D7D49E"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7. Case Analyses</w:t>
      </w:r>
    </w:p>
    <w:p w14:paraId="3804725D" w14:textId="75EC037C"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1. </w:t>
      </w:r>
      <w:r w:rsidRPr="008300DC">
        <w:rPr>
          <w:rFonts w:ascii="Times New Roman" w:eastAsiaTheme="minorEastAsia" w:hAnsi="Times New Roman"/>
          <w:b/>
          <w:bCs/>
          <w14:ligatures w14:val="standardContextual"/>
        </w:rPr>
        <w:t>Attorney General for Jersey v Holley (2005)</w:t>
      </w:r>
      <w:r w:rsidRPr="008300DC">
        <w:rPr>
          <w:rFonts w:ascii="Times New Roman" w:eastAsiaTheme="minorEastAsia" w:hAnsi="Times New Roman"/>
          <w14:ligatures w14:val="standardContextual"/>
        </w:rPr>
        <w:t>:</w:t>
      </w:r>
    </w:p>
    <w:p w14:paraId="1DA41FC5"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Facts</w:t>
      </w:r>
      <w:r w:rsidRPr="008300DC">
        <w:rPr>
          <w:rFonts w:ascii="Times New Roman" w:eastAsiaTheme="minorEastAsia" w:hAnsi="Times New Roman"/>
          <w14:ligatures w14:val="standardContextual"/>
        </w:rPr>
        <w:t>: The defendant killed his partner after discovering her infidelity.</w:t>
      </w:r>
    </w:p>
    <w:p w14:paraId="3C639512"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Held</w:t>
      </w:r>
      <w:r w:rsidRPr="008300DC">
        <w:rPr>
          <w:rFonts w:ascii="Times New Roman" w:eastAsiaTheme="minorEastAsia" w:hAnsi="Times New Roman"/>
          <w14:ligatures w14:val="standardContextual"/>
        </w:rPr>
        <w:t>: Personal characteristics irrelevant to the provocation cannot lower self-control standards.</w:t>
      </w:r>
    </w:p>
    <w:p w14:paraId="535A9879"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Implication</w:t>
      </w:r>
      <w:r w:rsidRPr="008300DC">
        <w:rPr>
          <w:rFonts w:ascii="Times New Roman" w:eastAsiaTheme="minorEastAsia" w:hAnsi="Times New Roman"/>
          <w14:ligatures w14:val="standardContextual"/>
        </w:rPr>
        <w:t>: Reinforced objective societal benchmarks.</w:t>
      </w:r>
    </w:p>
    <w:p w14:paraId="559837FE" w14:textId="0B0D9D19" w:rsidR="008300DC" w:rsidRPr="008300DC" w:rsidRDefault="008300DC" w:rsidP="008300DC">
      <w:pPr>
        <w:tabs>
          <w:tab w:val="left" w:pos="220"/>
          <w:tab w:val="left" w:pos="72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2. </w:t>
      </w:r>
      <w:r w:rsidRPr="008300DC">
        <w:rPr>
          <w:rFonts w:ascii="Times New Roman" w:eastAsiaTheme="minorEastAsia" w:hAnsi="Times New Roman"/>
          <w:b/>
          <w:bCs/>
          <w14:ligatures w14:val="standardContextual"/>
        </w:rPr>
        <w:t>R v Ahluwalia (1992)</w:t>
      </w:r>
      <w:r w:rsidRPr="008300DC">
        <w:rPr>
          <w:rFonts w:ascii="Times New Roman" w:eastAsiaTheme="minorEastAsia" w:hAnsi="Times New Roman"/>
          <w14:ligatures w14:val="standardContextual"/>
        </w:rPr>
        <w:t>:</w:t>
      </w:r>
    </w:p>
    <w:p w14:paraId="500A34B8"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lastRenderedPageBreak/>
        <w:t>Facts</w:t>
      </w:r>
      <w:r w:rsidRPr="008300DC">
        <w:rPr>
          <w:rFonts w:ascii="Times New Roman" w:eastAsiaTheme="minorEastAsia" w:hAnsi="Times New Roman"/>
          <w14:ligatures w14:val="standardContextual"/>
        </w:rPr>
        <w:t xml:space="preserve">: The defendant, </w:t>
      </w:r>
      <w:proofErr w:type="spellStart"/>
      <w:r w:rsidRPr="008300DC">
        <w:rPr>
          <w:rFonts w:ascii="Times New Roman" w:eastAsiaTheme="minorEastAsia" w:hAnsi="Times New Roman"/>
          <w14:ligatures w14:val="standardContextual"/>
        </w:rPr>
        <w:t>Kiranjit</w:t>
      </w:r>
      <w:proofErr w:type="spellEnd"/>
      <w:r w:rsidRPr="008300DC">
        <w:rPr>
          <w:rFonts w:ascii="Times New Roman" w:eastAsiaTheme="minorEastAsia" w:hAnsi="Times New Roman"/>
          <w14:ligatures w14:val="standardContextual"/>
        </w:rPr>
        <w:t xml:space="preserve"> Ahluwalia, suffered years of extreme domestic violence at the hands of her husband, Deepak. This included physical abuse, psychological torment, and repeated threats.</w:t>
      </w:r>
    </w:p>
    <w:p w14:paraId="3295522F"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On the night of the incident, Ahluwalia set fire to her husband while he was sleeping. He succumbed to his injuries six days later.</w:t>
      </w:r>
    </w:p>
    <w:p w14:paraId="7053CB12" w14:textId="77777777" w:rsid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Ahluwalia claimed she acted out of fear for her life, following a particularly violent incident that evening, coupled with a culmination of years of abuse.</w:t>
      </w:r>
    </w:p>
    <w:p w14:paraId="640AEF9A"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Held</w:t>
      </w:r>
      <w:r w:rsidRPr="008300DC">
        <w:rPr>
          <w:rFonts w:ascii="Times New Roman" w:eastAsiaTheme="minorEastAsia" w:hAnsi="Times New Roman"/>
          <w14:ligatures w14:val="standardContextual"/>
        </w:rPr>
        <w:t xml:space="preserve">: At trial, the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of provocation was raised but failed because the "sudden and temporary" loss of self-control requirement was not met. The jury convicted Ahluwalia of murder.</w:t>
      </w:r>
    </w:p>
    <w:p w14:paraId="715948AA" w14:textId="77777777" w:rsid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 xml:space="preserve">The Court of Appeal quashed her murder conviction and substituted it with manslaughter, recognizing the cumulative effects of abuse under the diminished responsibility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instead.</w:t>
      </w:r>
    </w:p>
    <w:p w14:paraId="7CA5A334" w14:textId="274D56DF"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Implication</w:t>
      </w:r>
      <w:r w:rsidRPr="008300DC">
        <w:rPr>
          <w:rFonts w:ascii="Times New Roman" w:eastAsiaTheme="minorEastAsia" w:hAnsi="Times New Roman"/>
          <w14:ligatures w14:val="standardContextual"/>
        </w:rPr>
        <w:t xml:space="preserve">: R v Ahluwalia exposed the limitations of the provocation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especially for victims of prolonged domestic violence who act </w:t>
      </w:r>
      <w:r w:rsidR="00CE3015" w:rsidRPr="008300DC">
        <w:rPr>
          <w:rFonts w:ascii="Times New Roman" w:eastAsiaTheme="minorEastAsia" w:hAnsi="Times New Roman"/>
          <w14:ligatures w14:val="standardContextual"/>
        </w:rPr>
        <w:t>pre-emptively</w:t>
      </w:r>
      <w:r w:rsidRPr="008300DC">
        <w:rPr>
          <w:rFonts w:ascii="Times New Roman" w:eastAsiaTheme="minorEastAsia" w:hAnsi="Times New Roman"/>
          <w14:ligatures w14:val="standardContextual"/>
        </w:rPr>
        <w:t xml:space="preserve"> out of fear or desperation rather than immediate rage.</w:t>
      </w:r>
    </w:p>
    <w:p w14:paraId="3F5649B1" w14:textId="77777777" w:rsid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It emphasized the need for reforms that recognize cumulative abuse and psychological trauma, ultimately influencing the introduction of the fear trigger under the Coroners and Justice Act 2009.</w:t>
      </w:r>
    </w:p>
    <w:p w14:paraId="60292F04"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sym w:font="Wingdings" w:char="F0E0"/>
      </w:r>
      <w:r>
        <w:rPr>
          <w:rFonts w:ascii="Times New Roman" w:eastAsiaTheme="minorEastAsia" w:hAnsi="Times New Roman"/>
          <w14:ligatures w14:val="standardContextual"/>
        </w:rPr>
        <w:t xml:space="preserve"> </w:t>
      </w:r>
      <w:r w:rsidRPr="008300DC">
        <w:rPr>
          <w:rFonts w:ascii="Times New Roman" w:eastAsiaTheme="minorEastAsia" w:hAnsi="Times New Roman"/>
          <w14:ligatures w14:val="standardContextual"/>
        </w:rPr>
        <w:t xml:space="preserve">The common law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xml:space="preserve"> of provocation (before the Coroners and Justice Act 2009) required the defendant to have acted in a sudden and temporary loss of self-control.</w:t>
      </w:r>
    </w:p>
    <w:p w14:paraId="3486DBCC" w14:textId="6B430CCE" w:rsid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The concept was rooted in cases involving immediate reactions to provocation (e.g., being taunted or attacked).</w:t>
      </w:r>
      <w:r>
        <w:rPr>
          <w:rFonts w:ascii="Times New Roman" w:eastAsiaTheme="minorEastAsia" w:hAnsi="Times New Roman"/>
          <w14:ligatures w14:val="standardContextual"/>
        </w:rPr>
        <w:t xml:space="preserve"> </w:t>
      </w:r>
    </w:p>
    <w:p w14:paraId="28C0FE92" w14:textId="111861D2" w:rsid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sym w:font="Wingdings" w:char="F0E0"/>
      </w:r>
      <w:r>
        <w:rPr>
          <w:rFonts w:ascii="Times New Roman" w:eastAsiaTheme="minorEastAsia" w:hAnsi="Times New Roman"/>
          <w14:ligatures w14:val="standardContextual"/>
        </w:rPr>
        <w:t xml:space="preserve"> Now, after the CJA, the defendant will likely have a defence under the fear trigger. </w:t>
      </w:r>
    </w:p>
    <w:p w14:paraId="311CC8E9" w14:textId="4AE7F2B1"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Pr>
          <w:rFonts w:ascii="Times New Roman" w:eastAsiaTheme="minorEastAsia" w:hAnsi="Times New Roman"/>
          <w:b/>
          <w:bCs/>
          <w14:ligatures w14:val="standardContextual"/>
        </w:rPr>
        <w:t xml:space="preserve">3. </w:t>
      </w:r>
      <w:r w:rsidRPr="008300DC">
        <w:rPr>
          <w:rFonts w:ascii="Times New Roman" w:eastAsiaTheme="minorEastAsia" w:hAnsi="Times New Roman"/>
          <w:b/>
          <w:bCs/>
          <w14:ligatures w14:val="standardContextual"/>
        </w:rPr>
        <w:t>R v Doughty (1986)</w:t>
      </w:r>
      <w:r w:rsidRPr="008300DC">
        <w:rPr>
          <w:rFonts w:ascii="Times New Roman" w:eastAsiaTheme="minorEastAsia" w:hAnsi="Times New Roman"/>
          <w14:ligatures w14:val="standardContextual"/>
        </w:rPr>
        <w:t>:</w:t>
      </w:r>
    </w:p>
    <w:p w14:paraId="38545BA0"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Facts</w:t>
      </w:r>
      <w:r w:rsidRPr="008300DC">
        <w:rPr>
          <w:rFonts w:ascii="Times New Roman" w:eastAsiaTheme="minorEastAsia" w:hAnsi="Times New Roman"/>
          <w14:ligatures w14:val="standardContextual"/>
        </w:rPr>
        <w:t>: A father killed his baby due to crying stress.</w:t>
      </w:r>
    </w:p>
    <w:p w14:paraId="174BDFD2"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lastRenderedPageBreak/>
        <w:t>Held</w:t>
      </w:r>
      <w:r w:rsidRPr="008300DC">
        <w:rPr>
          <w:rFonts w:ascii="Times New Roman" w:eastAsiaTheme="minorEastAsia" w:hAnsi="Times New Roman"/>
          <w14:ligatures w14:val="standardContextual"/>
        </w:rPr>
        <w:t>: Trivial provocations sufficed under old law.</w:t>
      </w:r>
    </w:p>
    <w:p w14:paraId="54D634D5" w14:textId="77777777" w:rsidR="008300DC" w:rsidRPr="008300DC" w:rsidRDefault="008300DC" w:rsidP="008300DC">
      <w:pPr>
        <w:tabs>
          <w:tab w:val="left" w:pos="940"/>
          <w:tab w:val="left" w:pos="1440"/>
        </w:tabs>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i/>
          <w:iCs/>
          <w14:ligatures w14:val="standardContextual"/>
        </w:rPr>
        <w:t>Implication</w:t>
      </w:r>
      <w:r w:rsidRPr="008300DC">
        <w:rPr>
          <w:rFonts w:ascii="Times New Roman" w:eastAsiaTheme="minorEastAsia" w:hAnsi="Times New Roman"/>
          <w14:ligatures w14:val="standardContextual"/>
        </w:rPr>
        <w:t xml:space="preserve">: Reforms restrict such </w:t>
      </w:r>
      <w:proofErr w:type="spellStart"/>
      <w:r w:rsidRPr="008300DC">
        <w:rPr>
          <w:rFonts w:ascii="Times New Roman" w:eastAsiaTheme="minorEastAsia" w:hAnsi="Times New Roman"/>
          <w14:ligatures w14:val="standardContextual"/>
        </w:rPr>
        <w:t>defenses</w:t>
      </w:r>
      <w:proofErr w:type="spellEnd"/>
      <w:r w:rsidRPr="008300DC">
        <w:rPr>
          <w:rFonts w:ascii="Times New Roman" w:eastAsiaTheme="minorEastAsia" w:hAnsi="Times New Roman"/>
          <w14:ligatures w14:val="standardContextual"/>
        </w:rPr>
        <w:t>.</w:t>
      </w:r>
    </w:p>
    <w:p w14:paraId="38B5BC66"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p>
    <w:p w14:paraId="2F0979E9" w14:textId="77777777" w:rsidR="008300DC" w:rsidRPr="008300DC" w:rsidRDefault="008300DC" w:rsidP="008300DC">
      <w:pPr>
        <w:autoSpaceDE w:val="0"/>
        <w:autoSpaceDN w:val="0"/>
        <w:adjustRightInd w:val="0"/>
        <w:spacing w:after="240" w:line="360" w:lineRule="auto"/>
        <w:rPr>
          <w:rFonts w:ascii="Times New Roman" w:eastAsiaTheme="minorEastAsia" w:hAnsi="Times New Roman"/>
          <w:b/>
          <w:bCs/>
          <w14:ligatures w14:val="standardContextual"/>
        </w:rPr>
      </w:pPr>
      <w:r w:rsidRPr="008300DC">
        <w:rPr>
          <w:rFonts w:ascii="Times New Roman" w:eastAsiaTheme="minorEastAsia" w:hAnsi="Times New Roman"/>
          <w:b/>
          <w:bCs/>
          <w14:ligatures w14:val="standardContextual"/>
        </w:rPr>
        <w:t>8. Philosophical Basis</w:t>
      </w:r>
    </w:p>
    <w:p w14:paraId="1996A5DB" w14:textId="7C68CF90" w:rsidR="008300DC" w:rsidRPr="008300DC" w:rsidRDefault="008300DC" w:rsidP="008300DC">
      <w:pPr>
        <w:autoSpaceDE w:val="0"/>
        <w:autoSpaceDN w:val="0"/>
        <w:adjustRightInd w:val="0"/>
        <w:spacing w:after="240" w:line="360" w:lineRule="auto"/>
        <w:rPr>
          <w:rFonts w:ascii="Times New Roman" w:eastAsiaTheme="minorEastAsia" w:hAnsi="Times New Roman"/>
          <w14:ligatures w14:val="standardContextual"/>
        </w:rPr>
      </w:pPr>
      <w:r w:rsidRPr="008300DC">
        <w:rPr>
          <w:rFonts w:ascii="Times New Roman" w:eastAsiaTheme="minorEastAsia" w:hAnsi="Times New Roman"/>
          <w14:ligatures w14:val="standardContextual"/>
        </w:rPr>
        <w:t xml:space="preserve">The reform shifts from excusing human frailty (old provocation </w:t>
      </w:r>
      <w:proofErr w:type="spellStart"/>
      <w:r w:rsidRPr="008300DC">
        <w:rPr>
          <w:rFonts w:ascii="Times New Roman" w:eastAsiaTheme="minorEastAsia" w:hAnsi="Times New Roman"/>
          <w14:ligatures w14:val="standardContextual"/>
        </w:rPr>
        <w:t>defense</w:t>
      </w:r>
      <w:proofErr w:type="spellEnd"/>
      <w:r w:rsidRPr="008300DC">
        <w:rPr>
          <w:rFonts w:ascii="Times New Roman" w:eastAsiaTheme="minorEastAsia" w:hAnsi="Times New Roman"/>
          <w14:ligatures w14:val="standardContextual"/>
        </w:rPr>
        <w:t>) to recogni</w:t>
      </w:r>
      <w:r>
        <w:rPr>
          <w:rFonts w:ascii="Times New Roman" w:eastAsiaTheme="minorEastAsia" w:hAnsi="Times New Roman"/>
          <w14:ligatures w14:val="standardContextual"/>
        </w:rPr>
        <w:t>s</w:t>
      </w:r>
      <w:r w:rsidRPr="008300DC">
        <w:rPr>
          <w:rFonts w:ascii="Times New Roman" w:eastAsiaTheme="minorEastAsia" w:hAnsi="Times New Roman"/>
          <w14:ligatures w14:val="standardContextual"/>
        </w:rPr>
        <w:t>ing morally justifiable emotions like anger or fear. It introduces the concept of "imperfect justification" to balance wrongful actions with legitimate emotional responses.</w:t>
      </w:r>
    </w:p>
    <w:p w14:paraId="246AD81B" w14:textId="77777777" w:rsidR="00CD39F1" w:rsidRPr="008300DC" w:rsidRDefault="00CD39F1" w:rsidP="008300DC">
      <w:pPr>
        <w:spacing w:after="240" w:line="360" w:lineRule="auto"/>
        <w:rPr>
          <w:rFonts w:ascii="Times New Roman" w:hAnsi="Times New Roman"/>
          <w:lang w:val="en-US"/>
        </w:rPr>
      </w:pPr>
    </w:p>
    <w:sectPr w:rsidR="00CD39F1" w:rsidRPr="008300DC" w:rsidSect="008300D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6019758">
    <w:abstractNumId w:val="0"/>
  </w:num>
  <w:num w:numId="2" w16cid:durableId="1423455938">
    <w:abstractNumId w:val="1"/>
  </w:num>
  <w:num w:numId="3" w16cid:durableId="1666012891">
    <w:abstractNumId w:val="2"/>
  </w:num>
  <w:num w:numId="4" w16cid:durableId="1476410737">
    <w:abstractNumId w:val="3"/>
  </w:num>
  <w:num w:numId="5" w16cid:durableId="1510557518">
    <w:abstractNumId w:val="4"/>
  </w:num>
  <w:num w:numId="6" w16cid:durableId="1185442629">
    <w:abstractNumId w:val="5"/>
  </w:num>
  <w:num w:numId="7" w16cid:durableId="1985549279">
    <w:abstractNumId w:val="6"/>
  </w:num>
  <w:num w:numId="8" w16cid:durableId="129634471">
    <w:abstractNumId w:val="7"/>
  </w:num>
  <w:num w:numId="9" w16cid:durableId="2253433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D9"/>
    <w:rsid w:val="000147A9"/>
    <w:rsid w:val="00042755"/>
    <w:rsid w:val="0006107D"/>
    <w:rsid w:val="000623A3"/>
    <w:rsid w:val="00094D65"/>
    <w:rsid w:val="000A2074"/>
    <w:rsid w:val="000A3F4D"/>
    <w:rsid w:val="000C4ABC"/>
    <w:rsid w:val="000C58D7"/>
    <w:rsid w:val="000E15ED"/>
    <w:rsid w:val="00101CCF"/>
    <w:rsid w:val="001502D9"/>
    <w:rsid w:val="0019260C"/>
    <w:rsid w:val="001B0E31"/>
    <w:rsid w:val="001D360C"/>
    <w:rsid w:val="001E2584"/>
    <w:rsid w:val="00223837"/>
    <w:rsid w:val="00243CED"/>
    <w:rsid w:val="00257540"/>
    <w:rsid w:val="0026510F"/>
    <w:rsid w:val="002C655B"/>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F776E"/>
    <w:rsid w:val="008300DC"/>
    <w:rsid w:val="00830C88"/>
    <w:rsid w:val="00861B11"/>
    <w:rsid w:val="008829C2"/>
    <w:rsid w:val="008A54BE"/>
    <w:rsid w:val="008C7B0A"/>
    <w:rsid w:val="008D0642"/>
    <w:rsid w:val="008E745B"/>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E3015"/>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3F74C2B"/>
  <w15:chartTrackingRefBased/>
  <w15:docId w15:val="{87AA2EDB-5B0E-B44B-B515-55B204BBC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50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0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02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2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502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502D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02D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02D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02D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2D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502D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1502D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1502D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502D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502D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502D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502D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502D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502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2D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502D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2D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502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02D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502D9"/>
    <w:pPr>
      <w:ind w:left="720"/>
      <w:contextualSpacing/>
    </w:pPr>
  </w:style>
  <w:style w:type="character" w:styleId="IntenseEmphasis">
    <w:name w:val="Intense Emphasis"/>
    <w:basedOn w:val="DefaultParagraphFont"/>
    <w:uiPriority w:val="21"/>
    <w:qFormat/>
    <w:rsid w:val="001502D9"/>
    <w:rPr>
      <w:i/>
      <w:iCs/>
      <w:color w:val="2F5496" w:themeColor="accent1" w:themeShade="BF"/>
    </w:rPr>
  </w:style>
  <w:style w:type="paragraph" w:styleId="IntenseQuote">
    <w:name w:val="Intense Quote"/>
    <w:basedOn w:val="Normal"/>
    <w:next w:val="Normal"/>
    <w:link w:val="IntenseQuoteChar"/>
    <w:uiPriority w:val="30"/>
    <w:qFormat/>
    <w:rsid w:val="00150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2D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502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843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1101</Words>
  <Characters>6282</Characters>
  <Application>Microsoft Office Word</Application>
  <DocSecurity>0</DocSecurity>
  <Lines>52</Lines>
  <Paragraphs>14</Paragraphs>
  <ScaleCrop>false</ScaleCrop>
  <Company/>
  <LinksUpToDate>false</LinksUpToDate>
  <CharactersWithSpaces>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2024-11-26T13:48:00Z</dcterms:created>
  <dcterms:modified xsi:type="dcterms:W3CDTF">2024-11-26T21:26:00Z</dcterms:modified>
</cp:coreProperties>
</file>