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F62A4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 xml:space="preserve">1. Evolution of the </w:t>
      </w:r>
      <w:proofErr w:type="spellStart"/>
      <w:r w:rsidRPr="003102FF">
        <w:rPr>
          <w:rFonts w:ascii="Times New Roman" w:eastAsiaTheme="minorEastAsia" w:hAnsi="Times New Roman"/>
          <w:b/>
          <w:bCs/>
          <w14:ligatures w14:val="standardContextual"/>
        </w:rPr>
        <w:t>Defense</w:t>
      </w:r>
      <w:proofErr w:type="spellEnd"/>
    </w:p>
    <w:p w14:paraId="76A7E94B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 xml:space="preserve">Section 2(1) of the </w:t>
      </w:r>
      <w:r w:rsidRPr="003102FF">
        <w:rPr>
          <w:rFonts w:ascii="Times New Roman" w:eastAsiaTheme="minorEastAsia" w:hAnsi="Times New Roman"/>
          <w:b/>
          <w:bCs/>
          <w:i/>
          <w:iCs/>
          <w14:ligatures w14:val="standardContextual"/>
        </w:rPr>
        <w:t>Homicide Act 1957</w:t>
      </w:r>
    </w:p>
    <w:p w14:paraId="22ADD989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14:ligatures w14:val="standardContextual"/>
        </w:rPr>
        <w:t xml:space="preserve">Allowed defendants to plead diminished responsibility if they suffered from an </w:t>
      </w:r>
      <w:r w:rsidRPr="003102FF">
        <w:rPr>
          <w:rFonts w:ascii="Times New Roman" w:eastAsiaTheme="minorEastAsia" w:hAnsi="Times New Roman"/>
          <w:u w:val="single"/>
          <w14:ligatures w14:val="standardContextual"/>
        </w:rPr>
        <w:t>“abnormality of mind”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that:</w:t>
      </w:r>
    </w:p>
    <w:p w14:paraId="027F16D8" w14:textId="3E4DF4FC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Arises from arrested or retarded development, inherent causes, or disease/injury.</w:t>
      </w:r>
    </w:p>
    <w:p w14:paraId="609C072D" w14:textId="490A75D5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Substantially impairs their mental responsibility for the killing.</w:t>
      </w:r>
    </w:p>
    <w:p w14:paraId="5CCC37B8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Criticisms:</w:t>
      </w:r>
    </w:p>
    <w:p w14:paraId="21826DAE" w14:textId="70D791B2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Vague terminology such as “abnormality of mind” and lack of detailed criteria led to inconsistencies.</w:t>
      </w:r>
    </w:p>
    <w:p w14:paraId="23B66BE7" w14:textId="4939D928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Case law such as 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>R v Byrne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[1960] stretched interpretations, allowing wide discretion but creating uncertainty.</w:t>
      </w:r>
    </w:p>
    <w:p w14:paraId="28563F88" w14:textId="5A69E73D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Over-reliance on expert witnesses without statutory guidance.</w:t>
      </w:r>
    </w:p>
    <w:p w14:paraId="0FD00A3E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 xml:space="preserve">Section 52 of the </w:t>
      </w:r>
      <w:r w:rsidRPr="003102FF">
        <w:rPr>
          <w:rFonts w:ascii="Times New Roman" w:eastAsiaTheme="minorEastAsia" w:hAnsi="Times New Roman"/>
          <w:b/>
          <w:bCs/>
          <w:i/>
          <w:iCs/>
          <w14:ligatures w14:val="standardContextual"/>
        </w:rPr>
        <w:t>Coroners and Justice Act 2009</w:t>
      </w:r>
    </w:p>
    <w:p w14:paraId="3B25AB17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14:ligatures w14:val="standardContextual"/>
        </w:rPr>
        <w:t>Modernized the definition with the following key elements:</w:t>
      </w:r>
    </w:p>
    <w:p w14:paraId="2F215E88" w14:textId="2C4E58F2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Abnormality of Mental Functioning: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Replaces "mind" with "mental functioning" to emphasi</w:t>
      </w:r>
      <w:r>
        <w:rPr>
          <w:rFonts w:ascii="Times New Roman" w:eastAsiaTheme="minorEastAsia" w:hAnsi="Times New Roman"/>
          <w14:ligatures w14:val="standardContextual"/>
        </w:rPr>
        <w:t>s</w:t>
      </w:r>
      <w:r w:rsidRPr="003102FF">
        <w:rPr>
          <w:rFonts w:ascii="Times New Roman" w:eastAsiaTheme="minorEastAsia" w:hAnsi="Times New Roman"/>
          <w14:ligatures w14:val="standardContextual"/>
        </w:rPr>
        <w:t>e mental processes.</w:t>
      </w:r>
    </w:p>
    <w:p w14:paraId="2E3464B2" w14:textId="73A436F0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Recognized Medical Condition: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A diagnosable condition must underpin the claim (DSM/ICD standards).</w:t>
      </w:r>
    </w:p>
    <w:p w14:paraId="2B07B99C" w14:textId="05A20A06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Substantial Impairment: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Limits </w:t>
      </w:r>
      <w:proofErr w:type="spellStart"/>
      <w:r w:rsidRPr="003102FF">
        <w:rPr>
          <w:rFonts w:ascii="Times New Roman" w:eastAsiaTheme="minorEastAsia" w:hAnsi="Times New Roman"/>
          <w14:ligatures w14:val="standardContextual"/>
        </w:rPr>
        <w:t>defense</w:t>
      </w:r>
      <w:proofErr w:type="spellEnd"/>
      <w:r w:rsidRPr="003102FF">
        <w:rPr>
          <w:rFonts w:ascii="Times New Roman" w:eastAsiaTheme="minorEastAsia" w:hAnsi="Times New Roman"/>
          <w14:ligatures w14:val="standardContextual"/>
        </w:rPr>
        <w:t xml:space="preserve"> to specific abilities impaired:</w:t>
      </w:r>
    </w:p>
    <w:p w14:paraId="6268714F" w14:textId="78EC7C3E" w:rsidR="003102FF" w:rsidRPr="003102FF" w:rsidRDefault="003102FF" w:rsidP="003102FF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Understanding the nature of conduct.</w:t>
      </w:r>
    </w:p>
    <w:p w14:paraId="5BCFC328" w14:textId="131C545F" w:rsidR="003102FF" w:rsidRPr="003102FF" w:rsidRDefault="003102FF" w:rsidP="003102FF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Forming rational judgment.</w:t>
      </w:r>
    </w:p>
    <w:p w14:paraId="4C7EBF1B" w14:textId="07CB08C6" w:rsidR="003102FF" w:rsidRPr="003102FF" w:rsidRDefault="003102FF" w:rsidP="003102FF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Exercising self-control.</w:t>
      </w:r>
    </w:p>
    <w:p w14:paraId="35764607" w14:textId="42CE13B6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4.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Causal Link: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The abnormality must cause or be a significant contributory factor in the killing.</w:t>
      </w:r>
    </w:p>
    <w:p w14:paraId="15693E81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18FAB0A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2. Detailed Analysis of Key Provisions</w:t>
      </w:r>
    </w:p>
    <w:p w14:paraId="7FA15FBE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A. "Abnormality of Mental Functioning"</w:t>
      </w:r>
    </w:p>
    <w:p w14:paraId="6CE2F64E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Definition and Role:</w:t>
      </w:r>
    </w:p>
    <w:p w14:paraId="5A10047F" w14:textId="4508D3E6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Shifts focus from a static concept of “mind” to dynamic mental processes.</w:t>
      </w:r>
    </w:p>
    <w:p w14:paraId="33896736" w14:textId="23ED848D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Includes conditions impacting thought, perception, judgment, or emotions.</w:t>
      </w:r>
    </w:p>
    <w:p w14:paraId="39494BBF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Criticisms:</w:t>
      </w:r>
    </w:p>
    <w:p w14:paraId="4BEBC304" w14:textId="084D4788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Not a clinical term; debated by Baroness Murphy as still vague despite being “better” than “abnormality of mind.”</w:t>
      </w:r>
    </w:p>
    <w:p w14:paraId="2EA5481F" w14:textId="687C8734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Compared to Scotland and New South Wales, which retain broader definitions ("abnormality of mind").</w:t>
      </w:r>
    </w:p>
    <w:p w14:paraId="15CC94AC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47041EE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B. "Recognized Medical Condition"</w:t>
      </w:r>
    </w:p>
    <w:p w14:paraId="419E312F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Definition: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Must correspond to DSM-IV/ICD-10 classifications, covering psychiatric, psychological, and physical conditions. Examples include:</w:t>
      </w:r>
    </w:p>
    <w:p w14:paraId="6CD1BD3A" w14:textId="39F7AAFA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Schizophrenia, PTSD, or depression.</w:t>
      </w:r>
    </w:p>
    <w:p w14:paraId="45553C27" w14:textId="0E19C7A5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Physical conditions like epilepsy or diabetes if linked to impaired functioning.</w:t>
      </w:r>
    </w:p>
    <w:p w14:paraId="71F1752A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Significance:</w:t>
      </w:r>
    </w:p>
    <w:p w14:paraId="5728B3A8" w14:textId="77777777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14:ligatures w14:val="standardContextual"/>
        </w:rPr>
        <w:t>Aligns the law with modern psychiatry, preventing arbitrary diagnoses.</w:t>
      </w:r>
    </w:p>
    <w:p w14:paraId="4F812758" w14:textId="417336C4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Excludes conditions like immaturity unless explicitly linked to a recognized disorder.</w:t>
      </w:r>
    </w:p>
    <w:p w14:paraId="28CF49B7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Criticism:</w:t>
      </w:r>
    </w:p>
    <w:p w14:paraId="334BB6CA" w14:textId="596B1951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Over-medicalization: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Cases like 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>mercy killings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(e.g., an individual acting under moral duress) or borderline disorders risk exclusion.</w:t>
      </w:r>
    </w:p>
    <w:p w14:paraId="7AB03DE5" w14:textId="169AC87F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Could exacerbate the challenges for defendants unable to meet strict diagnostic thresholds.</w:t>
      </w:r>
    </w:p>
    <w:p w14:paraId="56436437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2686CB7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C. "Substantially Impaired Ability"</w:t>
      </w:r>
    </w:p>
    <w:p w14:paraId="2B1FA769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Definition: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Impairment must impact one or more of the three abilities outlined in Section 52(1A):</w:t>
      </w:r>
    </w:p>
    <w:p w14:paraId="78663571" w14:textId="6D031D02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Understanding the nature of conduct.</w:t>
      </w:r>
    </w:p>
    <w:p w14:paraId="041D2924" w14:textId="6E75A539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Forming rational judgment.</w:t>
      </w:r>
    </w:p>
    <w:p w14:paraId="6DBFEB92" w14:textId="53B45691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Exercising self-control.</w:t>
      </w:r>
    </w:p>
    <w:p w14:paraId="76BD214B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Case Law:</w:t>
      </w:r>
    </w:p>
    <w:p w14:paraId="50B3319B" w14:textId="20A96D83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i/>
          <w:iCs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>R v Lloyd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[1967]: "Substantial" means less than total but more than trivial.</w:t>
      </w:r>
    </w:p>
    <w:p w14:paraId="0582EECA" w14:textId="537B0ADA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i/>
          <w:iCs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>R v Byrne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[1960]: Clarified the scope of impairment, including willpower and decision-making.</w:t>
      </w:r>
    </w:p>
    <w:p w14:paraId="0B0F68F1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Criticism:</w:t>
      </w:r>
    </w:p>
    <w:p w14:paraId="6939A9CF" w14:textId="2548F45F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Narrower criteria could exclude cases previously falling within broader definitions.</w:t>
      </w:r>
    </w:p>
    <w:p w14:paraId="6434563E" w14:textId="259897C7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For example, distortions in perception (e.g., delusions not affecting self-control) might fail to meet the criteria.</w:t>
      </w:r>
    </w:p>
    <w:p w14:paraId="3BA05673" w14:textId="431F2DC6" w:rsid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13DD1F71" w14:textId="77777777" w:rsid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3602A00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F1416DC" w14:textId="77777777" w:rsid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D. Causal Link </w:t>
      </w:r>
    </w:p>
    <w:p w14:paraId="4E088111" w14:textId="23AD6BFA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Definition: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The abnormality must explain or significantly contribute to the killing, as per Section 52(1B).</w:t>
      </w:r>
    </w:p>
    <w:p w14:paraId="374C4F87" w14:textId="1AE9D3C2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Does not need to be the sole or dominant cause but must be more than trivial (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 xml:space="preserve">R v </w:t>
      </w:r>
      <w:proofErr w:type="spellStart"/>
      <w:r w:rsidRPr="003102FF">
        <w:rPr>
          <w:rFonts w:ascii="Times New Roman" w:eastAsiaTheme="minorEastAsia" w:hAnsi="Times New Roman"/>
          <w:i/>
          <w:iCs/>
          <w14:ligatures w14:val="standardContextual"/>
        </w:rPr>
        <w:t>Dietschmann</w:t>
      </w:r>
      <w:proofErr w:type="spellEnd"/>
      <w:r w:rsidRPr="003102FF">
        <w:rPr>
          <w:rFonts w:ascii="Times New Roman" w:eastAsiaTheme="minorEastAsia" w:hAnsi="Times New Roman"/>
          <w14:ligatures w14:val="standardContextual"/>
        </w:rPr>
        <w:t xml:space="preserve"> [2003]).</w:t>
      </w:r>
    </w:p>
    <w:p w14:paraId="0593CC88" w14:textId="5EA5BF88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Purpose: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Prevents "random coincidences" where the abnormality is unrelated to the killing (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>Maria Eagle MP</w:t>
      </w:r>
      <w:r w:rsidRPr="003102FF">
        <w:rPr>
          <w:rFonts w:ascii="Times New Roman" w:eastAsiaTheme="minorEastAsia" w:hAnsi="Times New Roman"/>
          <w14:ligatures w14:val="standardContextual"/>
        </w:rPr>
        <w:t>).</w:t>
      </w:r>
    </w:p>
    <w:p w14:paraId="121A32C2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Criticism:</w:t>
      </w:r>
    </w:p>
    <w:p w14:paraId="1219FC8B" w14:textId="193E6FD8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Higher Evidentiary Burden:</w:t>
      </w:r>
    </w:p>
    <w:p w14:paraId="09FA1F97" w14:textId="2398128F" w:rsidR="003102FF" w:rsidRPr="003102FF" w:rsidRDefault="003102FF" w:rsidP="003102FF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Defendants must now establish a clear link between the condition and the conduct.</w:t>
      </w:r>
    </w:p>
    <w:p w14:paraId="5B9A9515" w14:textId="308BBE91" w:rsidR="003102FF" w:rsidRPr="003102FF" w:rsidRDefault="003102FF" w:rsidP="003102FF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Complex cases involving intoxication, provocation, or mixed motives pose challenges.</w:t>
      </w:r>
    </w:p>
    <w:p w14:paraId="54562D6E" w14:textId="064ED3EA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Practical Concerns:</w:t>
      </w:r>
    </w:p>
    <w:p w14:paraId="0919B6E5" w14:textId="74200FAF" w:rsidR="003102FF" w:rsidRPr="003102FF" w:rsidRDefault="003102FF" w:rsidP="003102FF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Psychiatric evidence often cannot definitively establish causation, making the plea harder to prove (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>Frank Cook MP</w:t>
      </w:r>
      <w:r w:rsidRPr="003102FF">
        <w:rPr>
          <w:rFonts w:ascii="Times New Roman" w:eastAsiaTheme="minorEastAsia" w:hAnsi="Times New Roman"/>
          <w14:ligatures w14:val="standardContextual"/>
        </w:rPr>
        <w:t>).</w:t>
      </w:r>
    </w:p>
    <w:p w14:paraId="3A8A322E" w14:textId="6EF2E0EA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Comparative Law:</w:t>
      </w:r>
    </w:p>
    <w:p w14:paraId="62B3D105" w14:textId="77777777" w:rsidR="003102FF" w:rsidRPr="003102FF" w:rsidRDefault="003102FF" w:rsidP="003102FF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14:ligatures w14:val="standardContextual"/>
        </w:rPr>
        <w:t>Scottish law avoids explicit causation requirements, relying instead on judicial discretion.</w:t>
      </w:r>
    </w:p>
    <w:p w14:paraId="2766A381" w14:textId="77777777" w:rsid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1C51172" w14:textId="77777777" w:rsid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88F2626" w14:textId="77777777" w:rsid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6245C03" w14:textId="77777777" w:rsid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A268D36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79B5AEA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3. Key Cases and Statutory Applications</w:t>
      </w:r>
    </w:p>
    <w:p w14:paraId="0DFB8EB0" w14:textId="47C6875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R v Byrne (1960)</w:t>
      </w:r>
    </w:p>
    <w:p w14:paraId="069DBAF3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Facts: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A sexual psychopath strangled a young woman and mutilated her body.</w:t>
      </w:r>
    </w:p>
    <w:p w14:paraId="6C19BAEA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Held: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The abnormality of mind included an inability to control actions.</w:t>
      </w:r>
    </w:p>
    <w:p w14:paraId="32249D84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Significance: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Established the broad scope of “abnormality” and its relevance to impaired control.</w:t>
      </w:r>
    </w:p>
    <w:p w14:paraId="41BBAA31" w14:textId="3B3A4512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R v Lloyd (1967)</w:t>
      </w:r>
    </w:p>
    <w:p w14:paraId="577D0074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Facts: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Defendant killed his wife while suffering from depression.</w:t>
      </w:r>
    </w:p>
    <w:p w14:paraId="71873622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Held: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“Substantial” does not mean total impairment but must be more than trivial.</w:t>
      </w:r>
    </w:p>
    <w:p w14:paraId="6B34A7F1" w14:textId="59B11CC8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 xml:space="preserve">R v </w:t>
      </w:r>
      <w:proofErr w:type="spellStart"/>
      <w:r w:rsidRPr="003102FF">
        <w:rPr>
          <w:rFonts w:ascii="Times New Roman" w:eastAsiaTheme="minorEastAsia" w:hAnsi="Times New Roman"/>
          <w:b/>
          <w:bCs/>
          <w14:ligatures w14:val="standardContextual"/>
        </w:rPr>
        <w:t>Dietschmann</w:t>
      </w:r>
      <w:proofErr w:type="spellEnd"/>
      <w:r w:rsidRPr="003102FF">
        <w:rPr>
          <w:rFonts w:ascii="Times New Roman" w:eastAsiaTheme="minorEastAsia" w:hAnsi="Times New Roman"/>
          <w:b/>
          <w:bCs/>
          <w14:ligatures w14:val="standardContextual"/>
        </w:rPr>
        <w:t xml:space="preserve"> (2003)</w:t>
      </w:r>
    </w:p>
    <w:p w14:paraId="5E1BB07A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Facts: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Defendant killed while heavily intoxicated but had a pre-existing depressive condition.</w:t>
      </w:r>
    </w:p>
    <w:p w14:paraId="674E0FC2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Held: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The abnormality must contribute significantly, even if other factors (e.g., intoxication) are present.</w:t>
      </w:r>
    </w:p>
    <w:p w14:paraId="38BF84B5" w14:textId="7777777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Relevance to Causation: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 Confirms that multiple causes can coexist without negating diminished responsibility.</w:t>
      </w:r>
    </w:p>
    <w:p w14:paraId="2652D791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32497E9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4. Scholarly Opinions and Critiques</w:t>
      </w:r>
    </w:p>
    <w:p w14:paraId="3DE4B55D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Strengths</w:t>
      </w:r>
    </w:p>
    <w:p w14:paraId="0A0E83F6" w14:textId="26B0ADA5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Clarity:</w:t>
      </w:r>
    </w:p>
    <w:p w14:paraId="69E9194E" w14:textId="5E0B176F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The revised plea specifies impairments, reducing reliance on vague interpretations.</w:t>
      </w:r>
    </w:p>
    <w:p w14:paraId="2E7CB43B" w14:textId="3896A67C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proofErr w:type="spellStart"/>
      <w:r w:rsidRPr="003102FF">
        <w:rPr>
          <w:rFonts w:ascii="Times New Roman" w:eastAsiaTheme="minorEastAsia" w:hAnsi="Times New Roman"/>
          <w14:ligatures w14:val="standardContextual"/>
        </w:rPr>
        <w:t>ligns</w:t>
      </w:r>
      <w:proofErr w:type="spellEnd"/>
      <w:r w:rsidRPr="003102FF">
        <w:rPr>
          <w:rFonts w:ascii="Times New Roman" w:eastAsiaTheme="minorEastAsia" w:hAnsi="Times New Roman"/>
          <w14:ligatures w14:val="standardContextual"/>
        </w:rPr>
        <w:t xml:space="preserve"> with modern psychiatric classifications for consistency.</w:t>
      </w:r>
    </w:p>
    <w:p w14:paraId="011B0EAF" w14:textId="10466EB4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2.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Focus on Functionality:</w:t>
      </w:r>
    </w:p>
    <w:p w14:paraId="060EFB7C" w14:textId="3611DFC4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Emphasis on functional impairment (e.g., judgment, self-control) provides clear thresholds for application.</w:t>
      </w:r>
    </w:p>
    <w:p w14:paraId="07D28876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Weaknesses</w:t>
      </w:r>
    </w:p>
    <w:p w14:paraId="32C9CFA0" w14:textId="7B6D472B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Over-Medicalization:</w:t>
      </w:r>
    </w:p>
    <w:p w14:paraId="032F0A87" w14:textId="629663B2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Risks excluding morally complex cases like </w:t>
      </w:r>
      <w:r w:rsidRPr="003102FF">
        <w:rPr>
          <w:rFonts w:ascii="Times New Roman" w:eastAsiaTheme="minorEastAsia" w:hAnsi="Times New Roman"/>
          <w:i/>
          <w:iCs/>
          <w14:ligatures w14:val="standardContextual"/>
        </w:rPr>
        <w:t>mercy killings</w:t>
      </w:r>
      <w:r w:rsidRPr="003102FF">
        <w:rPr>
          <w:rFonts w:ascii="Times New Roman" w:eastAsiaTheme="minorEastAsia" w:hAnsi="Times New Roman"/>
          <w14:ligatures w14:val="standardContextual"/>
        </w:rPr>
        <w:t>.</w:t>
      </w:r>
    </w:p>
    <w:p w14:paraId="3EB38D42" w14:textId="232E682A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Defendants without clear diagnostic criteria face increased challenges.</w:t>
      </w:r>
    </w:p>
    <w:p w14:paraId="093F059F" w14:textId="5514A00C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Causation Challenges:</w:t>
      </w:r>
    </w:p>
    <w:p w14:paraId="51C74F05" w14:textId="037EE2A7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The requirement for significant contribution introduces evidentiary complexity.</w:t>
      </w:r>
    </w:p>
    <w:p w14:paraId="662F5DBD" w14:textId="1921B508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Intoxication and overlapping </w:t>
      </w:r>
      <w:proofErr w:type="spellStart"/>
      <w:r w:rsidRPr="003102FF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3102FF">
        <w:rPr>
          <w:rFonts w:ascii="Times New Roman" w:eastAsiaTheme="minorEastAsia" w:hAnsi="Times New Roman"/>
          <w14:ligatures w14:val="standardContextual"/>
        </w:rPr>
        <w:t xml:space="preserve"> (e.g., loss of control) may complicate legal strategy.</w:t>
      </w:r>
    </w:p>
    <w:p w14:paraId="422BFD38" w14:textId="6D12D1E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Narrower Scope:</w:t>
      </w:r>
    </w:p>
    <w:p w14:paraId="2C9E13DA" w14:textId="00E298AC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Critics, such as Baroness Murphy, argue the </w:t>
      </w:r>
      <w:proofErr w:type="spellStart"/>
      <w:r w:rsidRPr="003102FF">
        <w:rPr>
          <w:rFonts w:ascii="Times New Roman" w:eastAsiaTheme="minorEastAsia" w:hAnsi="Times New Roman"/>
          <w14:ligatures w14:val="standardContextual"/>
        </w:rPr>
        <w:t>defense</w:t>
      </w:r>
      <w:proofErr w:type="spellEnd"/>
      <w:r w:rsidRPr="003102FF">
        <w:rPr>
          <w:rFonts w:ascii="Times New Roman" w:eastAsiaTheme="minorEastAsia" w:hAnsi="Times New Roman"/>
          <w14:ligatures w14:val="standardContextual"/>
        </w:rPr>
        <w:t xml:space="preserve"> now excludes conditions like personality disorders unless explicitly linked to self-control.</w:t>
      </w:r>
    </w:p>
    <w:p w14:paraId="476C691D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5094BFD" w14:textId="77777777" w:rsidR="003102FF" w:rsidRPr="003102FF" w:rsidRDefault="003102FF" w:rsidP="003102FF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5. Broader Implications and Flaws in the Current System</w:t>
      </w:r>
    </w:p>
    <w:p w14:paraId="70B4E334" w14:textId="71374837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Procedural Challenges:</w:t>
      </w:r>
    </w:p>
    <w:p w14:paraId="667D27DE" w14:textId="50E72237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Increased reliance on psychiatric evidence risks sidelining juries, reducing transparency.</w:t>
      </w:r>
    </w:p>
    <w:p w14:paraId="6A6F51BA" w14:textId="19D94237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Many cases previously resolved without trial may now proceed to court, increasing costs and delays.</w:t>
      </w:r>
    </w:p>
    <w:p w14:paraId="4B9F43DB" w14:textId="4AAB880A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Mandatory Life Sentence:</w:t>
      </w:r>
    </w:p>
    <w:p w14:paraId="37FB08FE" w14:textId="4EBD7851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lastRenderedPageBreak/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 xml:space="preserve">The rigidity of mandatory life sentences for murder exacerbates the consequences of failed pleas. Reform advocates suggest addressing sentencing alongside </w:t>
      </w:r>
      <w:proofErr w:type="spellStart"/>
      <w:r w:rsidRPr="003102FF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3102FF">
        <w:rPr>
          <w:rFonts w:ascii="Times New Roman" w:eastAsiaTheme="minorEastAsia" w:hAnsi="Times New Roman"/>
          <w14:ligatures w14:val="standardContextual"/>
        </w:rPr>
        <w:t>.</w:t>
      </w:r>
    </w:p>
    <w:p w14:paraId="3494C959" w14:textId="3221F44F" w:rsidR="003102FF" w:rsidRPr="003102FF" w:rsidRDefault="003102FF" w:rsidP="003102F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3102FF">
        <w:rPr>
          <w:rFonts w:ascii="Times New Roman" w:eastAsiaTheme="minorEastAsia" w:hAnsi="Times New Roman"/>
          <w:b/>
          <w:bCs/>
          <w14:ligatures w14:val="standardContextual"/>
        </w:rPr>
        <w:t>Comparative Issues:</w:t>
      </w:r>
    </w:p>
    <w:p w14:paraId="4AFD2356" w14:textId="729F51AA" w:rsidR="003102FF" w:rsidRPr="003102FF" w:rsidRDefault="003102FF" w:rsidP="003102FF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3102FF">
        <w:rPr>
          <w:rFonts w:ascii="Times New Roman" w:eastAsiaTheme="minorEastAsia" w:hAnsi="Times New Roman"/>
          <w14:ligatures w14:val="standardContextual"/>
        </w:rPr>
        <w:t>Scotland’s approach allows more flexibility, raising questions about fairness in English law.</w:t>
      </w:r>
    </w:p>
    <w:p w14:paraId="5B2C9CF5" w14:textId="77777777" w:rsidR="00CD39F1" w:rsidRPr="003102FF" w:rsidRDefault="00CD39F1" w:rsidP="003102FF">
      <w:pPr>
        <w:spacing w:after="240" w:line="360" w:lineRule="auto"/>
        <w:rPr>
          <w:rFonts w:ascii="Times New Roman" w:hAnsi="Times New Roman"/>
        </w:rPr>
      </w:pPr>
    </w:p>
    <w:sectPr w:rsidR="00CD39F1" w:rsidRPr="003102FF" w:rsidSect="003102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decimal"/>
      <w:lvlText w:val="%2"/>
      <w:lvlJc w:val="left"/>
      <w:pPr>
        <w:ind w:left="1440" w:hanging="360"/>
      </w:pPr>
    </w:lvl>
    <w:lvl w:ilvl="2" w:tplc="00000067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decimal"/>
      <w:lvlText w:val="%2"/>
      <w:lvlJc w:val="left"/>
      <w:pPr>
        <w:ind w:left="1440" w:hanging="360"/>
      </w:pPr>
    </w:lvl>
    <w:lvl w:ilvl="2" w:tplc="000001F7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000003E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9555031">
    <w:abstractNumId w:val="0"/>
  </w:num>
  <w:num w:numId="2" w16cid:durableId="541020405">
    <w:abstractNumId w:val="1"/>
  </w:num>
  <w:num w:numId="3" w16cid:durableId="532769273">
    <w:abstractNumId w:val="2"/>
  </w:num>
  <w:num w:numId="4" w16cid:durableId="895167535">
    <w:abstractNumId w:val="3"/>
  </w:num>
  <w:num w:numId="5" w16cid:durableId="1149201544">
    <w:abstractNumId w:val="4"/>
  </w:num>
  <w:num w:numId="6" w16cid:durableId="1587305850">
    <w:abstractNumId w:val="5"/>
  </w:num>
  <w:num w:numId="7" w16cid:durableId="1550875608">
    <w:abstractNumId w:val="6"/>
  </w:num>
  <w:num w:numId="8" w16cid:durableId="1407653761">
    <w:abstractNumId w:val="7"/>
  </w:num>
  <w:num w:numId="9" w16cid:durableId="1794326220">
    <w:abstractNumId w:val="8"/>
  </w:num>
  <w:num w:numId="10" w16cid:durableId="1247419816">
    <w:abstractNumId w:val="9"/>
  </w:num>
  <w:num w:numId="11" w16cid:durableId="1851262935">
    <w:abstractNumId w:val="10"/>
  </w:num>
  <w:num w:numId="12" w16cid:durableId="20594726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F0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02FF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0EF0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6A3FF"/>
  <w15:chartTrackingRefBased/>
  <w15:docId w15:val="{5869FC50-8877-7240-8AC0-7AAF0832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F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F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F0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F0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F0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F0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F0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F0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F0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E0E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F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F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E0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F0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E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F0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E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2024-11-26T15:59:00Z</dcterms:created>
  <dcterms:modified xsi:type="dcterms:W3CDTF">2024-11-26T18:33:00Z</dcterms:modified>
</cp:coreProperties>
</file>