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91BBC" w14:textId="002661F9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Defining First-Degree Murder</w:t>
      </w:r>
    </w:p>
    <w:p w14:paraId="5DF9B657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The proposed classification aims to include not only intentional killings but also killings with intent to cause serious injury if there’s awareness of a significant risk of death.</w:t>
      </w:r>
    </w:p>
    <w:p w14:paraId="4FD5068A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Key Elements of First-Degree Murder</w:t>
      </w:r>
    </w:p>
    <w:p w14:paraId="3A68BB4B" w14:textId="3E7593DE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Intent to Kill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5EE5F9F2" w14:textId="54ADE64D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Retains clarity and reflects public perceptions of the most serious crimes.</w:t>
      </w:r>
    </w:p>
    <w:p w14:paraId="37B2A09E" w14:textId="0D590FFC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Moral justification: Killing with intent to kill is inherently heinous.</w:t>
      </w:r>
    </w:p>
    <w:p w14:paraId="5AC88FDC" w14:textId="20D7316B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Intent to Cause Serious Injury with Awareness of Risk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5B43C92E" w14:textId="731004E9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Expands the current scope by including a “moral equivalence” argument: Killing with awareness of risk of death is as culpable as killing with intent to kill.</w:t>
      </w:r>
    </w:p>
    <w:p w14:paraId="5289D6E1" w14:textId="3D0C9145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Criticism: The distinction between first and second-degree murder becomes blurred, risking inconsistent jury verdicts.</w:t>
      </w:r>
    </w:p>
    <w:p w14:paraId="0D056888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Cases Referenced</w:t>
      </w:r>
    </w:p>
    <w:p w14:paraId="2387E760" w14:textId="1919C206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Nedrick (1986)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2FC409AB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>: D poured paraffin through a letterbox intending to frighten occupants, causing a fire that killed a child.</w:t>
      </w:r>
    </w:p>
    <w:p w14:paraId="0EB3BD04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Foresight of death as a virtual certainty can infer intent.</w:t>
      </w:r>
    </w:p>
    <w:p w14:paraId="2066F867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Provided the foundation for assessing indirect intention.</w:t>
      </w:r>
    </w:p>
    <w:p w14:paraId="295458DE" w14:textId="619298AA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 xml:space="preserve">R v. </w:t>
      </w:r>
      <w:proofErr w:type="spellStart"/>
      <w:r w:rsidRPr="00EC78A2">
        <w:rPr>
          <w:rFonts w:ascii="Times New Roman" w:eastAsiaTheme="minorEastAsia" w:hAnsi="Times New Roman"/>
          <w:b/>
          <w:bCs/>
          <w14:ligatures w14:val="standardContextual"/>
        </w:rPr>
        <w:t>Woollin</w:t>
      </w:r>
      <w:proofErr w:type="spellEnd"/>
      <w:r w:rsidRPr="00EC78A2">
        <w:rPr>
          <w:rFonts w:ascii="Times New Roman" w:eastAsiaTheme="minorEastAsia" w:hAnsi="Times New Roman"/>
          <w:b/>
          <w:bCs/>
          <w14:ligatures w14:val="standardContextual"/>
        </w:rPr>
        <w:t xml:space="preserve"> (1999)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23E20123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>: D threw his baby against a wall, causing death.</w:t>
      </w:r>
    </w:p>
    <w:p w14:paraId="30524FF1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Foresight of virtual certainty amounts to evidence of intent but not conclusive proof.</w:t>
      </w:r>
    </w:p>
    <w:p w14:paraId="60D19B2D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Affirmed that indirect intention is fact-specific, leaving juries flexibility.</w:t>
      </w:r>
    </w:p>
    <w:p w14:paraId="643B0A40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Issues and Critique</w:t>
      </w:r>
    </w:p>
    <w:p w14:paraId="48053196" w14:textId="18BCF9AC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-</w:t>
      </w:r>
      <w:r>
        <w:rPr>
          <w:rFonts w:ascii="Times New Roman" w:eastAsiaTheme="minorEastAsia" w:hAnsi="Times New Roman"/>
          <w14:ligatures w14:val="standardContextual"/>
        </w:rPr>
        <w:t xml:space="preserve"> </w:t>
      </w:r>
      <w:r w:rsidRPr="00EC78A2">
        <w:rPr>
          <w:rFonts w:ascii="Times New Roman" w:eastAsiaTheme="minorEastAsia" w:hAnsi="Times New Roman"/>
          <w14:ligatures w14:val="standardContextual"/>
        </w:rPr>
        <w:t>The “serious injury” criterion is left undefined, risking ambiguity.</w:t>
      </w:r>
    </w:p>
    <w:p w14:paraId="0A4C1665" w14:textId="46B2D82C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The concept of “serious risk” requires jurors to balance probability and moral considerations, which may lead to inconsistent interpretations.</w:t>
      </w:r>
    </w:p>
    <w:p w14:paraId="2403DE6F" w14:textId="07DA95D8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Scholarly opinion (Ashworth): Tightening the definition of intent is necessary to maintain fairness and clarity in first-degree murder cases.</w:t>
      </w:r>
    </w:p>
    <w:p w14:paraId="43791593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73D8CA9" w14:textId="3A75C239" w:rsidR="00EC78A2" w:rsidRPr="00EC78A2" w:rsidRDefault="00EC78A2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Second-Degree Murder</w:t>
      </w:r>
    </w:p>
    <w:p w14:paraId="6BCCD95E" w14:textId="77777777" w:rsidR="009D2967" w:rsidRPr="009D2967" w:rsidRDefault="009D2967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u w:val="single"/>
          <w14:ligatures w14:val="standardContextual"/>
        </w:rPr>
      </w:pPr>
      <w:r w:rsidRPr="009D2967">
        <w:rPr>
          <w:rFonts w:ascii="Times New Roman" w:eastAsiaTheme="minorEastAsia" w:hAnsi="Times New Roman"/>
          <w:u w:val="single"/>
          <w14:ligatures w14:val="standardContextual"/>
        </w:rPr>
        <w:t xml:space="preserve">In the context of Murder 2, awareness of a risk of death is typically required for most forms, except when a partial </w:t>
      </w:r>
      <w:proofErr w:type="spellStart"/>
      <w:r w:rsidRPr="009D2967">
        <w:rPr>
          <w:rFonts w:ascii="Times New Roman" w:eastAsiaTheme="minorEastAsia" w:hAnsi="Times New Roman"/>
          <w:u w:val="single"/>
          <w14:ligatures w14:val="standardContextual"/>
        </w:rPr>
        <w:t>defense</w:t>
      </w:r>
      <w:proofErr w:type="spellEnd"/>
      <w:r w:rsidRPr="009D2967">
        <w:rPr>
          <w:rFonts w:ascii="Times New Roman" w:eastAsiaTheme="minorEastAsia" w:hAnsi="Times New Roman"/>
          <w:u w:val="single"/>
          <w14:ligatures w14:val="standardContextual"/>
        </w:rPr>
        <w:t xml:space="preserve"> reduces the offense from Murder 1 to Murder 2.</w:t>
      </w:r>
    </w:p>
    <w:p w14:paraId="40C5145B" w14:textId="19ABB85F" w:rsidR="00EC78A2" w:rsidRPr="00EC78A2" w:rsidRDefault="00EC78A2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Key Elements</w:t>
      </w:r>
    </w:p>
    <w:p w14:paraId="63AAC2FE" w14:textId="798EBB7B" w:rsidR="00EC78A2" w:rsidRPr="00EC78A2" w:rsidRDefault="00EC78A2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Reckless Killing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2907859B" w14:textId="74D44D3B" w:rsidR="00EC78A2" w:rsidRPr="00EC78A2" w:rsidRDefault="00EC78A2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Includes intent to cause injury or fear of injury, coupled with awareness of a serious risk of death.</w:t>
      </w:r>
    </w:p>
    <w:p w14:paraId="209D6467" w14:textId="18CD22E1" w:rsidR="00EC78A2" w:rsidRPr="00EC78A2" w:rsidRDefault="00EC78A2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Balances culpability for reckless indifference without mandating life imprisonment.</w:t>
      </w:r>
    </w:p>
    <w:p w14:paraId="512175C5" w14:textId="026DFA27" w:rsidR="00EC78A2" w:rsidRPr="009D2967" w:rsidRDefault="00EC78A2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u w:val="single"/>
          <w14:ligatures w14:val="standardContextual"/>
        </w:rPr>
      </w:pPr>
      <w:r w:rsidRPr="009D2967">
        <w:rPr>
          <w:rFonts w:ascii="Times New Roman" w:eastAsiaTheme="minorEastAsia" w:hAnsi="Times New Roman"/>
          <w:b/>
          <w:bCs/>
          <w:u w:val="single"/>
          <w14:ligatures w14:val="standardContextual"/>
        </w:rPr>
        <w:t xml:space="preserve">2. Partial </w:t>
      </w:r>
      <w:proofErr w:type="spellStart"/>
      <w:r w:rsidRPr="009D2967">
        <w:rPr>
          <w:rFonts w:ascii="Times New Roman" w:eastAsiaTheme="minorEastAsia" w:hAnsi="Times New Roman"/>
          <w:b/>
          <w:bCs/>
          <w:u w:val="single"/>
          <w14:ligatures w14:val="standardContextual"/>
        </w:rPr>
        <w:t>Defenses</w:t>
      </w:r>
      <w:proofErr w:type="spellEnd"/>
      <w:r w:rsidRPr="009D2967">
        <w:rPr>
          <w:rFonts w:ascii="Times New Roman" w:eastAsiaTheme="minorEastAsia" w:hAnsi="Times New Roman"/>
          <w:u w:val="single"/>
          <w14:ligatures w14:val="standardContextual"/>
        </w:rPr>
        <w:t>:</w:t>
      </w:r>
    </w:p>
    <w:p w14:paraId="0BAFE2CF" w14:textId="52F08349" w:rsidR="00EC78A2" w:rsidRPr="00EC78A2" w:rsidRDefault="00EC78A2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EC78A2">
        <w:rPr>
          <w:rFonts w:ascii="Times New Roman" w:eastAsiaTheme="minorEastAsia" w:hAnsi="Times New Roman"/>
          <w14:ligatures w14:val="standardContextual"/>
        </w:rPr>
        <w:t>Provocation, diminished responsibility, and suicide pacts reduce culpability from first-degree murder to second-degree murder.</w:t>
      </w:r>
    </w:p>
    <w:p w14:paraId="46C93A78" w14:textId="77777777" w:rsidR="009E790D" w:rsidRPr="009E790D" w:rsidRDefault="009E790D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t xml:space="preserve">Murder 2 and Awareness of Death Risk </w:t>
      </w:r>
    </w:p>
    <w:p w14:paraId="30D4EA82" w14:textId="5D531221" w:rsidR="009E790D" w:rsidRPr="009E790D" w:rsidRDefault="009E790D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Reckless Killing and Death Risk Awareness</w:t>
      </w:r>
      <w:r w:rsidRPr="009E790D">
        <w:rPr>
          <w:rFonts w:ascii="Times New Roman" w:eastAsiaTheme="minorEastAsia" w:hAnsi="Times New Roman"/>
          <w14:ligatures w14:val="standardContextual"/>
        </w:rPr>
        <w:t>:</w:t>
      </w:r>
    </w:p>
    <w:p w14:paraId="733539B1" w14:textId="761326D2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>F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or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reckless killings under Murder 2</w:t>
      </w:r>
      <w:r w:rsidRPr="009E790D">
        <w:rPr>
          <w:rFonts w:ascii="Times New Roman" w:eastAsiaTheme="minorEastAsia" w:hAnsi="Times New Roman"/>
          <w14:ligatures w14:val="standardContextual"/>
        </w:rPr>
        <w:t>, the defendant must be:</w:t>
      </w:r>
    </w:p>
    <w:p w14:paraId="5BF32B8B" w14:textId="769FDA57" w:rsidR="009E790D" w:rsidRPr="009E790D" w:rsidRDefault="009E790D" w:rsidP="009E790D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1.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Aware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that their conduct involves a "serious risk of causing death."</w:t>
      </w:r>
    </w:p>
    <w:p w14:paraId="1ADA5116" w14:textId="08FDDCF8" w:rsidR="009E790D" w:rsidRPr="009E790D" w:rsidRDefault="009E790D" w:rsidP="009E790D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Acting with intent to cause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injury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,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fear of injury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, or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risk of injury.</w:t>
      </w:r>
    </w:p>
    <w:p w14:paraId="44656773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>This ensures that recklessness with significant moral blameworthiness is elevated to Murder 2 instead of manslaughter.</w:t>
      </w:r>
    </w:p>
    <w:p w14:paraId="7FDA6E15" w14:textId="77777777" w:rsid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013E71EF" w14:textId="426338E3" w:rsidR="009E790D" w:rsidRP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 xml:space="preserve">Partial </w:t>
      </w:r>
      <w:proofErr w:type="spellStart"/>
      <w:r w:rsidRPr="009E790D">
        <w:rPr>
          <w:rFonts w:ascii="Times New Roman" w:eastAsiaTheme="minorEastAsia" w:hAnsi="Times New Roman"/>
          <w:b/>
          <w:bCs/>
          <w14:ligatures w14:val="standardContextual"/>
        </w:rPr>
        <w:t>Defenses</w:t>
      </w:r>
      <w:proofErr w:type="spellEnd"/>
      <w:r w:rsidRPr="009E790D">
        <w:rPr>
          <w:rFonts w:ascii="Times New Roman" w:eastAsiaTheme="minorEastAsia" w:hAnsi="Times New Roman"/>
          <w:b/>
          <w:bCs/>
          <w14:ligatures w14:val="standardContextual"/>
        </w:rPr>
        <w:t xml:space="preserve"> and Death Risk Awareness</w:t>
      </w:r>
      <w:r w:rsidRPr="009E790D">
        <w:rPr>
          <w:rFonts w:ascii="Times New Roman" w:eastAsiaTheme="minorEastAsia" w:hAnsi="Times New Roman"/>
          <w14:ligatures w14:val="standardContextual"/>
        </w:rPr>
        <w:t>:</w:t>
      </w:r>
    </w:p>
    <w:p w14:paraId="53A5986B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 xml:space="preserve">Murder 2 includes killings where partial </w:t>
      </w:r>
      <w:proofErr w:type="spellStart"/>
      <w:r w:rsidRPr="009E790D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9E790D">
        <w:rPr>
          <w:rFonts w:ascii="Times New Roman" w:eastAsiaTheme="minorEastAsia" w:hAnsi="Times New Roman"/>
          <w14:ligatures w14:val="standardContextual"/>
        </w:rPr>
        <w:t xml:space="preserve"> apply (e.g., provocation or diminished responsibility).</w:t>
      </w:r>
    </w:p>
    <w:p w14:paraId="12D51C5D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 xml:space="preserve">These </w:t>
      </w:r>
      <w:proofErr w:type="spellStart"/>
      <w:r w:rsidRPr="009E790D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9E790D">
        <w:rPr>
          <w:rFonts w:ascii="Times New Roman" w:eastAsiaTheme="minorEastAsia" w:hAnsi="Times New Roman"/>
          <w14:ligatures w14:val="standardContextual"/>
        </w:rPr>
        <w:t xml:space="preserve">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do not require awareness of death risk</w:t>
      </w:r>
      <w:r w:rsidRPr="009E790D">
        <w:rPr>
          <w:rFonts w:ascii="Times New Roman" w:eastAsiaTheme="minorEastAsia" w:hAnsi="Times New Roman"/>
          <w14:ligatures w14:val="standardContextual"/>
        </w:rPr>
        <w:t>, as they focus on mitigating factors like mental state or external provocations rather than the intent or recklessness involved.</w:t>
      </w:r>
    </w:p>
    <w:p w14:paraId="14ADD269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>For example:</w:t>
      </w:r>
    </w:p>
    <w:p w14:paraId="6B6DC994" w14:textId="77777777" w:rsidR="009E790D" w:rsidRPr="009E790D" w:rsidRDefault="009E790D" w:rsidP="009E790D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Provocation</w:t>
      </w:r>
      <w:r w:rsidRPr="009E790D">
        <w:rPr>
          <w:rFonts w:ascii="Times New Roman" w:eastAsiaTheme="minorEastAsia" w:hAnsi="Times New Roman"/>
          <w14:ligatures w14:val="standardContextual"/>
        </w:rPr>
        <w:t>: The emotional response reduces culpability irrespective of awareness of death risk.</w:t>
      </w:r>
    </w:p>
    <w:p w14:paraId="6DDB1EE2" w14:textId="77777777" w:rsidR="009E790D" w:rsidRPr="009E790D" w:rsidRDefault="009E790D" w:rsidP="009E790D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Diminished Responsibility</w:t>
      </w:r>
      <w:r w:rsidRPr="009E790D">
        <w:rPr>
          <w:rFonts w:ascii="Times New Roman" w:eastAsiaTheme="minorEastAsia" w:hAnsi="Times New Roman"/>
          <w14:ligatures w14:val="standardContextual"/>
        </w:rPr>
        <w:t>: A mental impairment could negate the required mental state for full culpability.</w:t>
      </w:r>
    </w:p>
    <w:p w14:paraId="0A3CC881" w14:textId="77777777" w:rsidR="009E790D" w:rsidRP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Intentional Serious Injury Without Risk Awareness</w:t>
      </w:r>
      <w:r w:rsidRPr="009E790D">
        <w:rPr>
          <w:rFonts w:ascii="Times New Roman" w:eastAsiaTheme="minorEastAsia" w:hAnsi="Times New Roman"/>
          <w14:ligatures w14:val="standardContextual"/>
        </w:rPr>
        <w:t>:</w:t>
      </w:r>
    </w:p>
    <w:p w14:paraId="58E4AED7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 xml:space="preserve">Some forms of Murder 2 involve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intent to cause injury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but without the heightened awareness of death risk that Murder 1 requires.</w:t>
      </w:r>
    </w:p>
    <w:p w14:paraId="58144DDD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 xml:space="preserve">Example from the document: Inflicting an injury that, while serious, is not typically life-threatening and where there is no foresight of death risk (e.g., </w:t>
      </w:r>
      <w:proofErr w:type="gramStart"/>
      <w:r w:rsidRPr="009E790D">
        <w:rPr>
          <w:rFonts w:ascii="Times New Roman" w:eastAsiaTheme="minorEastAsia" w:hAnsi="Times New Roman"/>
          <w14:ligatures w14:val="standardContextual"/>
        </w:rPr>
        <w:t>knee-capping</w:t>
      </w:r>
      <w:proofErr w:type="gramEnd"/>
      <w:r w:rsidRPr="009E790D">
        <w:rPr>
          <w:rFonts w:ascii="Times New Roman" w:eastAsiaTheme="minorEastAsia" w:hAnsi="Times New Roman"/>
          <w14:ligatures w14:val="standardContextual"/>
        </w:rPr>
        <w:t>).</w:t>
      </w:r>
    </w:p>
    <w:p w14:paraId="1DFBF65F" w14:textId="77777777" w:rsidR="009E790D" w:rsidRP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Critique in the Document</w:t>
      </w:r>
      <w:r w:rsidRPr="009E790D">
        <w:rPr>
          <w:rFonts w:ascii="Times New Roman" w:eastAsiaTheme="minorEastAsia" w:hAnsi="Times New Roman"/>
          <w14:ligatures w14:val="standardContextual"/>
        </w:rPr>
        <w:t>:</w:t>
      </w:r>
    </w:p>
    <w:p w14:paraId="6627613E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t xml:space="preserve">The reliance on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"serious risk of causing death"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for defining Murder 2 is critiqued as vague.</w:t>
      </w:r>
    </w:p>
    <w:p w14:paraId="0FCA7359" w14:textId="77777777" w:rsidR="009E790D" w:rsidRPr="009E790D" w:rsidRDefault="009E790D" w:rsidP="009E790D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14:ligatures w14:val="standardContextual"/>
        </w:rPr>
        <w:lastRenderedPageBreak/>
        <w:t>The document notes potential issues with juries interpreting "serious risk" inconsistently, especially when comparing it to "significant risk" in other legal contexts.</w:t>
      </w:r>
    </w:p>
    <w:p w14:paraId="64B7DF6B" w14:textId="77777777" w:rsidR="009E790D" w:rsidRPr="009E790D" w:rsidRDefault="009E790D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463FB14" w14:textId="16C06709" w:rsidR="009E790D" w:rsidRPr="009E790D" w:rsidRDefault="009E790D" w:rsidP="009E790D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9E790D">
        <w:rPr>
          <w:rFonts w:ascii="Times New Roman" w:eastAsiaTheme="minorEastAsia" w:hAnsi="Times New Roman"/>
          <w:b/>
          <w:bCs/>
          <w14:ligatures w14:val="standardContextual"/>
        </w:rPr>
        <w:sym w:font="Wingdings" w:char="F0E0"/>
      </w: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 A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wareness of death risk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is:</w:t>
      </w:r>
    </w:p>
    <w:p w14:paraId="3AA41F2F" w14:textId="4F8B38E9" w:rsidR="009E790D" w:rsidRP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A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required element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for some forms of Murder 2 (e.g., reckless killings).</w:t>
      </w:r>
    </w:p>
    <w:p w14:paraId="454D1DB9" w14:textId="6A8DACEF" w:rsidR="009E790D" w:rsidRPr="009E790D" w:rsidRDefault="009E790D" w:rsidP="009E790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9E790D">
        <w:rPr>
          <w:rFonts w:ascii="Times New Roman" w:eastAsiaTheme="minorEastAsia" w:hAnsi="Times New Roman"/>
          <w:b/>
          <w:bCs/>
          <w14:ligatures w14:val="standardContextual"/>
        </w:rPr>
        <w:t>Not required</w:t>
      </w:r>
      <w:r w:rsidRPr="009E790D">
        <w:rPr>
          <w:rFonts w:ascii="Times New Roman" w:eastAsiaTheme="minorEastAsia" w:hAnsi="Times New Roman"/>
          <w14:ligatures w14:val="standardContextual"/>
        </w:rPr>
        <w:t xml:space="preserve"> for other forms of Murder 2, such as those mitigated by partial </w:t>
      </w:r>
      <w:proofErr w:type="spellStart"/>
      <w:r w:rsidRPr="009E790D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9E790D">
        <w:rPr>
          <w:rFonts w:ascii="Times New Roman" w:eastAsiaTheme="minorEastAsia" w:hAnsi="Times New Roman"/>
          <w14:ligatures w14:val="standardContextual"/>
        </w:rPr>
        <w:t xml:space="preserve"> like provocation or diminished responsibility.</w:t>
      </w:r>
    </w:p>
    <w:p w14:paraId="19FDC309" w14:textId="4696B03F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Cases Referenced</w:t>
      </w:r>
    </w:p>
    <w:p w14:paraId="372FE432" w14:textId="5C02823A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Cunningham (1957)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43522748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 xml:space="preserve">: D removed a gas meter to steal money, inadvertently causing gas to leak and kill a </w:t>
      </w:r>
      <w:proofErr w:type="spellStart"/>
      <w:r w:rsidRPr="00EC78A2">
        <w:rPr>
          <w:rFonts w:ascii="Times New Roman" w:eastAsiaTheme="minorEastAsia" w:hAnsi="Times New Roman"/>
          <w14:ligatures w14:val="standardContextual"/>
        </w:rPr>
        <w:t>neighbor</w:t>
      </w:r>
      <w:proofErr w:type="spellEnd"/>
      <w:r w:rsidRPr="00EC78A2">
        <w:rPr>
          <w:rFonts w:ascii="Times New Roman" w:eastAsiaTheme="minorEastAsia" w:hAnsi="Times New Roman"/>
          <w14:ligatures w14:val="standardContextual"/>
        </w:rPr>
        <w:t>.</w:t>
      </w:r>
    </w:p>
    <w:p w14:paraId="41B9DC2F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Recklessness requires actual foresight of the risk.</w:t>
      </w:r>
    </w:p>
    <w:p w14:paraId="1240C78D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Supports the distinction between subjective and objective recklessness, influencing the second-degree murder classification.</w:t>
      </w:r>
    </w:p>
    <w:p w14:paraId="5A3422D8" w14:textId="466453D5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Ahluwalia (1992)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1D29A245" w14:textId="1E9EDEFB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>: D killed her abusive husband after enduring years of domestic violence.</w:t>
      </w:r>
    </w:p>
    <w:p w14:paraId="6142F6D3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Provocation extended to cumulative abuse.</w:t>
      </w:r>
    </w:p>
    <w:p w14:paraId="6103DA9C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 xml:space="preserve">: Highlights the significance of partial </w:t>
      </w:r>
      <w:proofErr w:type="spellStart"/>
      <w:r w:rsidRPr="00EC78A2">
        <w:rPr>
          <w:rFonts w:ascii="Times New Roman" w:eastAsiaTheme="minorEastAsia" w:hAnsi="Times New Roman"/>
          <w14:ligatures w14:val="standardContextual"/>
        </w:rPr>
        <w:t>defenses</w:t>
      </w:r>
      <w:proofErr w:type="spellEnd"/>
      <w:r w:rsidRPr="00EC78A2">
        <w:rPr>
          <w:rFonts w:ascii="Times New Roman" w:eastAsiaTheme="minorEastAsia" w:hAnsi="Times New Roman"/>
          <w14:ligatures w14:val="standardContextual"/>
        </w:rPr>
        <w:t xml:space="preserve"> in accounting for mental states.</w:t>
      </w:r>
    </w:p>
    <w:p w14:paraId="6BE68A54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Issues and Critique</w:t>
      </w:r>
    </w:p>
    <w:p w14:paraId="0655BBCB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Defining “serious injury” remains a critical gap.</w:t>
      </w:r>
    </w:p>
    <w:p w14:paraId="22121737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Jury perceptions: The public may struggle to differentiate culpability across tiers, potentially undermining confidence in the system.</w:t>
      </w:r>
    </w:p>
    <w:p w14:paraId="550A6F82" w14:textId="33EAF420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3.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Manslaughter</w:t>
      </w:r>
    </w:p>
    <w:p w14:paraId="73C2924E" w14:textId="7A34F034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The Commission redefines manslaughter to capture acts of gross negligence or unlawful actions resulting in death.</w:t>
      </w:r>
    </w:p>
    <w:p w14:paraId="0BCFCE84" w14:textId="18F11515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Key Elements</w:t>
      </w:r>
    </w:p>
    <w:p w14:paraId="3E32588C" w14:textId="30F3EDA8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Gross Negligence Manslaughter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2C7BCE59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Involves a breach of duty causing death with a gross disregard for risk.</w:t>
      </w:r>
    </w:p>
    <w:p w14:paraId="24A7FDDB" w14:textId="4F8AA7B5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Unlawful Act Manslaughter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5BC28603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 xml:space="preserve">Includes </w:t>
      </w:r>
      <w:r w:rsidRPr="00EC78A2">
        <w:rPr>
          <w:rFonts w:ascii="Times New Roman" w:eastAsiaTheme="minorEastAsia" w:hAnsi="Times New Roman"/>
          <w:u w:val="single"/>
          <w14:ligatures w14:val="standardContextual"/>
        </w:rPr>
        <w:t>dangerous criminal acts where some risk of injury was foreseeable</w:t>
      </w:r>
      <w:r w:rsidRPr="00EC78A2">
        <w:rPr>
          <w:rFonts w:ascii="Times New Roman" w:eastAsiaTheme="minorEastAsia" w:hAnsi="Times New Roman"/>
          <w14:ligatures w14:val="standardContextual"/>
        </w:rPr>
        <w:t>.</w:t>
      </w:r>
    </w:p>
    <w:p w14:paraId="509BF78E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Cases Referenced</w:t>
      </w:r>
    </w:p>
    <w:p w14:paraId="0A74F3F5" w14:textId="0C424B66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Adomako (1994)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43BFAAA9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 xml:space="preserve">: An </w:t>
      </w:r>
      <w:proofErr w:type="spellStart"/>
      <w:r w:rsidRPr="00EC78A2">
        <w:rPr>
          <w:rFonts w:ascii="Times New Roman" w:eastAsiaTheme="minorEastAsia" w:hAnsi="Times New Roman"/>
          <w14:ligatures w14:val="standardContextual"/>
        </w:rPr>
        <w:t>anesthetist’s</w:t>
      </w:r>
      <w:proofErr w:type="spellEnd"/>
      <w:r w:rsidRPr="00EC78A2">
        <w:rPr>
          <w:rFonts w:ascii="Times New Roman" w:eastAsiaTheme="minorEastAsia" w:hAnsi="Times New Roman"/>
          <w14:ligatures w14:val="standardContextual"/>
        </w:rPr>
        <w:t xml:space="preserve"> negligence during surgery led to a patient’s death.</w:t>
      </w:r>
    </w:p>
    <w:p w14:paraId="2B02F920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Gross negligence requires a flagrant disregard for safety.</w:t>
      </w:r>
    </w:p>
    <w:p w14:paraId="2C1C1166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Establishes the threshold for culpability in manslaughter cases.</w:t>
      </w:r>
    </w:p>
    <w:p w14:paraId="4BD4488D" w14:textId="2637716B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Church (1966)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29F0228A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>: D attacked V, believing she was dead, and disposed of her body, leading to her death by drowning.</w:t>
      </w:r>
    </w:p>
    <w:p w14:paraId="7C69CF63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Dangerous acts must pose a risk of harm recognized by a reasonable person.</w:t>
      </w:r>
    </w:p>
    <w:p w14:paraId="0245FF35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Underpins the principle of objective foreseeability.</w:t>
      </w:r>
    </w:p>
    <w:p w14:paraId="525C397E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Issues and Critique</w:t>
      </w:r>
    </w:p>
    <w:p w14:paraId="37167B2E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Expanding manslaughter to include complicity in unlawful killings raises concerns about over-criminalization.</w:t>
      </w:r>
    </w:p>
    <w:p w14:paraId="74806D79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lastRenderedPageBreak/>
        <w:t>Lack of clear boundaries between reckless manslaughter and second-degree murder risks overlaps.</w:t>
      </w:r>
    </w:p>
    <w:p w14:paraId="7DF4AC05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E783FC4" w14:textId="30016578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The Duress Recommendations</w:t>
      </w:r>
    </w:p>
    <w:p w14:paraId="56331719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 xml:space="preserve">The Commission controversially proposes that duress be a complete </w:t>
      </w:r>
      <w:proofErr w:type="spellStart"/>
      <w:r w:rsidRPr="00EC78A2">
        <w:rPr>
          <w:rFonts w:ascii="Times New Roman" w:eastAsiaTheme="minorEastAsia" w:hAnsi="Times New Roman"/>
          <w14:ligatures w14:val="standardContextual"/>
        </w:rPr>
        <w:t>defense</w:t>
      </w:r>
      <w:proofErr w:type="spellEnd"/>
      <w:r w:rsidRPr="00EC78A2">
        <w:rPr>
          <w:rFonts w:ascii="Times New Roman" w:eastAsiaTheme="minorEastAsia" w:hAnsi="Times New Roman"/>
          <w14:ligatures w14:val="standardContextual"/>
        </w:rPr>
        <w:t xml:space="preserve"> to homicide, overturning long-standing common law principles.</w:t>
      </w:r>
    </w:p>
    <w:p w14:paraId="0109EC35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Cases Referenced</w:t>
      </w:r>
    </w:p>
    <w:p w14:paraId="74B763B9" w14:textId="6FB3C66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 v. Hasan (2005)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3A79B26F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EC78A2">
        <w:rPr>
          <w:rFonts w:ascii="Times New Roman" w:eastAsiaTheme="minorEastAsia" w:hAnsi="Times New Roman"/>
          <w14:ligatures w14:val="standardContextual"/>
        </w:rPr>
        <w:t>: D claimed duress after committing a robbery under threats.</w:t>
      </w:r>
    </w:p>
    <w:p w14:paraId="69BF25DC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EC78A2">
        <w:rPr>
          <w:rFonts w:ascii="Times New Roman" w:eastAsiaTheme="minorEastAsia" w:hAnsi="Times New Roman"/>
          <w14:ligatures w14:val="standardContextual"/>
        </w:rPr>
        <w:t>: Duress requires immediate threats of death or serious injury.</w:t>
      </w:r>
    </w:p>
    <w:p w14:paraId="651C6B72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EC78A2">
        <w:rPr>
          <w:rFonts w:ascii="Times New Roman" w:eastAsiaTheme="minorEastAsia" w:hAnsi="Times New Roman"/>
          <w14:ligatures w14:val="standardContextual"/>
        </w:rPr>
        <w:t>: Strict criteria ensure duress is not abused.</w:t>
      </w:r>
    </w:p>
    <w:p w14:paraId="0E52DE4B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Critique</w:t>
      </w:r>
    </w:p>
    <w:p w14:paraId="1C26899D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Reversing the burden of proof for duress undermines the presumption of innocence.</w:t>
      </w:r>
    </w:p>
    <w:p w14:paraId="0D79FF84" w14:textId="77777777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 xml:space="preserve">Comparison to </w:t>
      </w:r>
      <w:proofErr w:type="spellStart"/>
      <w:r w:rsidRPr="00EC78A2">
        <w:rPr>
          <w:rFonts w:ascii="Times New Roman" w:eastAsiaTheme="minorEastAsia" w:hAnsi="Times New Roman"/>
          <w14:ligatures w14:val="standardContextual"/>
        </w:rPr>
        <w:t>self-defense</w:t>
      </w:r>
      <w:proofErr w:type="spellEnd"/>
      <w:r w:rsidRPr="00EC78A2">
        <w:rPr>
          <w:rFonts w:ascii="Times New Roman" w:eastAsiaTheme="minorEastAsia" w:hAnsi="Times New Roman"/>
          <w14:ligatures w14:val="standardContextual"/>
        </w:rPr>
        <w:t>: Duress is treated inconsistently, despite similarities in moral justification.</w:t>
      </w:r>
    </w:p>
    <w:p w14:paraId="1C4C1644" w14:textId="77777777" w:rsid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7D400FD" w14:textId="77777777" w:rsid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5F0DE93" w14:textId="77777777" w:rsid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2ED158C" w14:textId="77777777" w:rsid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0CE894D" w14:textId="77777777" w:rsid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AC2AECA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DFEE1BB" w14:textId="0B54C3BA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5.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Pragmatism and Principle</w:t>
      </w:r>
    </w:p>
    <w:p w14:paraId="26269129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The report acknowledges that legal reform is inherently political, balancing ideals with practical constraints.</w:t>
      </w:r>
    </w:p>
    <w:p w14:paraId="309B9DA6" w14:textId="77777777" w:rsidR="00EC78A2" w:rsidRPr="00EC78A2" w:rsidRDefault="00EC78A2" w:rsidP="00EC78A2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Issues Raised</w:t>
      </w:r>
    </w:p>
    <w:p w14:paraId="5CFBB548" w14:textId="265E2BE3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Overreliance on Labels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3F666C0A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The term “murder” applied to second-degree offenses may not align with public understanding.</w:t>
      </w:r>
    </w:p>
    <w:p w14:paraId="574B9027" w14:textId="3366FAA9" w:rsidR="00EC78A2" w:rsidRPr="00EC78A2" w:rsidRDefault="00EC78A2" w:rsidP="00EC78A2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EC78A2">
        <w:rPr>
          <w:rFonts w:ascii="Times New Roman" w:eastAsiaTheme="minorEastAsia" w:hAnsi="Times New Roman"/>
          <w:b/>
          <w:bCs/>
          <w14:ligatures w14:val="standardContextual"/>
        </w:rPr>
        <w:t>Complexity</w:t>
      </w:r>
      <w:r w:rsidRPr="00EC78A2">
        <w:rPr>
          <w:rFonts w:ascii="Times New Roman" w:eastAsiaTheme="minorEastAsia" w:hAnsi="Times New Roman"/>
          <w14:ligatures w14:val="standardContextual"/>
        </w:rPr>
        <w:t>:</w:t>
      </w:r>
    </w:p>
    <w:p w14:paraId="08E5FDD1" w14:textId="77777777" w:rsidR="00EC78A2" w:rsidRPr="00EC78A2" w:rsidRDefault="00EC78A2" w:rsidP="00EC78A2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EC78A2">
        <w:rPr>
          <w:rFonts w:ascii="Times New Roman" w:eastAsiaTheme="minorEastAsia" w:hAnsi="Times New Roman"/>
          <w14:ligatures w14:val="standardContextual"/>
        </w:rPr>
        <w:t>The three-tier system risks complicating jury deliberations and sentencing.</w:t>
      </w:r>
    </w:p>
    <w:p w14:paraId="0786EC46" w14:textId="77777777" w:rsidR="00EC78A2" w:rsidRDefault="00EC78A2" w:rsidP="00EC78A2">
      <w:pPr>
        <w:spacing w:after="240" w:line="360" w:lineRule="auto"/>
        <w:rPr>
          <w:rFonts w:ascii="Times New Roman" w:hAnsi="Times New Roman"/>
        </w:rPr>
      </w:pPr>
    </w:p>
    <w:p w14:paraId="05915FBC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1BAC4B64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549EA71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2360D1A0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1D8F086A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D62EA9D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38B926C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B19EEF8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4AB3CB65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6CB2A69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4E215A4F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28E4ACFA" w14:textId="691A687C" w:rsidR="00EC78A2" w:rsidRPr="00EC78A2" w:rsidRDefault="00EC78A2" w:rsidP="009E790D">
      <w:pPr>
        <w:spacing w:after="240" w:line="360" w:lineRule="auto"/>
        <w:rPr>
          <w:rFonts w:ascii="Times New Roman" w:hAnsi="Times New Roman"/>
          <w:b/>
          <w:bCs/>
        </w:rPr>
      </w:pPr>
      <w:r w:rsidRPr="00EC78A2">
        <w:rPr>
          <w:rFonts w:ascii="Times New Roman" w:hAnsi="Times New Roman"/>
          <w:b/>
          <w:bCs/>
        </w:rPr>
        <w:lastRenderedPageBreak/>
        <w:t xml:space="preserve">Differences of murder 1 and 2 </w:t>
      </w:r>
    </w:p>
    <w:p w14:paraId="0B30F0EC" w14:textId="2D376267" w:rsidR="00EC78A2" w:rsidRDefault="00EC78A2" w:rsidP="00EC78A2">
      <w:pPr>
        <w:spacing w:after="240" w:line="360" w:lineRule="auto"/>
        <w:rPr>
          <w:rFonts w:ascii="Times New Roman" w:hAnsi="Times New Roman"/>
        </w:rPr>
      </w:pPr>
      <w:r w:rsidRPr="00EC78A2">
        <w:rPr>
          <w:rFonts w:ascii="Times New Roman" w:hAnsi="Times New Roman"/>
          <w:noProof/>
        </w:rPr>
        <w:drawing>
          <wp:inline distT="0" distB="0" distL="0" distR="0" wp14:anchorId="40C6DB51" wp14:editId="1B922D16">
            <wp:extent cx="4730415" cy="2694214"/>
            <wp:effectExtent l="0" t="0" r="0" b="0"/>
            <wp:docPr id="1426821313" name="Picture 1" descr="A screenshot of a white and black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21313" name="Picture 1" descr="A screenshot of a white and black li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397" cy="27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781" w14:textId="77777777" w:rsidR="009E790D" w:rsidRDefault="009E790D" w:rsidP="00EC78A2">
      <w:pPr>
        <w:spacing w:after="240" w:line="360" w:lineRule="auto"/>
        <w:rPr>
          <w:rFonts w:ascii="Times New Roman" w:hAnsi="Times New Roman"/>
        </w:rPr>
      </w:pPr>
    </w:p>
    <w:p w14:paraId="74BDFA24" w14:textId="2A3A9666" w:rsidR="00EC78A2" w:rsidRDefault="009E790D" w:rsidP="00EC78A2">
      <w:pPr>
        <w:spacing w:after="240" w:line="360" w:lineRule="auto"/>
        <w:rPr>
          <w:rFonts w:ascii="Times New Roman" w:hAnsi="Times New Roman"/>
        </w:rPr>
      </w:pPr>
      <w:r w:rsidRPr="009E790D">
        <w:rPr>
          <w:rFonts w:ascii="Times New Roman" w:hAnsi="Times New Roman"/>
          <w:noProof/>
        </w:rPr>
        <w:drawing>
          <wp:inline distT="0" distB="0" distL="0" distR="0" wp14:anchorId="24A88BEA" wp14:editId="67235751">
            <wp:extent cx="4795076" cy="1934936"/>
            <wp:effectExtent l="0" t="0" r="5715" b="0"/>
            <wp:docPr id="449752316" name="Picture 1" descr="A screenshot of a white and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2316" name="Picture 1" descr="A screenshot of a white and black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183" cy="19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522F" w14:textId="77777777" w:rsidR="009E790D" w:rsidRDefault="009E790D" w:rsidP="009E790D">
      <w:pPr>
        <w:rPr>
          <w:rFonts w:ascii="Times New Roman" w:hAnsi="Times New Roman"/>
        </w:rPr>
      </w:pPr>
    </w:p>
    <w:p w14:paraId="2CA2E67E" w14:textId="77777777" w:rsidR="009E790D" w:rsidRDefault="009E790D" w:rsidP="009E790D">
      <w:pPr>
        <w:rPr>
          <w:rFonts w:ascii="Times New Roman" w:hAnsi="Times New Roman"/>
        </w:rPr>
      </w:pPr>
    </w:p>
    <w:p w14:paraId="1521DDB6" w14:textId="77777777" w:rsidR="009E790D" w:rsidRDefault="009E790D" w:rsidP="009E790D">
      <w:pPr>
        <w:rPr>
          <w:rFonts w:ascii="Times New Roman" w:hAnsi="Times New Roman"/>
        </w:rPr>
      </w:pPr>
    </w:p>
    <w:p w14:paraId="624D5F2B" w14:textId="77777777" w:rsidR="009E790D" w:rsidRDefault="009E790D" w:rsidP="009E790D">
      <w:pPr>
        <w:rPr>
          <w:rFonts w:ascii="Times New Roman" w:hAnsi="Times New Roman"/>
        </w:rPr>
      </w:pPr>
    </w:p>
    <w:p w14:paraId="7D3C5580" w14:textId="77777777" w:rsidR="009E790D" w:rsidRDefault="009E790D" w:rsidP="009E790D">
      <w:pPr>
        <w:rPr>
          <w:rFonts w:ascii="Times New Roman" w:hAnsi="Times New Roman"/>
        </w:rPr>
      </w:pPr>
    </w:p>
    <w:p w14:paraId="0789F59B" w14:textId="77777777" w:rsidR="009E790D" w:rsidRDefault="009E790D" w:rsidP="009E790D">
      <w:pPr>
        <w:rPr>
          <w:rFonts w:ascii="Times New Roman" w:hAnsi="Times New Roman"/>
        </w:rPr>
      </w:pPr>
    </w:p>
    <w:p w14:paraId="5D0E4163" w14:textId="77777777" w:rsidR="009E790D" w:rsidRDefault="009E790D" w:rsidP="009E790D">
      <w:pPr>
        <w:rPr>
          <w:rFonts w:ascii="Times New Roman" w:hAnsi="Times New Roman"/>
        </w:rPr>
      </w:pPr>
    </w:p>
    <w:p w14:paraId="28BDC5D7" w14:textId="77777777" w:rsidR="009E790D" w:rsidRDefault="009E790D" w:rsidP="009E790D">
      <w:pPr>
        <w:rPr>
          <w:rFonts w:ascii="Times New Roman" w:hAnsi="Times New Roman"/>
        </w:rPr>
      </w:pPr>
    </w:p>
    <w:p w14:paraId="3CC65840" w14:textId="77777777" w:rsidR="009E790D" w:rsidRPr="009E790D" w:rsidRDefault="009E790D" w:rsidP="009E790D">
      <w:pPr>
        <w:rPr>
          <w:rFonts w:ascii="Times New Roman" w:hAnsi="Times New Roman"/>
        </w:rPr>
      </w:pPr>
    </w:p>
    <w:p w14:paraId="0B502F72" w14:textId="77777777" w:rsidR="009E790D" w:rsidRPr="009E790D" w:rsidRDefault="009E790D" w:rsidP="009E790D">
      <w:pPr>
        <w:rPr>
          <w:rFonts w:ascii="Times New Roman" w:hAnsi="Times New Roman"/>
        </w:rPr>
      </w:pPr>
    </w:p>
    <w:sectPr w:rsidR="009E790D" w:rsidRPr="009E790D" w:rsidSect="00EC78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DA4011B"/>
    <w:multiLevelType w:val="multilevel"/>
    <w:tmpl w:val="504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C6C99"/>
    <w:multiLevelType w:val="hybridMultilevel"/>
    <w:tmpl w:val="E65A91A6"/>
    <w:lvl w:ilvl="0" w:tplc="64C66EF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C6801"/>
    <w:multiLevelType w:val="hybridMultilevel"/>
    <w:tmpl w:val="6A524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B2CE9"/>
    <w:multiLevelType w:val="multilevel"/>
    <w:tmpl w:val="452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116DC"/>
    <w:multiLevelType w:val="hybridMultilevel"/>
    <w:tmpl w:val="D4C627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C11931"/>
    <w:multiLevelType w:val="hybridMultilevel"/>
    <w:tmpl w:val="E55811A0"/>
    <w:lvl w:ilvl="0" w:tplc="64C66EF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785495">
    <w:abstractNumId w:val="0"/>
  </w:num>
  <w:num w:numId="2" w16cid:durableId="1614556483">
    <w:abstractNumId w:val="1"/>
  </w:num>
  <w:num w:numId="3" w16cid:durableId="407966932">
    <w:abstractNumId w:val="2"/>
  </w:num>
  <w:num w:numId="4" w16cid:durableId="728264314">
    <w:abstractNumId w:val="3"/>
  </w:num>
  <w:num w:numId="5" w16cid:durableId="133104567">
    <w:abstractNumId w:val="4"/>
  </w:num>
  <w:num w:numId="6" w16cid:durableId="541795795">
    <w:abstractNumId w:val="5"/>
  </w:num>
  <w:num w:numId="7" w16cid:durableId="1209142094">
    <w:abstractNumId w:val="6"/>
  </w:num>
  <w:num w:numId="8" w16cid:durableId="1877353378">
    <w:abstractNumId w:val="7"/>
  </w:num>
  <w:num w:numId="9" w16cid:durableId="1199121000">
    <w:abstractNumId w:val="8"/>
  </w:num>
  <w:num w:numId="10" w16cid:durableId="734477182">
    <w:abstractNumId w:val="9"/>
  </w:num>
  <w:num w:numId="11" w16cid:durableId="271011905">
    <w:abstractNumId w:val="10"/>
  </w:num>
  <w:num w:numId="12" w16cid:durableId="586547497">
    <w:abstractNumId w:val="11"/>
  </w:num>
  <w:num w:numId="13" w16cid:durableId="1416592263">
    <w:abstractNumId w:val="14"/>
  </w:num>
  <w:num w:numId="14" w16cid:durableId="1145393216">
    <w:abstractNumId w:val="16"/>
  </w:num>
  <w:num w:numId="15" w16cid:durableId="2120908088">
    <w:abstractNumId w:val="17"/>
  </w:num>
  <w:num w:numId="16" w16cid:durableId="512035183">
    <w:abstractNumId w:val="15"/>
  </w:num>
  <w:num w:numId="17" w16cid:durableId="145365117">
    <w:abstractNumId w:val="12"/>
  </w:num>
  <w:num w:numId="18" w16cid:durableId="338779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8C"/>
    <w:rsid w:val="000147A9"/>
    <w:rsid w:val="00042755"/>
    <w:rsid w:val="0006107D"/>
    <w:rsid w:val="000623A3"/>
    <w:rsid w:val="000859C8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0E8C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D2967"/>
    <w:rsid w:val="009E62AF"/>
    <w:rsid w:val="009E790D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A6ED5"/>
    <w:rsid w:val="00EB7051"/>
    <w:rsid w:val="00EC68EB"/>
    <w:rsid w:val="00EC78A2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0E82"/>
  <w15:chartTrackingRefBased/>
  <w15:docId w15:val="{0488DBEC-547A-D643-B4C3-B406FAFF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8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0E8C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8C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8C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8C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8C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8C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8C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30E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8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30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8C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3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8C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30E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79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790D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2024-11-26T08:22:00Z</dcterms:created>
  <dcterms:modified xsi:type="dcterms:W3CDTF">2024-11-26T10:48:00Z</dcterms:modified>
</cp:coreProperties>
</file>