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353C9" w14:textId="77777777" w:rsidR="000C0DC8" w:rsidRPr="00915106" w:rsidRDefault="000C0DC8" w:rsidP="00915106">
      <w:pPr>
        <w:spacing w:after="240" w:line="360" w:lineRule="auto"/>
        <w:rPr>
          <w:rFonts w:ascii="Times New Roman" w:hAnsi="Times New Roman"/>
          <w:b/>
          <w:bCs/>
        </w:rPr>
      </w:pPr>
      <w:r w:rsidRPr="00915106">
        <w:rPr>
          <w:rFonts w:ascii="Times New Roman" w:hAnsi="Times New Roman"/>
          <w:b/>
          <w:bCs/>
        </w:rPr>
        <w:t>1. Introduction</w:t>
      </w:r>
    </w:p>
    <w:p w14:paraId="2B6244E1" w14:textId="77777777" w:rsidR="000C0DC8" w:rsidRPr="000C0DC8" w:rsidRDefault="000C0DC8" w:rsidP="00915106">
      <w:pPr>
        <w:spacing w:after="240" w:line="360" w:lineRule="auto"/>
        <w:rPr>
          <w:rFonts w:ascii="Times New Roman" w:hAnsi="Times New Roman"/>
        </w:rPr>
      </w:pPr>
      <w:r w:rsidRPr="000C0DC8">
        <w:rPr>
          <w:rFonts w:ascii="Times New Roman" w:hAnsi="Times New Roman"/>
        </w:rPr>
        <w:t>Overview: The Sentencing Council introduced comprehensive guidelines on manslaughter, covering unlawful act, gross negligence, loss of control, and diminished responsibility. The guidelines aim for consistency and incorporate input from judiciary trials.</w:t>
      </w:r>
    </w:p>
    <w:p w14:paraId="73F923B5" w14:textId="77777777" w:rsidR="000C0DC8" w:rsidRPr="000C0DC8" w:rsidRDefault="000C0DC8" w:rsidP="00915106">
      <w:pPr>
        <w:spacing w:after="240" w:line="360" w:lineRule="auto"/>
        <w:rPr>
          <w:rFonts w:ascii="Times New Roman" w:hAnsi="Times New Roman"/>
        </w:rPr>
      </w:pPr>
      <w:r w:rsidRPr="000C0DC8">
        <w:rPr>
          <w:rFonts w:ascii="Times New Roman" w:hAnsi="Times New Roman"/>
        </w:rPr>
        <w:t>Key Issues:</w:t>
      </w:r>
    </w:p>
    <w:p w14:paraId="37DBCAE5" w14:textId="743BF631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C0DC8" w:rsidRPr="000C0DC8">
        <w:rPr>
          <w:rFonts w:ascii="Times New Roman" w:hAnsi="Times New Roman"/>
        </w:rPr>
        <w:t>Difficulty in creating consistent guidelines due to the diverse nature of manslaughter cases.</w:t>
      </w:r>
    </w:p>
    <w:p w14:paraId="06037B80" w14:textId="046D4191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C0DC8" w:rsidRPr="000C0DC8">
        <w:rPr>
          <w:rFonts w:ascii="Times New Roman" w:hAnsi="Times New Roman"/>
        </w:rPr>
        <w:t>Rising sentencing levels in manslaughter over the past decades, influenced by cases like Appleby (2009).</w:t>
      </w:r>
    </w:p>
    <w:p w14:paraId="4EA59BD7" w14:textId="3631B762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C0DC8" w:rsidRPr="000C0DC8">
        <w:rPr>
          <w:rFonts w:ascii="Times New Roman" w:hAnsi="Times New Roman"/>
        </w:rPr>
        <w:t>No guidance on manslaughter by complicity in a suicide pact or corporate manslaughter.</w:t>
      </w:r>
    </w:p>
    <w:p w14:paraId="51A7169B" w14:textId="77777777" w:rsidR="00915106" w:rsidRDefault="00915106" w:rsidP="00915106">
      <w:pPr>
        <w:spacing w:after="240" w:line="360" w:lineRule="auto"/>
        <w:rPr>
          <w:rFonts w:ascii="Times New Roman" w:hAnsi="Times New Roman"/>
        </w:rPr>
      </w:pPr>
    </w:p>
    <w:p w14:paraId="425865BD" w14:textId="2C54F0D0" w:rsidR="000C0DC8" w:rsidRPr="00915106" w:rsidRDefault="000C0DC8" w:rsidP="00915106">
      <w:pPr>
        <w:spacing w:after="240" w:line="360" w:lineRule="auto"/>
        <w:rPr>
          <w:rFonts w:ascii="Times New Roman" w:hAnsi="Times New Roman"/>
          <w:b/>
          <w:bCs/>
        </w:rPr>
      </w:pPr>
      <w:r w:rsidRPr="00915106">
        <w:rPr>
          <w:rFonts w:ascii="Times New Roman" w:hAnsi="Times New Roman"/>
          <w:b/>
          <w:bCs/>
        </w:rPr>
        <w:t>2. Structural Issues</w:t>
      </w:r>
    </w:p>
    <w:p w14:paraId="4CF3CDE2" w14:textId="38BD6FE6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 w:rsidR="000C0DC8" w:rsidRPr="000C0DC8">
        <w:rPr>
          <w:rFonts w:ascii="Times New Roman" w:hAnsi="Times New Roman"/>
        </w:rPr>
        <w:t>Scope and Comparisons:</w:t>
      </w:r>
    </w:p>
    <w:p w14:paraId="402E3D4E" w14:textId="38359D0E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C0DC8" w:rsidRPr="000C0DC8">
        <w:rPr>
          <w:rFonts w:ascii="Times New Roman" w:hAnsi="Times New Roman"/>
        </w:rPr>
        <w:t>Separate sentencing ranges for each manslaughter type (e.g., 1–24 years for unlawful act, 1–18 years for gross negligence).</w:t>
      </w:r>
    </w:p>
    <w:p w14:paraId="48F2A9E2" w14:textId="028E3922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C0DC8" w:rsidRPr="000C0DC8">
        <w:rPr>
          <w:rFonts w:ascii="Times New Roman" w:hAnsi="Times New Roman"/>
        </w:rPr>
        <w:t>Lack of correlation with other offences (e.g., causing death by dangerous driving) or murder sentencing (Schedule 21).</w:t>
      </w:r>
    </w:p>
    <w:p w14:paraId="702329C3" w14:textId="43E1394B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 w:rsidR="000C0DC8" w:rsidRPr="000C0DC8">
        <w:rPr>
          <w:rFonts w:ascii="Times New Roman" w:hAnsi="Times New Roman"/>
        </w:rPr>
        <w:t>Key Case: Appleby (2009) - Established an escalation in manslaughter sentencing, emphasizing proportionality compared to murder.</w:t>
      </w:r>
    </w:p>
    <w:p w14:paraId="10060A57" w14:textId="00BF3C91" w:rsidR="000C0DC8" w:rsidRPr="000C0DC8" w:rsidRDefault="00915106" w:rsidP="00915106">
      <w:pPr>
        <w:spacing w:after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 w:rsidR="000C0DC8" w:rsidRPr="000C0DC8">
        <w:rPr>
          <w:rFonts w:ascii="Times New Roman" w:hAnsi="Times New Roman"/>
        </w:rPr>
        <w:t>Implication: The guidelines consolidate escalated sentencing while aiming for consistency but do not address inter-offence proportionality explicitly.</w:t>
      </w:r>
    </w:p>
    <w:p w14:paraId="52C75FAE" w14:textId="77777777" w:rsidR="000C0DC8" w:rsidRDefault="000C0DC8" w:rsidP="00915106">
      <w:pPr>
        <w:spacing w:after="240" w:line="360" w:lineRule="auto"/>
        <w:rPr>
          <w:rFonts w:ascii="Times New Roman" w:hAnsi="Times New Roman"/>
        </w:rPr>
      </w:pPr>
    </w:p>
    <w:p w14:paraId="1A9A5005" w14:textId="77777777" w:rsidR="00915106" w:rsidRDefault="00915106" w:rsidP="00915106">
      <w:pPr>
        <w:spacing w:after="240" w:line="360" w:lineRule="auto"/>
        <w:rPr>
          <w:rFonts w:ascii="Times New Roman" w:hAnsi="Times New Roman"/>
        </w:rPr>
      </w:pPr>
    </w:p>
    <w:p w14:paraId="6E87C2F1" w14:textId="77777777" w:rsidR="00915106" w:rsidRDefault="00915106" w:rsidP="00915106">
      <w:pPr>
        <w:spacing w:after="240" w:line="360" w:lineRule="auto"/>
        <w:rPr>
          <w:rFonts w:ascii="Times New Roman" w:hAnsi="Times New Roman"/>
        </w:rPr>
      </w:pPr>
    </w:p>
    <w:p w14:paraId="045A98BC" w14:textId="77777777" w:rsidR="00915106" w:rsidRDefault="00915106" w:rsidP="00915106">
      <w:pPr>
        <w:spacing w:after="240" w:line="360" w:lineRule="auto"/>
        <w:rPr>
          <w:rFonts w:ascii="Times New Roman" w:hAnsi="Times New Roman"/>
        </w:rPr>
      </w:pPr>
    </w:p>
    <w:p w14:paraId="3CB69849" w14:textId="5E99479A" w:rsidR="00915106" w:rsidRPr="00B36FE7" w:rsidRDefault="00915106" w:rsidP="00B36FE7">
      <w:pPr>
        <w:spacing w:after="240" w:line="360" w:lineRule="auto"/>
        <w:rPr>
          <w:rFonts w:ascii="Times New Roman" w:hAnsi="Times New Roman"/>
          <w:b/>
          <w:bCs/>
        </w:rPr>
      </w:pPr>
      <w:r w:rsidRPr="00B36FE7">
        <w:rPr>
          <w:rFonts w:ascii="Times New Roman" w:hAnsi="Times New Roman"/>
          <w:b/>
          <w:bCs/>
        </w:rPr>
        <w:lastRenderedPageBreak/>
        <w:t xml:space="preserve">3. Guidelines </w:t>
      </w:r>
    </w:p>
    <w:p w14:paraId="44E6CC6B" w14:textId="118C6FFC" w:rsidR="00915106" w:rsidRPr="00B36FE7" w:rsidRDefault="00915106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Definitions of the Four Types of Manslaughter</w:t>
      </w:r>
    </w:p>
    <w:p w14:paraId="245C78D6" w14:textId="46AEC055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Unlawful Act Manslaughter</w:t>
      </w:r>
    </w:p>
    <w:p w14:paraId="653CFD6F" w14:textId="6D6A5C1B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Occurs when the defendant commits a dangerous and unlawful act, which unintentionally causes the victim's death.</w:t>
      </w:r>
    </w:p>
    <w:p w14:paraId="6EB5D5E6" w14:textId="6ACF4CA2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Example: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R v Watson (1989)</w:t>
      </w:r>
      <w:r w:rsidRPr="00B36FE7">
        <w:rPr>
          <w:rFonts w:ascii="Times New Roman" w:eastAsiaTheme="minorEastAsia" w:hAnsi="Times New Roman"/>
          <w14:ligatures w14:val="standardContextual"/>
        </w:rPr>
        <w:t>: During a burglary, the victim—a 79-year-old man—died of a heart attack caused by the shock of the intrusion. The defendant was held responsible due to the foreseeability of harm.</w:t>
      </w:r>
    </w:p>
    <w:p w14:paraId="6CE4D77E" w14:textId="06332C2B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Gross Negligence Manslaughter</w:t>
      </w:r>
    </w:p>
    <w:p w14:paraId="1FE1DFA2" w14:textId="2F7314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Arises from a gross breach of a duty of care resulting in death.</w:t>
      </w:r>
    </w:p>
    <w:p w14:paraId="40D67D25" w14:textId="34884517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Example: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R v Wacker (2003)</w:t>
      </w:r>
      <w:r w:rsidRPr="00B36FE7">
        <w:rPr>
          <w:rFonts w:ascii="Times New Roman" w:eastAsiaTheme="minorEastAsia" w:hAnsi="Times New Roman"/>
          <w14:ligatures w14:val="standardContextual"/>
        </w:rPr>
        <w:t>: The defendant, a lorry driver, caused the deaths of 58 immigrants by failing to provide ventilation in his truck. The court emphasized blatant disregard for life.</w:t>
      </w:r>
    </w:p>
    <w:p w14:paraId="4BE07C97" w14:textId="777777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Manslaughter by Loss of Control</w:t>
      </w:r>
    </w:p>
    <w:p w14:paraId="22AD2E03" w14:textId="2D9518AD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Involves killing under a loss of self-control triggered by fear of violence or provocation.</w:t>
      </w:r>
    </w:p>
    <w:p w14:paraId="0C3C6020" w14:textId="2DBBD56B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Example: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R v Ward (2013)</w:t>
      </w:r>
      <w:r w:rsidRPr="00B36FE7">
        <w:rPr>
          <w:rFonts w:ascii="Times New Roman" w:eastAsiaTheme="minorEastAsia" w:hAnsi="Times New Roman"/>
          <w14:ligatures w14:val="standardContextual"/>
        </w:rPr>
        <w:t>: The defendant killed after perceiving an imminent threat. The court clarified the threshold for qualifying triggers under the Coroners and Justice Act 2009.</w:t>
      </w:r>
    </w:p>
    <w:p w14:paraId="48FD0E1D" w14:textId="777777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Manslaughter by Diminished Responsibility</w:t>
      </w:r>
    </w:p>
    <w:p w14:paraId="4DE90565" w14:textId="36CF47AA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Applies when the defendant suffers from an abnormality of mental functioning, substantially impairing judgment or self-control, and causes death.</w:t>
      </w:r>
    </w:p>
    <w:p w14:paraId="7F80C0A4" w14:textId="77777777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Example: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R v </w:t>
      </w:r>
      <w:proofErr w:type="spellStart"/>
      <w:r w:rsidRPr="00B36FE7">
        <w:rPr>
          <w:rFonts w:ascii="Times New Roman" w:eastAsiaTheme="minorEastAsia" w:hAnsi="Times New Roman"/>
          <w:b/>
          <w:bCs/>
          <w14:ligatures w14:val="standardContextual"/>
        </w:rPr>
        <w:t>Vowles</w:t>
      </w:r>
      <w:proofErr w:type="spellEnd"/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 (2015)</w:t>
      </w:r>
      <w:r w:rsidRPr="00B36FE7">
        <w:rPr>
          <w:rFonts w:ascii="Times New Roman" w:eastAsiaTheme="minorEastAsia" w:hAnsi="Times New Roman"/>
          <w14:ligatures w14:val="standardContextual"/>
        </w:rPr>
        <w:t>: A case highlighting the interplay of psychiatric evidence and sentencing discretion when mental disorders significantly impair responsibility.</w:t>
      </w:r>
    </w:p>
    <w:p w14:paraId="096B4253" w14:textId="77777777" w:rsidR="00915106" w:rsidRDefault="00915106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141EE3D" w14:textId="77777777" w:rsidR="00B36FE7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2DC2F75" w14:textId="010F3336" w:rsidR="00915106" w:rsidRPr="00B36FE7" w:rsidRDefault="00915106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2.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Factors Indicating Culpability</w:t>
      </w:r>
    </w:p>
    <w:p w14:paraId="659C7E83" w14:textId="77777777" w:rsidR="00B36FE7" w:rsidRPr="00B36FE7" w:rsidRDefault="00915106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Unlawful Act Manslaughter</w:t>
      </w:r>
    </w:p>
    <w:p w14:paraId="685052F7" w14:textId="7777777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Very High (11–24 years, starting point 18 years):</w:t>
      </w:r>
    </w:p>
    <w:p w14:paraId="486592A5" w14:textId="095D8264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Extreme character of one or more high culpability factors or multiple high culpability factors.</w:t>
      </w:r>
    </w:p>
    <w:p w14:paraId="4F6EC4D8" w14:textId="635FDCEA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High (8–16 years, starting point 12 years):</w:t>
      </w:r>
    </w:p>
    <w:p w14:paraId="67826AA8" w14:textId="3C9C3A39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Death caused in the course of an unlawful act intending harm short of GBH.</w:t>
      </w:r>
    </w:p>
    <w:p w14:paraId="1142A738" w14:textId="531DC050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Unlawful act carrying high risk of death/GBH, apparent or should-have-been-apparent to the offender.</w:t>
      </w:r>
    </w:p>
    <w:p w14:paraId="4515D04E" w14:textId="1EF7AC5B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Death during a serious offence where the offender played more than a minor role.</w:t>
      </w:r>
    </w:p>
    <w:p w14:paraId="70E52CAE" w14:textId="5D192A39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Concealment, destruction, defilement, or dismemberment of the body (if not separately charged).</w:t>
      </w:r>
    </w:p>
    <w:p w14:paraId="4E7026B3" w14:textId="7F3C7CA8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Example: R v Lamb (1967):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 Highlights risks from unlawful, dangerous acts such as reckless firearms handling.</w:t>
      </w:r>
    </w:p>
    <w:p w14:paraId="6C8C7E46" w14:textId="6FAAEBC0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Medium (3–9 years, starting point 6 years):</w:t>
      </w:r>
    </w:p>
    <w:p w14:paraId="64D5286E" w14:textId="21BF77D1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Death from unlawful act intending harm (or reckless disregard for harm) falling between high and lower culpability.</w:t>
      </w:r>
    </w:p>
    <w:p w14:paraId="607CFE78" w14:textId="2A3D7098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Death in a less serious offence where the offender was more than a minor participant.</w:t>
      </w:r>
    </w:p>
    <w:p w14:paraId="147E642A" w14:textId="0B23106D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Lower (1–4 years, starting point 2 years):</w:t>
      </w:r>
    </w:p>
    <w:p w14:paraId="4FD55102" w14:textId="552171A6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Death caused during an unlawful act defending self or others (not a full defence).</w:t>
      </w:r>
    </w:p>
    <w:p w14:paraId="4591AAF1" w14:textId="69453A46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No intent to cause </w:t>
      </w:r>
      <w:proofErr w:type="gramStart"/>
      <w:r w:rsidRPr="00B36FE7">
        <w:rPr>
          <w:rFonts w:ascii="Times New Roman" w:eastAsiaTheme="minorEastAsia" w:hAnsi="Times New Roman"/>
          <w14:ligatures w14:val="standardContextual"/>
        </w:rPr>
        <w:t>harm;</w:t>
      </w:r>
      <w:proofErr w:type="gramEnd"/>
      <w:r w:rsidRPr="00B36FE7">
        <w:rPr>
          <w:rFonts w:ascii="Times New Roman" w:eastAsiaTheme="minorEastAsia" w:hAnsi="Times New Roman"/>
          <w14:ligatures w14:val="standardContextual"/>
        </w:rPr>
        <w:t xml:space="preserve"> no obvious risk beyond minor harm.</w:t>
      </w:r>
    </w:p>
    <w:p w14:paraId="0057CB01" w14:textId="75826CE3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Minor role in the offence.</w:t>
      </w:r>
    </w:p>
    <w:p w14:paraId="4313849C" w14:textId="1540C58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Responsibility reduced by mental disorder, learning disability, or immaturity.</w:t>
      </w:r>
    </w:p>
    <w:p w14:paraId="3D384924" w14:textId="77777777" w:rsid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5ED324B2" w14:textId="238EED74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Mitigating and Aggravating Factors</w:t>
      </w:r>
    </w:p>
    <w:p w14:paraId="6533A896" w14:textId="7777777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Mitigating: History of abuse or provocation by the victim; remorse; clean record.</w:t>
      </w:r>
    </w:p>
    <w:p w14:paraId="2F204476" w14:textId="09D7803A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Aggravating: Premeditation of underlying offence; concealment actions; involvement in groups.</w:t>
      </w:r>
    </w:p>
    <w:p w14:paraId="4E2D5249" w14:textId="77777777" w:rsidR="00B36FE7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08ECC99B" w14:textId="20A6CD85" w:rsidR="00915106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="00915106" w:rsidRPr="00B36FE7">
        <w:rPr>
          <w:rFonts w:ascii="Times New Roman" w:eastAsiaTheme="minorEastAsia" w:hAnsi="Times New Roman"/>
          <w:b/>
          <w:bCs/>
          <w14:ligatures w14:val="standardContextual"/>
        </w:rPr>
        <w:t>Gross Negligence Manslaughter</w:t>
      </w:r>
    </w:p>
    <w:p w14:paraId="18AE2E68" w14:textId="254EE58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Very High (10–18 years, starting point 12 years):</w:t>
      </w:r>
    </w:p>
    <w:p w14:paraId="6D370134" w14:textId="5893E202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Blatant disregard for a high risk of death.</w:t>
      </w:r>
    </w:p>
    <w:p w14:paraId="72361548" w14:textId="3DF364C6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Motivated by financial gain or cost avoidance.</w:t>
      </w:r>
    </w:p>
    <w:p w14:paraId="1FDB72DB" w14:textId="3AF4A47B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Repeated negligent conduct causing visible suffering.</w:t>
      </w:r>
    </w:p>
    <w:p w14:paraId="40D1ED3D" w14:textId="5AB6309D" w:rsid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Concealment or destruction of the body.</w:t>
      </w:r>
    </w:p>
    <w:p w14:paraId="0829C3AD" w14:textId="7190BB11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Example: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R v Bateman (1925)</w:t>
      </w:r>
      <w:r w:rsidRPr="00B36FE7">
        <w:rPr>
          <w:rFonts w:ascii="Times New Roman" w:eastAsiaTheme="minorEastAsia" w:hAnsi="Times New Roman"/>
          <w14:ligatures w14:val="standardContextual"/>
        </w:rPr>
        <w:t>: Established a high threshold for gross negligence, especially in medical cases.</w:t>
      </w:r>
    </w:p>
    <w:p w14:paraId="663FF290" w14:textId="5EC8340C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High (6–12 years, starting point 8 years):</w:t>
      </w:r>
    </w:p>
    <w:p w14:paraId="3E4969E9" w14:textId="68D8EAC5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Serious criminal context of negligence.</w:t>
      </w:r>
    </w:p>
    <w:p w14:paraId="2170E331" w14:textId="51535CF4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Offender played a leading role in joint criminality.</w:t>
      </w:r>
    </w:p>
    <w:p w14:paraId="6445AC6A" w14:textId="41819F8E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Medium (3–7 years, starting point 4 years):</w:t>
      </w:r>
    </w:p>
    <w:p w14:paraId="5FF459FE" w14:textId="7777777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Balance of factors between high and lower culpability.</w:t>
      </w:r>
    </w:p>
    <w:p w14:paraId="2E87B0F5" w14:textId="24D2D358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Lower (1–4 years, starting point 2 years):</w:t>
      </w:r>
    </w:p>
    <w:p w14:paraId="269C84D1" w14:textId="59C98E64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Negligent conduct in an otherwise satisfactory standard of care.</w:t>
      </w:r>
    </w:p>
    <w:p w14:paraId="5DA00949" w14:textId="56D0AADC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Subordinate role in group activity.</w:t>
      </w:r>
    </w:p>
    <w:p w14:paraId="49AB1062" w14:textId="264C7BBB" w:rsidR="00B36FE7" w:rsidRPr="008C086F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Responsibility reduced by mental disorder, learning disability, or immaturity.</w:t>
      </w:r>
    </w:p>
    <w:p w14:paraId="5CB91A90" w14:textId="470298C1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Mitigating and Aggravating Factors</w:t>
      </w:r>
    </w:p>
    <w:p w14:paraId="443CFD99" w14:textId="7777777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Mitigating: Lack of expertise due to external factors; extreme stress or limited decision-making control.</w:t>
      </w:r>
    </w:p>
    <w:p w14:paraId="751A2418" w14:textId="1F48D68F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Aggravating: Impact on others; efforts to shift blame.</w:t>
      </w:r>
    </w:p>
    <w:p w14:paraId="3B5FB659" w14:textId="77777777" w:rsidR="00B36FE7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3B08EE81" w14:textId="2D28BE67" w:rsidR="00915106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="00915106" w:rsidRPr="00B36FE7">
        <w:rPr>
          <w:rFonts w:ascii="Times New Roman" w:eastAsiaTheme="minorEastAsia" w:hAnsi="Times New Roman"/>
          <w:b/>
          <w:bCs/>
          <w14:ligatures w14:val="standardContextual"/>
        </w:rPr>
        <w:t>Manslaughter by Loss of Control</w:t>
      </w:r>
    </w:p>
    <w:p w14:paraId="54C1E435" w14:textId="0C84F3A1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High (10–20 years, starting point 14 years):</w:t>
      </w:r>
    </w:p>
    <w:p w14:paraId="2D5CAE28" w14:textId="60CEF80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Planned criminal activity before the loss of control.</w:t>
      </w:r>
    </w:p>
    <w:p w14:paraId="5791F365" w14:textId="5C0F0BC8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Loss of control barely meeting criteria for a qualifying trigger.</w:t>
      </w:r>
    </w:p>
    <w:p w14:paraId="153352BE" w14:textId="7015E0C9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B36FE7">
        <w:rPr>
          <w:rFonts w:ascii="Times New Roman" w:eastAsiaTheme="minorEastAsia" w:hAnsi="Times New Roman"/>
          <w14:ligatures w14:val="standardContextual"/>
        </w:rPr>
        <w:t>Use of a firearm or weapon.</w:t>
      </w:r>
    </w:p>
    <w:p w14:paraId="503DF276" w14:textId="63832381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Medium (5–12 years, starting point 8 years):</w:t>
      </w:r>
    </w:p>
    <w:p w14:paraId="738B666A" w14:textId="7777777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Cases balancing high and lower culpability factors.</w:t>
      </w:r>
    </w:p>
    <w:p w14:paraId="7AF067EA" w14:textId="38F5F8A9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Lower (3–6 years, starting point 5 years):</w:t>
      </w:r>
    </w:p>
    <w:p w14:paraId="73CF7FE1" w14:textId="7777777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Qualifying trigger represented extreme provocation.</w:t>
      </w:r>
    </w:p>
    <w:p w14:paraId="7A5E7189" w14:textId="77777777" w:rsid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7A69CEF3" w14:textId="4F513B58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Mitigating and Aggravating Factors</w:t>
      </w:r>
    </w:p>
    <w:p w14:paraId="483535FD" w14:textId="77777777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Mitigating: History of abuse by the victim; lack of premeditation.</w:t>
      </w:r>
    </w:p>
    <w:p w14:paraId="53B03F07" w14:textId="3C651289" w:rsidR="00B36FE7" w:rsidRPr="00B36FE7" w:rsidRDefault="00B36FE7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Aggravating: Use of weapons; prolonged violence.</w:t>
      </w:r>
    </w:p>
    <w:p w14:paraId="569D4340" w14:textId="77777777" w:rsidR="008C086F" w:rsidRDefault="008C086F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3D60A73F" w14:textId="5F3385B4" w:rsidR="00915106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r w:rsidR="00915106" w:rsidRPr="00B36FE7">
        <w:rPr>
          <w:rFonts w:ascii="Times New Roman" w:eastAsiaTheme="minorEastAsia" w:hAnsi="Times New Roman"/>
          <w:b/>
          <w:bCs/>
          <w14:ligatures w14:val="standardContextual"/>
        </w:rPr>
        <w:t>Manslaughter by Diminished Responsibility</w:t>
      </w:r>
    </w:p>
    <w:p w14:paraId="3FFCFAF9" w14:textId="777777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High Culpability (15–40 years, starting point 24 years):</w:t>
      </w:r>
    </w:p>
    <w:p w14:paraId="6734E930" w14:textId="247CA6C5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Retained substantial responsibility despite impairment.</w:t>
      </w:r>
    </w:p>
    <w:p w14:paraId="73E2C242" w14:textId="77777777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Example:</w:t>
      </w:r>
      <w:r w:rsidRPr="00B36FE7">
        <w:rPr>
          <w:rFonts w:ascii="Times New Roman" w:eastAsiaTheme="minorEastAsia" w:hAnsi="Times New Roman"/>
          <w14:ligatures w14:val="standardContextual"/>
        </w:rPr>
        <w:t xml:space="preserve"> 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R v Sutcliffe (1981)</w:t>
      </w:r>
      <w:r w:rsidRPr="00B36FE7">
        <w:rPr>
          <w:rFonts w:ascii="Times New Roman" w:eastAsiaTheme="minorEastAsia" w:hAnsi="Times New Roman"/>
          <w14:ligatures w14:val="standardContextual"/>
        </w:rPr>
        <w:t>: Highlighted high culpability even with a significant mental disorder.</w:t>
      </w:r>
    </w:p>
    <w:p w14:paraId="5D43466D" w14:textId="777777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Medium Culpability (10–25 years, starting point 15 years):</w:t>
      </w:r>
    </w:p>
    <w:p w14:paraId="78F1A560" w14:textId="77777777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Moderate retention of responsibility.</w:t>
      </w:r>
    </w:p>
    <w:p w14:paraId="696255A6" w14:textId="777777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Lower Culpability (3–12 years, starting point 7 years):</w:t>
      </w:r>
    </w:p>
    <w:p w14:paraId="7C7CB238" w14:textId="77777777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Severe impairment of judgment or self-control, often involving undiagnosed conditions or genuine efforts to seek help.</w:t>
      </w:r>
    </w:p>
    <w:p w14:paraId="7A9B777E" w14:textId="77777777" w:rsidR="00B36FE7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Mitigating and Aggravating Factors</w:t>
      </w:r>
    </w:p>
    <w:p w14:paraId="394420B9" w14:textId="77777777" w:rsidR="00B36FE7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Mitigating: Mental condition undiagnosed or untreated; mercy killing.</w:t>
      </w:r>
    </w:p>
    <w:p w14:paraId="56CE0448" w14:textId="05A82E1B" w:rsidR="00915106" w:rsidRP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Aggravating: Alcohol/drug influence exacerbating the mental disorder.</w:t>
      </w:r>
    </w:p>
    <w:p w14:paraId="58613083" w14:textId="77777777" w:rsidR="00B36FE7" w:rsidRDefault="00B36FE7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38871440" w14:textId="1FFD6D92" w:rsidR="00915106" w:rsidRPr="00B36FE7" w:rsidRDefault="00915106" w:rsidP="00B36FE7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Steps in Sentencing Manslaughter</w:t>
      </w:r>
    </w:p>
    <w:p w14:paraId="68C88263" w14:textId="44409BF1" w:rsidR="008C086F" w:rsidRPr="008C086F" w:rsidRDefault="008C086F" w:rsidP="008C086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8C086F">
        <w:rPr>
          <w:rFonts w:ascii="Times New Roman" w:eastAsiaTheme="minorEastAsia" w:hAnsi="Times New Roman"/>
          <w:b/>
          <w:bCs/>
          <w14:ligatures w14:val="standardContextual"/>
        </w:rPr>
        <w:t>Step 1: Identify culpability and place the case in the appropriate category.</w:t>
      </w:r>
    </w:p>
    <w:p w14:paraId="2D062F88" w14:textId="06626384" w:rsidR="008C086F" w:rsidRPr="008C086F" w:rsidRDefault="008C086F" w:rsidP="008C086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8C086F">
        <w:rPr>
          <w:rFonts w:ascii="Times New Roman" w:eastAsiaTheme="minorEastAsia" w:hAnsi="Times New Roman"/>
          <w14:ligatures w14:val="standardContextual"/>
        </w:rPr>
        <w:t xml:space="preserve">Example: A "high culpability" unlawful act </w:t>
      </w:r>
      <w:r>
        <w:rPr>
          <w:rFonts w:ascii="Times New Roman" w:eastAsiaTheme="minorEastAsia" w:hAnsi="Times New Roman"/>
          <w14:ligatures w14:val="standardContextual"/>
        </w:rPr>
        <w:t xml:space="preserve">of </w:t>
      </w:r>
      <w:r w:rsidRPr="008C086F">
        <w:rPr>
          <w:rFonts w:ascii="Times New Roman" w:eastAsiaTheme="minorEastAsia" w:hAnsi="Times New Roman"/>
          <w14:ligatures w14:val="standardContextual"/>
        </w:rPr>
        <w:t>manslaughter with a starting point of 12 years.</w:t>
      </w:r>
    </w:p>
    <w:p w14:paraId="63A9E9DD" w14:textId="77777777" w:rsidR="008C086F" w:rsidRDefault="00915106" w:rsidP="008C086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Step 2: </w:t>
      </w:r>
      <w:r w:rsidR="008C086F" w:rsidRPr="008C086F">
        <w:rPr>
          <w:rFonts w:ascii="Times New Roman" w:eastAsiaTheme="minorEastAsia" w:hAnsi="Times New Roman"/>
          <w:b/>
          <w:bCs/>
          <w14:ligatures w14:val="standardContextual"/>
        </w:rPr>
        <w:t>Adjust the starting point based on specific case features.</w:t>
      </w:r>
    </w:p>
    <w:p w14:paraId="637833B6" w14:textId="77777777" w:rsidR="008C086F" w:rsidRDefault="008C086F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8C086F">
        <w:rPr>
          <w:rFonts w:ascii="Times New Roman" w:eastAsiaTheme="minorEastAsia" w:hAnsi="Times New Roman"/>
          <w14:ligatures w14:val="standardContextual"/>
        </w:rPr>
        <w:t>Example: If the case is less severe than average for "high culpability," reduce the starting point to 10 years.</w:t>
      </w:r>
    </w:p>
    <w:p w14:paraId="52655EC2" w14:textId="0CD1B0CC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Key Guideline:</w:t>
      </w:r>
    </w:p>
    <w:p w14:paraId="15F1086E" w14:textId="77777777" w:rsidR="00915106" w:rsidRPr="00B36FE7" w:rsidRDefault="00915106" w:rsidP="00B36FE7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"Where a case does not fall squarely within a category, adjustment from the starting point may be required before adjustment for aggravating or mitigating factors."</w:t>
      </w:r>
    </w:p>
    <w:p w14:paraId="5F40FDFD" w14:textId="77777777" w:rsidR="008C086F" w:rsidRPr="008C086F" w:rsidRDefault="008C086F" w:rsidP="008C086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8C086F">
        <w:rPr>
          <w:rFonts w:ascii="Times New Roman" w:eastAsiaTheme="minorEastAsia" w:hAnsi="Times New Roman"/>
          <w:b/>
          <w:bCs/>
          <w14:ligatures w14:val="standardContextual"/>
        </w:rPr>
        <w:t>Step 3: Add aggravating factors to increase the sentence.</w:t>
      </w:r>
    </w:p>
    <w:p w14:paraId="7C916C15" w14:textId="77777777" w:rsidR="008C086F" w:rsidRPr="008C086F" w:rsidRDefault="008C086F" w:rsidP="008C086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8C086F">
        <w:rPr>
          <w:rFonts w:ascii="Times New Roman" w:eastAsiaTheme="minorEastAsia" w:hAnsi="Times New Roman"/>
          <w:b/>
          <w:bCs/>
          <w14:ligatures w14:val="standardContextual"/>
        </w:rPr>
        <w:t>Step 4: Subtract mitigating factors to reduce the sentence.</w:t>
      </w:r>
    </w:p>
    <w:p w14:paraId="0B0B7C12" w14:textId="77777777" w:rsidR="008C086F" w:rsidRDefault="008C086F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>//</w:t>
      </w:r>
    </w:p>
    <w:p w14:paraId="64B2C59B" w14:textId="42147800" w:rsidR="008C086F" w:rsidRDefault="008C086F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8C086F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The Manslaughter by Reason of Diminished Responsibility </w:t>
      </w:r>
    </w:p>
    <w:p w14:paraId="5ADD102B" w14:textId="52A37B01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 xml:space="preserve">Step </w:t>
      </w:r>
      <w:r w:rsidR="008C086F">
        <w:rPr>
          <w:rFonts w:ascii="Times New Roman" w:eastAsiaTheme="minorEastAsia" w:hAnsi="Times New Roman"/>
          <w:b/>
          <w:bCs/>
          <w14:ligatures w14:val="standardContextual"/>
        </w:rPr>
        <w:t>5</w:t>
      </w: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: Assessing Dangerousness</w:t>
      </w:r>
    </w:p>
    <w:p w14:paraId="6DC221E7" w14:textId="77777777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Evaluate whether the defendant poses a risk to the public.</w:t>
      </w:r>
    </w:p>
    <w:p w14:paraId="4B9B846B" w14:textId="777777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Step 4: Considering Mental Health Disposals (if applicable)</w:t>
      </w:r>
    </w:p>
    <w:p w14:paraId="2833CD1F" w14:textId="77777777" w:rsidR="00915106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Assess the suitability of custodial versus hospital orders under the Mental Health Act 1983.</w:t>
      </w:r>
    </w:p>
    <w:p w14:paraId="6650E657" w14:textId="77777777" w:rsidR="00915106" w:rsidRPr="00B36FE7" w:rsidRDefault="00915106" w:rsidP="00B36FE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:b/>
          <w:bCs/>
          <w14:ligatures w14:val="standardContextual"/>
        </w:rPr>
        <w:t>Step 5: Reviewing Sentence Proportionality</w:t>
      </w:r>
    </w:p>
    <w:p w14:paraId="642D83AA" w14:textId="07E734E9" w:rsidR="00CD39F1" w:rsidRPr="00B36FE7" w:rsidRDefault="00915106" w:rsidP="00B36FE7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B36FE7">
        <w:rPr>
          <w:rFonts w:ascii="Times New Roman" w:eastAsiaTheme="minorEastAsia" w:hAnsi="Times New Roman"/>
          <w14:ligatures w14:val="standardContextual"/>
        </w:rPr>
        <w:t>Ensure the final sentence is proportionate to the facts of the offence and aligned with public safety objectives.</w:t>
      </w:r>
    </w:p>
    <w:sectPr w:rsidR="00CD39F1" w:rsidRPr="00B3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000001F7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9AE4F32"/>
    <w:multiLevelType w:val="hybridMultilevel"/>
    <w:tmpl w:val="FCEEB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836815">
    <w:abstractNumId w:val="0"/>
  </w:num>
  <w:num w:numId="2" w16cid:durableId="1336372902">
    <w:abstractNumId w:val="1"/>
  </w:num>
  <w:num w:numId="3" w16cid:durableId="348722570">
    <w:abstractNumId w:val="2"/>
  </w:num>
  <w:num w:numId="4" w16cid:durableId="376929113">
    <w:abstractNumId w:val="3"/>
  </w:num>
  <w:num w:numId="5" w16cid:durableId="1358657307">
    <w:abstractNumId w:val="4"/>
  </w:num>
  <w:num w:numId="6" w16cid:durableId="312485603">
    <w:abstractNumId w:val="5"/>
  </w:num>
  <w:num w:numId="7" w16cid:durableId="17093354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02"/>
    <w:rsid w:val="000147A9"/>
    <w:rsid w:val="00042755"/>
    <w:rsid w:val="0006107D"/>
    <w:rsid w:val="000623A3"/>
    <w:rsid w:val="00094D65"/>
    <w:rsid w:val="000A2074"/>
    <w:rsid w:val="000A3F4D"/>
    <w:rsid w:val="000C0DC8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086F"/>
    <w:rsid w:val="008C7B0A"/>
    <w:rsid w:val="008D0642"/>
    <w:rsid w:val="008E745B"/>
    <w:rsid w:val="008F4EA7"/>
    <w:rsid w:val="008F5A10"/>
    <w:rsid w:val="00905ED0"/>
    <w:rsid w:val="00915106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36FE7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E3E02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701E6"/>
  <w15:chartTrackingRefBased/>
  <w15:docId w15:val="{78DDE085-0BF7-274A-A1B4-F04E7D61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E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E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E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E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E0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E0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E0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E0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E0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E0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E0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E0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E0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E3E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0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E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E0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E3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E0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CE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E0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E3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2024-11-26T11:55:00Z</dcterms:created>
  <dcterms:modified xsi:type="dcterms:W3CDTF">2024-11-26T13:23:00Z</dcterms:modified>
</cp:coreProperties>
</file>