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7E3B3F" w14:textId="77777777" w:rsidR="001F7595" w:rsidRPr="001F7595" w:rsidRDefault="001F7595" w:rsidP="001F7595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1F7595">
        <w:rPr>
          <w:rFonts w:ascii="Times New Roman" w:eastAsiaTheme="minorEastAsia" w:hAnsi="Times New Roman"/>
          <w:b/>
          <w:bCs/>
          <w14:ligatures w14:val="standardContextual"/>
        </w:rPr>
        <w:t>1. Introduction</w:t>
      </w:r>
    </w:p>
    <w:p w14:paraId="73B3B501" w14:textId="77777777" w:rsidR="001F7595" w:rsidRPr="001F7595" w:rsidRDefault="001F7595" w:rsidP="001F7595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F7595">
        <w:rPr>
          <w:rFonts w:ascii="Times New Roman" w:eastAsiaTheme="minorEastAsia" w:hAnsi="Times New Roman"/>
          <w:b/>
          <w:bCs/>
          <w14:ligatures w14:val="standardContextual"/>
        </w:rPr>
        <w:t>Section 2(1) of the Homicide Act 1957:</w:t>
      </w:r>
    </w:p>
    <w:p w14:paraId="5033CE64" w14:textId="62F3ABAE" w:rsidR="001F7595" w:rsidRPr="001F7595" w:rsidRDefault="001F7595" w:rsidP="001F7595">
      <w:pPr>
        <w:pStyle w:val="ListParagraph"/>
        <w:numPr>
          <w:ilvl w:val="0"/>
          <w:numId w:val="9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F7595">
        <w:rPr>
          <w:rFonts w:ascii="Times New Roman" w:eastAsiaTheme="minorEastAsia" w:hAnsi="Times New Roman"/>
          <w14:ligatures w14:val="standardContextual"/>
        </w:rPr>
        <w:t xml:space="preserve">Introduced diminished responsibility as a partial </w:t>
      </w:r>
      <w:proofErr w:type="spellStart"/>
      <w:r w:rsidRPr="001F7595">
        <w:rPr>
          <w:rFonts w:ascii="Times New Roman" w:eastAsiaTheme="minorEastAsia" w:hAnsi="Times New Roman"/>
          <w14:ligatures w14:val="standardContextual"/>
        </w:rPr>
        <w:t>defense</w:t>
      </w:r>
      <w:proofErr w:type="spellEnd"/>
      <w:r w:rsidRPr="001F7595">
        <w:rPr>
          <w:rFonts w:ascii="Times New Roman" w:eastAsiaTheme="minorEastAsia" w:hAnsi="Times New Roman"/>
          <w14:ligatures w14:val="standardContextual"/>
        </w:rPr>
        <w:t xml:space="preserve"> to reduce murder to manslaughter.</w:t>
      </w:r>
    </w:p>
    <w:p w14:paraId="6E81A2E0" w14:textId="6EF0725A" w:rsidR="001F7595" w:rsidRPr="001F7595" w:rsidRDefault="001F7595" w:rsidP="001F7595">
      <w:pPr>
        <w:pStyle w:val="ListParagraph"/>
        <w:numPr>
          <w:ilvl w:val="0"/>
          <w:numId w:val="9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F7595">
        <w:rPr>
          <w:rFonts w:ascii="Times New Roman" w:eastAsiaTheme="minorEastAsia" w:hAnsi="Times New Roman"/>
          <w14:ligatures w14:val="standardContextual"/>
        </w:rPr>
        <w:t>Definition: A person is not guilty of murder if suffering from an "abnormality of mind" arising from causes such as arrested or retarded development, inherent conditions, or diseases/injuries, impairing their mental responsibility for the killing.</w:t>
      </w:r>
    </w:p>
    <w:p w14:paraId="7E524F53" w14:textId="0DB4281E" w:rsidR="001F7595" w:rsidRPr="001F7595" w:rsidRDefault="001F7595" w:rsidP="001F7595">
      <w:pPr>
        <w:pStyle w:val="ListParagraph"/>
        <w:numPr>
          <w:ilvl w:val="0"/>
          <w:numId w:val="9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F7595">
        <w:rPr>
          <w:rFonts w:ascii="Times New Roman" w:eastAsiaTheme="minorEastAsia" w:hAnsi="Times New Roman"/>
          <w14:ligatures w14:val="standardContextual"/>
        </w:rPr>
        <w:t xml:space="preserve">The </w:t>
      </w:r>
      <w:proofErr w:type="spellStart"/>
      <w:r w:rsidRPr="001F7595">
        <w:rPr>
          <w:rFonts w:ascii="Times New Roman" w:eastAsiaTheme="minorEastAsia" w:hAnsi="Times New Roman"/>
          <w14:ligatures w14:val="standardContextual"/>
        </w:rPr>
        <w:t>defense</w:t>
      </w:r>
      <w:proofErr w:type="spellEnd"/>
      <w:r w:rsidRPr="001F7595">
        <w:rPr>
          <w:rFonts w:ascii="Times New Roman" w:eastAsiaTheme="minorEastAsia" w:hAnsi="Times New Roman"/>
          <w14:ligatures w14:val="standardContextual"/>
        </w:rPr>
        <w:t xml:space="preserve"> applied where there was significant, but not total, impairment of mental responsibility.</w:t>
      </w:r>
    </w:p>
    <w:p w14:paraId="36BA2F32" w14:textId="77777777" w:rsidR="001F7595" w:rsidRPr="001F7595" w:rsidRDefault="001F7595" w:rsidP="001F7595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F7595">
        <w:rPr>
          <w:rFonts w:ascii="Times New Roman" w:eastAsiaTheme="minorEastAsia" w:hAnsi="Times New Roman"/>
          <w:b/>
          <w:bCs/>
          <w14:ligatures w14:val="standardContextual"/>
        </w:rPr>
        <w:t>Criticisms of Section 2(1):</w:t>
      </w:r>
    </w:p>
    <w:p w14:paraId="1FB15760" w14:textId="77777777" w:rsidR="001F7595" w:rsidRPr="001F7595" w:rsidRDefault="001F7595" w:rsidP="001F7595">
      <w:pPr>
        <w:numPr>
          <w:ilvl w:val="0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F7595">
        <w:rPr>
          <w:rFonts w:ascii="Times New Roman" w:eastAsiaTheme="minorEastAsia" w:hAnsi="Times New Roman"/>
          <w14:ligatures w14:val="standardContextual"/>
        </w:rPr>
        <w:t>Described as “elliptical almost to the point of nonsense” (</w:t>
      </w:r>
      <w:proofErr w:type="spellStart"/>
      <w:r w:rsidRPr="001F7595">
        <w:rPr>
          <w:rFonts w:ascii="Times New Roman" w:eastAsiaTheme="minorEastAsia" w:hAnsi="Times New Roman"/>
          <w14:ligatures w14:val="standardContextual"/>
        </w:rPr>
        <w:t>Griew</w:t>
      </w:r>
      <w:proofErr w:type="spellEnd"/>
      <w:r w:rsidRPr="001F7595">
        <w:rPr>
          <w:rFonts w:ascii="Times New Roman" w:eastAsiaTheme="minorEastAsia" w:hAnsi="Times New Roman"/>
          <w14:ligatures w14:val="standardContextual"/>
        </w:rPr>
        <w:t>, 1986).</w:t>
      </w:r>
    </w:p>
    <w:p w14:paraId="7171B8EA" w14:textId="77777777" w:rsidR="001F7595" w:rsidRPr="001F7595" w:rsidRDefault="001F7595" w:rsidP="001F7595">
      <w:pPr>
        <w:numPr>
          <w:ilvl w:val="0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F7595">
        <w:rPr>
          <w:rFonts w:ascii="Times New Roman" w:eastAsiaTheme="minorEastAsia" w:hAnsi="Times New Roman"/>
          <w14:ligatures w14:val="standardContextual"/>
        </w:rPr>
        <w:t>Scholars like Sparks criticized its vagueness, arguing it led to inconsistent application and outcomes.</w:t>
      </w:r>
    </w:p>
    <w:p w14:paraId="32CFEE4E" w14:textId="77777777" w:rsidR="001F7595" w:rsidRPr="001F7595" w:rsidRDefault="001F7595" w:rsidP="001F7595">
      <w:pPr>
        <w:numPr>
          <w:ilvl w:val="0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F7595">
        <w:rPr>
          <w:rFonts w:ascii="Times New Roman" w:eastAsiaTheme="minorEastAsia" w:hAnsi="Times New Roman"/>
          <w14:ligatures w14:val="standardContextual"/>
        </w:rPr>
        <w:t>Lady Wootton found the definition illogical, creating confusion in its application.</w:t>
      </w:r>
    </w:p>
    <w:p w14:paraId="6DF60591" w14:textId="77777777" w:rsidR="001F7595" w:rsidRPr="001F7595" w:rsidRDefault="001F7595" w:rsidP="001F7595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F7595">
        <w:rPr>
          <w:rFonts w:ascii="Times New Roman" w:eastAsiaTheme="minorEastAsia" w:hAnsi="Times New Roman"/>
          <w:b/>
          <w:bCs/>
          <w14:ligatures w14:val="standardContextual"/>
        </w:rPr>
        <w:t>Section 52 of the Coroners and Justice Act 2009:</w:t>
      </w:r>
    </w:p>
    <w:p w14:paraId="124086B6" w14:textId="77777777" w:rsidR="001F7595" w:rsidRPr="001F7595" w:rsidRDefault="001F7595" w:rsidP="001F7595">
      <w:pPr>
        <w:pStyle w:val="ListParagraph"/>
        <w:numPr>
          <w:ilvl w:val="0"/>
          <w:numId w:val="10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F7595">
        <w:rPr>
          <w:rFonts w:ascii="Times New Roman" w:eastAsiaTheme="minorEastAsia" w:hAnsi="Times New Roman"/>
          <w14:ligatures w14:val="standardContextual"/>
        </w:rPr>
        <w:t>Revised the definition of diminished responsibility to clarify ambiguities.</w:t>
      </w:r>
    </w:p>
    <w:p w14:paraId="7A32E578" w14:textId="4D32E45C" w:rsidR="001F7595" w:rsidRDefault="001F7595" w:rsidP="001F7595">
      <w:pPr>
        <w:pStyle w:val="ListParagraph"/>
        <w:numPr>
          <w:ilvl w:val="0"/>
          <w:numId w:val="10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F7595">
        <w:rPr>
          <w:rFonts w:ascii="Times New Roman" w:eastAsiaTheme="minorEastAsia" w:hAnsi="Times New Roman"/>
          <w14:ligatures w14:val="standardContextual"/>
        </w:rPr>
        <w:t xml:space="preserve">Introduced the concept </w:t>
      </w:r>
      <w:r w:rsidRPr="00AC1ED4">
        <w:rPr>
          <w:rFonts w:ascii="Times New Roman" w:eastAsiaTheme="minorEastAsia" w:hAnsi="Times New Roman"/>
          <w:u w:val="single"/>
          <w14:ligatures w14:val="standardContextual"/>
        </w:rPr>
        <w:t>of "abnormality of mental functioning</w:t>
      </w:r>
      <w:r w:rsidRPr="001F7595">
        <w:rPr>
          <w:rFonts w:ascii="Times New Roman" w:eastAsiaTheme="minorEastAsia" w:hAnsi="Times New Roman"/>
          <w14:ligatures w14:val="standardContextual"/>
        </w:rPr>
        <w:t>" caused by a "recognized medical condition," which must substantially impair the defendant’s ability in specific areas and explain their actions.</w:t>
      </w:r>
    </w:p>
    <w:p w14:paraId="3378946D" w14:textId="77777777" w:rsidR="001F7595" w:rsidRPr="004B530F" w:rsidRDefault="001F7595" w:rsidP="004B530F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11992102" w14:textId="77777777" w:rsidR="001F7595" w:rsidRPr="001F7595" w:rsidRDefault="001F7595" w:rsidP="001F7595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1F7595">
        <w:rPr>
          <w:rFonts w:ascii="Times New Roman" w:eastAsiaTheme="minorEastAsia" w:hAnsi="Times New Roman"/>
          <w:b/>
          <w:bCs/>
          <w14:ligatures w14:val="standardContextual"/>
        </w:rPr>
        <w:t>2. Context of Reforms</w:t>
      </w:r>
    </w:p>
    <w:p w14:paraId="3A93FBEE" w14:textId="77777777" w:rsidR="001F7595" w:rsidRPr="001F7595" w:rsidRDefault="001F7595" w:rsidP="001F7595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F7595">
        <w:rPr>
          <w:rFonts w:ascii="Times New Roman" w:eastAsiaTheme="minorEastAsia" w:hAnsi="Times New Roman"/>
          <w:b/>
          <w:bCs/>
          <w14:ligatures w14:val="standardContextual"/>
        </w:rPr>
        <w:t>Calls for Reform:</w:t>
      </w:r>
    </w:p>
    <w:p w14:paraId="5A34A7C2" w14:textId="77777777" w:rsidR="001F7595" w:rsidRPr="001F7595" w:rsidRDefault="001F7595" w:rsidP="001F7595">
      <w:pPr>
        <w:pStyle w:val="ListParagraph"/>
        <w:numPr>
          <w:ilvl w:val="0"/>
          <w:numId w:val="2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F7595">
        <w:rPr>
          <w:rFonts w:ascii="Times New Roman" w:eastAsiaTheme="minorEastAsia" w:hAnsi="Times New Roman"/>
          <w14:ligatures w14:val="standardContextual"/>
        </w:rPr>
        <w:t>Repeated critiques of Section 2(1) came from the Butler Report (1975), the Criminal Law Revision Committee (1980), and the Law Commission (2004, 2006).</w:t>
      </w:r>
    </w:p>
    <w:p w14:paraId="3114B690" w14:textId="77777777" w:rsidR="001F7595" w:rsidRPr="001F7595" w:rsidRDefault="001F7595" w:rsidP="001F7595">
      <w:pPr>
        <w:pStyle w:val="ListParagraph"/>
        <w:numPr>
          <w:ilvl w:val="0"/>
          <w:numId w:val="2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F7595">
        <w:rPr>
          <w:rFonts w:ascii="Times New Roman" w:eastAsiaTheme="minorEastAsia" w:hAnsi="Times New Roman"/>
          <w14:ligatures w14:val="standardContextual"/>
        </w:rPr>
        <w:lastRenderedPageBreak/>
        <w:t xml:space="preserve">Reports highlighted the need for modernizing the </w:t>
      </w:r>
      <w:proofErr w:type="spellStart"/>
      <w:r w:rsidRPr="001F7595">
        <w:rPr>
          <w:rFonts w:ascii="Times New Roman" w:eastAsiaTheme="minorEastAsia" w:hAnsi="Times New Roman"/>
          <w14:ligatures w14:val="standardContextual"/>
        </w:rPr>
        <w:t>defense</w:t>
      </w:r>
      <w:proofErr w:type="spellEnd"/>
      <w:r w:rsidRPr="001F7595">
        <w:rPr>
          <w:rFonts w:ascii="Times New Roman" w:eastAsiaTheme="minorEastAsia" w:hAnsi="Times New Roman"/>
          <w14:ligatures w14:val="standardContextual"/>
        </w:rPr>
        <w:t xml:space="preserve"> to reflect advancements in psychiatry and better align with principles of clarity and fairness.</w:t>
      </w:r>
    </w:p>
    <w:p w14:paraId="02AC7A2C" w14:textId="77777777" w:rsidR="001F7595" w:rsidRPr="001F7595" w:rsidRDefault="001F7595" w:rsidP="001F7595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F7595">
        <w:rPr>
          <w:rFonts w:ascii="Times New Roman" w:eastAsiaTheme="minorEastAsia" w:hAnsi="Times New Roman"/>
          <w:b/>
          <w:bCs/>
          <w14:ligatures w14:val="standardContextual"/>
        </w:rPr>
        <w:t>Law Commission’s Proposals (2006):</w:t>
      </w:r>
    </w:p>
    <w:p w14:paraId="2DD7A4E1" w14:textId="77777777" w:rsidR="001F7595" w:rsidRPr="001F7595" w:rsidRDefault="001F7595" w:rsidP="001F7595">
      <w:pPr>
        <w:pStyle w:val="ListParagraph"/>
        <w:numPr>
          <w:ilvl w:val="0"/>
          <w:numId w:val="1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F7595">
        <w:rPr>
          <w:rFonts w:ascii="Times New Roman" w:eastAsiaTheme="minorEastAsia" w:hAnsi="Times New Roman"/>
          <w14:ligatures w14:val="standardContextual"/>
        </w:rPr>
        <w:t>Recommended a comprehensive restructuring of homicide law, creating a hierarchy of murder offenses (first-degree and second-degree murder).</w:t>
      </w:r>
    </w:p>
    <w:p w14:paraId="44DD1CBD" w14:textId="77777777" w:rsidR="001F7595" w:rsidRPr="001F7595" w:rsidRDefault="001F7595" w:rsidP="001F7595">
      <w:pPr>
        <w:pStyle w:val="ListParagraph"/>
        <w:numPr>
          <w:ilvl w:val="0"/>
          <w:numId w:val="1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F7595">
        <w:rPr>
          <w:rFonts w:ascii="Times New Roman" w:eastAsiaTheme="minorEastAsia" w:hAnsi="Times New Roman"/>
          <w14:ligatures w14:val="standardContextual"/>
        </w:rPr>
        <w:t>Suggested reforms to diminished responsibility to better reflect contemporary diagnostic standards and distinguish it from insanity.</w:t>
      </w:r>
    </w:p>
    <w:p w14:paraId="71A456B3" w14:textId="77777777" w:rsidR="001F7595" w:rsidRPr="001F7595" w:rsidRDefault="001F7595" w:rsidP="001F7595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F7595">
        <w:rPr>
          <w:rFonts w:ascii="Times New Roman" w:eastAsiaTheme="minorEastAsia" w:hAnsi="Times New Roman"/>
          <w:b/>
          <w:bCs/>
          <w14:ligatures w14:val="standardContextual"/>
        </w:rPr>
        <w:t>Government’s Limited Approach:</w:t>
      </w:r>
    </w:p>
    <w:p w14:paraId="489EFB47" w14:textId="77777777" w:rsidR="001F7595" w:rsidRPr="001F7595" w:rsidRDefault="001F7595" w:rsidP="001F7595">
      <w:pPr>
        <w:pStyle w:val="ListParagraph"/>
        <w:numPr>
          <w:ilvl w:val="0"/>
          <w:numId w:val="12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F7595">
        <w:rPr>
          <w:rFonts w:ascii="Times New Roman" w:eastAsiaTheme="minorEastAsia" w:hAnsi="Times New Roman"/>
          <w14:ligatures w14:val="standardContextual"/>
        </w:rPr>
        <w:t xml:space="preserve">The government focused on partial </w:t>
      </w:r>
      <w:proofErr w:type="spellStart"/>
      <w:r w:rsidRPr="001F7595">
        <w:rPr>
          <w:rFonts w:ascii="Times New Roman" w:eastAsiaTheme="minorEastAsia" w:hAnsi="Times New Roman"/>
          <w14:ligatures w14:val="standardContextual"/>
        </w:rPr>
        <w:t>defenses</w:t>
      </w:r>
      <w:proofErr w:type="spellEnd"/>
      <w:r w:rsidRPr="001F7595">
        <w:rPr>
          <w:rFonts w:ascii="Times New Roman" w:eastAsiaTheme="minorEastAsia" w:hAnsi="Times New Roman"/>
          <w14:ligatures w14:val="standardContextual"/>
        </w:rPr>
        <w:t xml:space="preserve"> rather than overhauling the entire homicide law.</w:t>
      </w:r>
    </w:p>
    <w:p w14:paraId="161A9C00" w14:textId="77777777" w:rsidR="001F7595" w:rsidRPr="001F7595" w:rsidRDefault="001F7595" w:rsidP="001F7595">
      <w:pPr>
        <w:pStyle w:val="ListParagraph"/>
        <w:numPr>
          <w:ilvl w:val="0"/>
          <w:numId w:val="12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F7595">
        <w:rPr>
          <w:rFonts w:ascii="Times New Roman" w:eastAsiaTheme="minorEastAsia" w:hAnsi="Times New Roman"/>
          <w14:ligatures w14:val="standardContextual"/>
        </w:rPr>
        <w:t>Scholars like Miles (2009) criticized this piecemeal approach as failing to address systemic issues, leading to a "dog’s breakfast" of reforms.</w:t>
      </w:r>
    </w:p>
    <w:p w14:paraId="15DF713D" w14:textId="77777777" w:rsidR="001F7595" w:rsidRPr="001F7595" w:rsidRDefault="001F7595" w:rsidP="001F7595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3807DE58" w14:textId="77777777" w:rsidR="001F7595" w:rsidRPr="001F7595" w:rsidRDefault="001F7595" w:rsidP="001F7595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1F7595">
        <w:rPr>
          <w:rFonts w:ascii="Times New Roman" w:eastAsiaTheme="minorEastAsia" w:hAnsi="Times New Roman"/>
          <w:b/>
          <w:bCs/>
          <w14:ligatures w14:val="standardContextual"/>
        </w:rPr>
        <w:t>3. Key Provisions of Section 52</w:t>
      </w:r>
    </w:p>
    <w:p w14:paraId="20E99DC1" w14:textId="77777777" w:rsidR="001F7595" w:rsidRPr="001F7595" w:rsidRDefault="001F7595" w:rsidP="001F7595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F7595">
        <w:rPr>
          <w:rFonts w:ascii="Times New Roman" w:eastAsiaTheme="minorEastAsia" w:hAnsi="Times New Roman"/>
          <w:b/>
          <w:bCs/>
          <w14:ligatures w14:val="standardContextual"/>
        </w:rPr>
        <w:t>Revised Definition (Section 52 of the Coroners and Justice Act 2009):</w:t>
      </w:r>
    </w:p>
    <w:p w14:paraId="3D55A90A" w14:textId="506D8AED" w:rsidR="001F7595" w:rsidRPr="001F7595" w:rsidRDefault="001F7595" w:rsidP="001F7595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t xml:space="preserve">1. </w:t>
      </w:r>
      <w:r w:rsidRPr="001F7595">
        <w:rPr>
          <w:rFonts w:ascii="Times New Roman" w:eastAsiaTheme="minorEastAsia" w:hAnsi="Times New Roman"/>
          <w:b/>
          <w:bCs/>
          <w14:ligatures w14:val="standardContextual"/>
        </w:rPr>
        <w:t>Abnormality of mental functioning:</w:t>
      </w:r>
      <w:r w:rsidRPr="001F7595">
        <w:rPr>
          <w:rFonts w:ascii="Times New Roman" w:eastAsiaTheme="minorEastAsia" w:hAnsi="Times New Roman"/>
          <w14:ligatures w14:val="standardContextual"/>
        </w:rPr>
        <w:t xml:space="preserve"> A new, clearer term replacing "abnormality of mind."</w:t>
      </w:r>
    </w:p>
    <w:p w14:paraId="1A42B9C1" w14:textId="3328E946" w:rsidR="001F7595" w:rsidRPr="001F7595" w:rsidRDefault="001F7595" w:rsidP="001F7595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t xml:space="preserve">2. </w:t>
      </w:r>
      <w:r w:rsidRPr="001F7595">
        <w:rPr>
          <w:rFonts w:ascii="Times New Roman" w:eastAsiaTheme="minorEastAsia" w:hAnsi="Times New Roman"/>
          <w:b/>
          <w:bCs/>
          <w14:ligatures w14:val="standardContextual"/>
        </w:rPr>
        <w:t>Recognized medical condition:</w:t>
      </w:r>
      <w:r w:rsidRPr="001F7595">
        <w:rPr>
          <w:rFonts w:ascii="Times New Roman" w:eastAsiaTheme="minorEastAsia" w:hAnsi="Times New Roman"/>
          <w14:ligatures w14:val="standardContextual"/>
        </w:rPr>
        <w:t xml:space="preserve"> Requires the condition to be formally diagnosed using international standards (e.g., DSM, ICD).</w:t>
      </w:r>
    </w:p>
    <w:p w14:paraId="0CDCE1C8" w14:textId="278B7FC5" w:rsidR="001F7595" w:rsidRPr="001F7595" w:rsidRDefault="001F7595" w:rsidP="001F7595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t xml:space="preserve">3. </w:t>
      </w:r>
      <w:r w:rsidRPr="001F7595">
        <w:rPr>
          <w:rFonts w:ascii="Times New Roman" w:eastAsiaTheme="minorEastAsia" w:hAnsi="Times New Roman"/>
          <w:b/>
          <w:bCs/>
          <w14:ligatures w14:val="standardContextual"/>
        </w:rPr>
        <w:t>Substantial impairment:</w:t>
      </w:r>
      <w:r w:rsidRPr="001F7595">
        <w:rPr>
          <w:rFonts w:ascii="Times New Roman" w:eastAsiaTheme="minorEastAsia" w:hAnsi="Times New Roman"/>
          <w14:ligatures w14:val="standardContextual"/>
        </w:rPr>
        <w:t xml:space="preserve"> Specifies three capacities that must be impaired:</w:t>
      </w:r>
    </w:p>
    <w:p w14:paraId="10CE5FC5" w14:textId="77777777" w:rsidR="001F7595" w:rsidRPr="001F7595" w:rsidRDefault="001F7595" w:rsidP="001F7595">
      <w:pPr>
        <w:pStyle w:val="ListParagraph"/>
        <w:numPr>
          <w:ilvl w:val="0"/>
          <w:numId w:val="13"/>
        </w:numPr>
        <w:tabs>
          <w:tab w:val="left" w:pos="1660"/>
          <w:tab w:val="left" w:pos="216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F7595">
        <w:rPr>
          <w:rFonts w:ascii="Times New Roman" w:eastAsiaTheme="minorEastAsia" w:hAnsi="Times New Roman"/>
          <w14:ligatures w14:val="standardContextual"/>
        </w:rPr>
        <w:t>Understanding the nature of one’s conduct.</w:t>
      </w:r>
    </w:p>
    <w:p w14:paraId="583CBF30" w14:textId="77777777" w:rsidR="001F7595" w:rsidRPr="001F7595" w:rsidRDefault="001F7595" w:rsidP="001F7595">
      <w:pPr>
        <w:pStyle w:val="ListParagraph"/>
        <w:numPr>
          <w:ilvl w:val="0"/>
          <w:numId w:val="13"/>
        </w:numPr>
        <w:tabs>
          <w:tab w:val="left" w:pos="1660"/>
          <w:tab w:val="left" w:pos="216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F7595">
        <w:rPr>
          <w:rFonts w:ascii="Times New Roman" w:eastAsiaTheme="minorEastAsia" w:hAnsi="Times New Roman"/>
          <w14:ligatures w14:val="standardContextual"/>
        </w:rPr>
        <w:t>Forming rational judgments.</w:t>
      </w:r>
    </w:p>
    <w:p w14:paraId="2D7F7E3D" w14:textId="77777777" w:rsidR="001F7595" w:rsidRPr="001F7595" w:rsidRDefault="001F7595" w:rsidP="001F7595">
      <w:pPr>
        <w:pStyle w:val="ListParagraph"/>
        <w:numPr>
          <w:ilvl w:val="0"/>
          <w:numId w:val="13"/>
        </w:numPr>
        <w:tabs>
          <w:tab w:val="left" w:pos="1660"/>
          <w:tab w:val="left" w:pos="216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F7595">
        <w:rPr>
          <w:rFonts w:ascii="Times New Roman" w:eastAsiaTheme="minorEastAsia" w:hAnsi="Times New Roman"/>
          <w14:ligatures w14:val="standardContextual"/>
        </w:rPr>
        <w:t>Exercising self-control.</w:t>
      </w:r>
    </w:p>
    <w:p w14:paraId="0DDBA856" w14:textId="4A993701" w:rsidR="001F7595" w:rsidRPr="001F7595" w:rsidRDefault="001F7595" w:rsidP="001F7595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t xml:space="preserve">4. </w:t>
      </w:r>
      <w:r w:rsidRPr="001F7595">
        <w:rPr>
          <w:rFonts w:ascii="Times New Roman" w:eastAsiaTheme="minorEastAsia" w:hAnsi="Times New Roman"/>
          <w:b/>
          <w:bCs/>
          <w14:ligatures w14:val="standardContextual"/>
        </w:rPr>
        <w:t>Causal connection:</w:t>
      </w:r>
      <w:r w:rsidRPr="001F7595">
        <w:rPr>
          <w:rFonts w:ascii="Times New Roman" w:eastAsiaTheme="minorEastAsia" w:hAnsi="Times New Roman"/>
          <w14:ligatures w14:val="standardContextual"/>
        </w:rPr>
        <w:t xml:space="preserve"> The abnormality must explain the defendant’s conduct, introducing an explicit causation requirement.</w:t>
      </w:r>
    </w:p>
    <w:p w14:paraId="3ED5962D" w14:textId="77777777" w:rsidR="001F7595" w:rsidRPr="001F7595" w:rsidRDefault="001F7595" w:rsidP="001F7595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1F7595">
        <w:rPr>
          <w:rFonts w:ascii="Times New Roman" w:eastAsiaTheme="minorEastAsia" w:hAnsi="Times New Roman"/>
          <w:b/>
          <w:bCs/>
          <w14:ligatures w14:val="standardContextual"/>
        </w:rPr>
        <w:lastRenderedPageBreak/>
        <w:t>4. Criticisms and Scholarly Opinions on Section 52</w:t>
      </w:r>
    </w:p>
    <w:p w14:paraId="22EF1943" w14:textId="77777777" w:rsidR="001F7595" w:rsidRPr="001F7595" w:rsidRDefault="001F7595" w:rsidP="001F7595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F7595">
        <w:rPr>
          <w:rFonts w:ascii="Times New Roman" w:eastAsiaTheme="minorEastAsia" w:hAnsi="Times New Roman"/>
          <w:b/>
          <w:bCs/>
          <w14:ligatures w14:val="standardContextual"/>
        </w:rPr>
        <w:t>Improvements:</w:t>
      </w:r>
    </w:p>
    <w:p w14:paraId="49A8DBCF" w14:textId="77777777" w:rsidR="001F7595" w:rsidRPr="001F7595" w:rsidRDefault="001F7595" w:rsidP="001F7595">
      <w:pPr>
        <w:pStyle w:val="ListParagraph"/>
        <w:numPr>
          <w:ilvl w:val="0"/>
          <w:numId w:val="15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F7595">
        <w:rPr>
          <w:rFonts w:ascii="Times New Roman" w:eastAsiaTheme="minorEastAsia" w:hAnsi="Times New Roman"/>
          <w14:ligatures w14:val="standardContextual"/>
        </w:rPr>
        <w:t>Clearer focus on recognized medical conditions and specific impairments addressed ambiguities in Section 2(1).</w:t>
      </w:r>
    </w:p>
    <w:p w14:paraId="6E055E13" w14:textId="77777777" w:rsidR="001F7595" w:rsidRPr="001F7595" w:rsidRDefault="001F7595" w:rsidP="001F7595">
      <w:pPr>
        <w:pStyle w:val="ListParagraph"/>
        <w:numPr>
          <w:ilvl w:val="0"/>
          <w:numId w:val="15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F7595">
        <w:rPr>
          <w:rFonts w:ascii="Times New Roman" w:eastAsiaTheme="minorEastAsia" w:hAnsi="Times New Roman"/>
          <w14:ligatures w14:val="standardContextual"/>
        </w:rPr>
        <w:t>Recognized by the Royal College of Psychiatrists as improving expert testimony and legal understanding.</w:t>
      </w:r>
    </w:p>
    <w:p w14:paraId="5EF702D9" w14:textId="77777777" w:rsidR="001F7595" w:rsidRPr="001F7595" w:rsidRDefault="001F7595" w:rsidP="001F7595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F7595">
        <w:rPr>
          <w:rFonts w:ascii="Times New Roman" w:eastAsiaTheme="minorEastAsia" w:hAnsi="Times New Roman"/>
          <w:b/>
          <w:bCs/>
          <w14:ligatures w14:val="standardContextual"/>
        </w:rPr>
        <w:t>New Issues Introduced:</w:t>
      </w:r>
    </w:p>
    <w:p w14:paraId="45353A17" w14:textId="77777777" w:rsidR="001F7595" w:rsidRPr="001F7595" w:rsidRDefault="001F7595" w:rsidP="001F7595">
      <w:pPr>
        <w:pStyle w:val="ListParagraph"/>
        <w:numPr>
          <w:ilvl w:val="0"/>
          <w:numId w:val="15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F7595">
        <w:rPr>
          <w:rFonts w:ascii="Times New Roman" w:eastAsiaTheme="minorEastAsia" w:hAnsi="Times New Roman"/>
          <w:b/>
          <w:bCs/>
          <w14:ligatures w14:val="standardContextual"/>
        </w:rPr>
        <w:t>Exclusion of Non-Medical Conditions:</w:t>
      </w:r>
      <w:r w:rsidRPr="001F7595">
        <w:rPr>
          <w:rFonts w:ascii="Times New Roman" w:eastAsiaTheme="minorEastAsia" w:hAnsi="Times New Roman"/>
          <w14:ligatures w14:val="standardContextual"/>
        </w:rPr>
        <w:t xml:space="preserve"> Critics (Mackay, 2010) argue that requiring "recognized medical conditions" narrows the </w:t>
      </w:r>
      <w:proofErr w:type="spellStart"/>
      <w:r w:rsidRPr="001F7595">
        <w:rPr>
          <w:rFonts w:ascii="Times New Roman" w:eastAsiaTheme="minorEastAsia" w:hAnsi="Times New Roman"/>
          <w14:ligatures w14:val="standardContextual"/>
        </w:rPr>
        <w:t>defense</w:t>
      </w:r>
      <w:proofErr w:type="spellEnd"/>
      <w:r w:rsidRPr="001F7595">
        <w:rPr>
          <w:rFonts w:ascii="Times New Roman" w:eastAsiaTheme="minorEastAsia" w:hAnsi="Times New Roman"/>
          <w14:ligatures w14:val="standardContextual"/>
        </w:rPr>
        <w:t>, potentially excluding defendants such as highly stressed killers or those with borderline impairments.</w:t>
      </w:r>
    </w:p>
    <w:p w14:paraId="2602567B" w14:textId="77777777" w:rsidR="001F7595" w:rsidRPr="001F7595" w:rsidRDefault="001F7595" w:rsidP="001F7595">
      <w:pPr>
        <w:pStyle w:val="ListParagraph"/>
        <w:numPr>
          <w:ilvl w:val="0"/>
          <w:numId w:val="15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F7595">
        <w:rPr>
          <w:rFonts w:ascii="Times New Roman" w:eastAsiaTheme="minorEastAsia" w:hAnsi="Times New Roman"/>
          <w:b/>
          <w:bCs/>
          <w14:ligatures w14:val="standardContextual"/>
        </w:rPr>
        <w:t>Causation Requirement:</w:t>
      </w:r>
      <w:r w:rsidRPr="001F7595">
        <w:rPr>
          <w:rFonts w:ascii="Times New Roman" w:eastAsiaTheme="minorEastAsia" w:hAnsi="Times New Roman"/>
          <w14:ligatures w14:val="standardContextual"/>
        </w:rPr>
        <w:t xml:space="preserve"> Scholars like Wilson (2006) warn that proving a direct link between mental impairment and the killing creates challenges, especially in complex cases involving multiple factors.</w:t>
      </w:r>
    </w:p>
    <w:p w14:paraId="42BC6328" w14:textId="77777777" w:rsidR="001F7595" w:rsidRPr="001F7595" w:rsidRDefault="001F7595" w:rsidP="001F7595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392A5CBA" w14:textId="77777777" w:rsidR="001F7595" w:rsidRDefault="001F7595" w:rsidP="001F7595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1F7595">
        <w:rPr>
          <w:rFonts w:ascii="Times New Roman" w:eastAsiaTheme="minorEastAsia" w:hAnsi="Times New Roman"/>
          <w:b/>
          <w:bCs/>
          <w14:ligatures w14:val="standardContextual"/>
        </w:rPr>
        <w:t>5. Issues of Clarity</w:t>
      </w:r>
    </w:p>
    <w:p w14:paraId="1551DDB2" w14:textId="4F8EED17" w:rsidR="001F7595" w:rsidRPr="001F7595" w:rsidRDefault="001F7595" w:rsidP="001F7595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1F7595">
        <w:rPr>
          <w:rFonts w:ascii="Times New Roman" w:eastAsiaTheme="minorEastAsia" w:hAnsi="Times New Roman"/>
          <w:b/>
          <w:bCs/>
          <w14:ligatures w14:val="standardContextual"/>
        </w:rPr>
        <w:t>"Abnormality of Mind" vs. "Mental Functioning":</w:t>
      </w:r>
    </w:p>
    <w:p w14:paraId="00B2AC84" w14:textId="77777777" w:rsidR="001F7595" w:rsidRPr="001F7595" w:rsidRDefault="001F7595" w:rsidP="001F7595">
      <w:pPr>
        <w:pStyle w:val="ListParagraph"/>
        <w:numPr>
          <w:ilvl w:val="0"/>
          <w:numId w:val="16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F7595">
        <w:rPr>
          <w:rFonts w:ascii="Times New Roman" w:eastAsiaTheme="minorEastAsia" w:hAnsi="Times New Roman"/>
          <w14:ligatures w14:val="standardContextual"/>
        </w:rPr>
        <w:t>The old phrase was flexible but vague, leading to inconsistent interpretations.</w:t>
      </w:r>
    </w:p>
    <w:p w14:paraId="6190F5EE" w14:textId="77777777" w:rsidR="001F7595" w:rsidRPr="001F7595" w:rsidRDefault="001F7595" w:rsidP="001F7595">
      <w:pPr>
        <w:pStyle w:val="ListParagraph"/>
        <w:numPr>
          <w:ilvl w:val="0"/>
          <w:numId w:val="16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F7595">
        <w:rPr>
          <w:rFonts w:ascii="Times New Roman" w:eastAsiaTheme="minorEastAsia" w:hAnsi="Times New Roman"/>
          <w14:ligatures w14:val="standardContextual"/>
        </w:rPr>
        <w:t>The new term aligns better with psychiatric diagnoses but risks rigidity by excluding unclassified conditions.</w:t>
      </w:r>
    </w:p>
    <w:p w14:paraId="11378B39" w14:textId="77777777" w:rsidR="001F7595" w:rsidRPr="001F7595" w:rsidRDefault="001F7595" w:rsidP="001F7595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F7595">
        <w:rPr>
          <w:rFonts w:ascii="Times New Roman" w:eastAsiaTheme="minorEastAsia" w:hAnsi="Times New Roman"/>
          <w:b/>
          <w:bCs/>
          <w14:ligatures w14:val="standardContextual"/>
        </w:rPr>
        <w:t>Lack of Definition for "Substantially Impaired":</w:t>
      </w:r>
    </w:p>
    <w:p w14:paraId="1AE4CDE5" w14:textId="77777777" w:rsidR="001F7595" w:rsidRPr="001F7595" w:rsidRDefault="001F7595" w:rsidP="001F7595">
      <w:pPr>
        <w:pStyle w:val="ListParagraph"/>
        <w:numPr>
          <w:ilvl w:val="0"/>
          <w:numId w:val="17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F7595">
        <w:rPr>
          <w:rFonts w:ascii="Times New Roman" w:eastAsiaTheme="minorEastAsia" w:hAnsi="Times New Roman"/>
          <w14:ligatures w14:val="standardContextual"/>
        </w:rPr>
        <w:t xml:space="preserve">Courts still grapple with what constitutes "substantial," despite decades of case law (e.g., </w:t>
      </w:r>
      <w:r w:rsidRPr="001F7595">
        <w:rPr>
          <w:rFonts w:ascii="Times New Roman" w:eastAsiaTheme="minorEastAsia" w:hAnsi="Times New Roman"/>
          <w:i/>
          <w:iCs/>
          <w14:ligatures w14:val="standardContextual"/>
        </w:rPr>
        <w:t>R v Lloyd</w:t>
      </w:r>
      <w:r w:rsidRPr="001F7595">
        <w:rPr>
          <w:rFonts w:ascii="Times New Roman" w:eastAsiaTheme="minorEastAsia" w:hAnsi="Times New Roman"/>
          <w14:ligatures w14:val="standardContextual"/>
        </w:rPr>
        <w:t xml:space="preserve"> [1967], </w:t>
      </w:r>
      <w:r w:rsidRPr="001F7595">
        <w:rPr>
          <w:rFonts w:ascii="Times New Roman" w:eastAsiaTheme="minorEastAsia" w:hAnsi="Times New Roman"/>
          <w:i/>
          <w:iCs/>
          <w14:ligatures w14:val="standardContextual"/>
        </w:rPr>
        <w:t>R v Seers</w:t>
      </w:r>
      <w:r w:rsidRPr="001F7595">
        <w:rPr>
          <w:rFonts w:ascii="Times New Roman" w:eastAsiaTheme="minorEastAsia" w:hAnsi="Times New Roman"/>
          <w14:ligatures w14:val="standardContextual"/>
        </w:rPr>
        <w:t xml:space="preserve"> [1984]).</w:t>
      </w:r>
    </w:p>
    <w:p w14:paraId="73800764" w14:textId="3AE139C6" w:rsidR="001F7595" w:rsidRPr="001F7595" w:rsidRDefault="001F7595" w:rsidP="001F7595">
      <w:pPr>
        <w:pStyle w:val="ListParagraph"/>
        <w:numPr>
          <w:ilvl w:val="0"/>
          <w:numId w:val="17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F7595">
        <w:rPr>
          <w:rFonts w:ascii="Times New Roman" w:eastAsiaTheme="minorEastAsia" w:hAnsi="Times New Roman"/>
          <w14:ligatures w14:val="standardContextual"/>
        </w:rPr>
        <w:t>Scholars like Sparks highlight judicial confusion in determining the threshold between "trivial" and "substantial" impairment.</w:t>
      </w:r>
    </w:p>
    <w:p w14:paraId="11A882BD" w14:textId="77777777" w:rsidR="001F7595" w:rsidRPr="001F7595" w:rsidRDefault="001F7595" w:rsidP="001F7595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1F7595">
        <w:rPr>
          <w:rFonts w:ascii="Times New Roman" w:eastAsiaTheme="minorEastAsia" w:hAnsi="Times New Roman"/>
          <w:b/>
          <w:bCs/>
          <w14:ligatures w14:val="standardContextual"/>
        </w:rPr>
        <w:t>6. Fairness Concerns</w:t>
      </w:r>
    </w:p>
    <w:p w14:paraId="08AC466F" w14:textId="77777777" w:rsidR="001F7595" w:rsidRPr="001F7595" w:rsidRDefault="001F7595" w:rsidP="001F7595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F7595">
        <w:rPr>
          <w:rFonts w:ascii="Times New Roman" w:eastAsiaTheme="minorEastAsia" w:hAnsi="Times New Roman"/>
          <w:b/>
          <w:bCs/>
          <w14:ligatures w14:val="standardContextual"/>
        </w:rPr>
        <w:lastRenderedPageBreak/>
        <w:t>Procedural Fairness:</w:t>
      </w:r>
    </w:p>
    <w:p w14:paraId="5416C586" w14:textId="77777777" w:rsidR="001F7595" w:rsidRPr="001F7595" w:rsidRDefault="001F7595" w:rsidP="001F7595">
      <w:pPr>
        <w:pStyle w:val="ListParagraph"/>
        <w:numPr>
          <w:ilvl w:val="0"/>
          <w:numId w:val="18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F7595">
        <w:rPr>
          <w:rFonts w:ascii="Times New Roman" w:eastAsiaTheme="minorEastAsia" w:hAnsi="Times New Roman"/>
          <w14:ligatures w14:val="standardContextual"/>
        </w:rPr>
        <w:t>Over-reliance on psychiatric reports limits defendants' ability to explain themselves in court (Gardner, 2003).</w:t>
      </w:r>
    </w:p>
    <w:p w14:paraId="08A47E2C" w14:textId="77777777" w:rsidR="001F7595" w:rsidRPr="001F7595" w:rsidRDefault="001F7595" w:rsidP="001F7595">
      <w:pPr>
        <w:pStyle w:val="ListParagraph"/>
        <w:numPr>
          <w:ilvl w:val="0"/>
          <w:numId w:val="18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F7595">
        <w:rPr>
          <w:rFonts w:ascii="Times New Roman" w:eastAsiaTheme="minorEastAsia" w:hAnsi="Times New Roman"/>
          <w14:ligatures w14:val="standardContextual"/>
        </w:rPr>
        <w:t>Most diminished responsibility cases are resolved without trial, raising concerns about transparency and the jury's role in ensuring justice.</w:t>
      </w:r>
    </w:p>
    <w:p w14:paraId="29892551" w14:textId="77777777" w:rsidR="001F7595" w:rsidRPr="001F7595" w:rsidRDefault="001F7595" w:rsidP="001F7595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F7595">
        <w:rPr>
          <w:rFonts w:ascii="Times New Roman" w:eastAsiaTheme="minorEastAsia" w:hAnsi="Times New Roman"/>
          <w:b/>
          <w:bCs/>
          <w14:ligatures w14:val="standardContextual"/>
        </w:rPr>
        <w:t>Fair Labelling:</w:t>
      </w:r>
    </w:p>
    <w:p w14:paraId="0D696B45" w14:textId="77777777" w:rsidR="001F7595" w:rsidRPr="001F7595" w:rsidRDefault="001F7595" w:rsidP="001F7595">
      <w:pPr>
        <w:pStyle w:val="ListParagraph"/>
        <w:numPr>
          <w:ilvl w:val="0"/>
          <w:numId w:val="19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F7595">
        <w:rPr>
          <w:rFonts w:ascii="Times New Roman" w:eastAsiaTheme="minorEastAsia" w:hAnsi="Times New Roman"/>
          <w14:ligatures w14:val="standardContextual"/>
        </w:rPr>
        <w:t xml:space="preserve">Critics like Chalmers and </w:t>
      </w:r>
      <w:proofErr w:type="spellStart"/>
      <w:r w:rsidRPr="001F7595">
        <w:rPr>
          <w:rFonts w:ascii="Times New Roman" w:eastAsiaTheme="minorEastAsia" w:hAnsi="Times New Roman"/>
          <w14:ligatures w14:val="standardContextual"/>
        </w:rPr>
        <w:t>Leverick</w:t>
      </w:r>
      <w:proofErr w:type="spellEnd"/>
      <w:r w:rsidRPr="001F7595">
        <w:rPr>
          <w:rFonts w:ascii="Times New Roman" w:eastAsiaTheme="minorEastAsia" w:hAnsi="Times New Roman"/>
          <w14:ligatures w14:val="standardContextual"/>
        </w:rPr>
        <w:t xml:space="preserve"> (2008) question whether the label "diminished responsibility" accurately reflects the </w:t>
      </w:r>
      <w:proofErr w:type="spellStart"/>
      <w:r w:rsidRPr="001F7595">
        <w:rPr>
          <w:rFonts w:ascii="Times New Roman" w:eastAsiaTheme="minorEastAsia" w:hAnsi="Times New Roman"/>
          <w14:ligatures w14:val="standardContextual"/>
        </w:rPr>
        <w:t>defense's</w:t>
      </w:r>
      <w:proofErr w:type="spellEnd"/>
      <w:r w:rsidRPr="001F7595">
        <w:rPr>
          <w:rFonts w:ascii="Times New Roman" w:eastAsiaTheme="minorEastAsia" w:hAnsi="Times New Roman"/>
          <w14:ligatures w14:val="standardContextual"/>
        </w:rPr>
        <w:t xml:space="preserve"> legal and moral dimensions.</w:t>
      </w:r>
    </w:p>
    <w:p w14:paraId="2044FD8D" w14:textId="77777777" w:rsidR="001F7595" w:rsidRPr="001F7595" w:rsidRDefault="001F7595" w:rsidP="001F7595">
      <w:pPr>
        <w:pStyle w:val="ListParagraph"/>
        <w:numPr>
          <w:ilvl w:val="0"/>
          <w:numId w:val="19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F7595">
        <w:rPr>
          <w:rFonts w:ascii="Times New Roman" w:eastAsiaTheme="minorEastAsia" w:hAnsi="Times New Roman"/>
          <w14:ligatures w14:val="standardContextual"/>
        </w:rPr>
        <w:t>The term is a legal construct, not a medical diagnosis, creating tension between law and psychiatry.</w:t>
      </w:r>
    </w:p>
    <w:p w14:paraId="11BFC8A4" w14:textId="77777777" w:rsidR="001F7595" w:rsidRPr="001F7595" w:rsidRDefault="001F7595" w:rsidP="001F7595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0580FAD2" w14:textId="77777777" w:rsidR="001F7595" w:rsidRPr="001F7595" w:rsidRDefault="001F7595" w:rsidP="001F7595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1F7595">
        <w:rPr>
          <w:rFonts w:ascii="Times New Roman" w:eastAsiaTheme="minorEastAsia" w:hAnsi="Times New Roman"/>
          <w:b/>
          <w:bCs/>
          <w14:ligatures w14:val="standardContextual"/>
        </w:rPr>
        <w:t>7. Impact on Specific Cases and Groups</w:t>
      </w:r>
    </w:p>
    <w:p w14:paraId="40230974" w14:textId="77777777" w:rsidR="001F7595" w:rsidRPr="001F7595" w:rsidRDefault="001F7595" w:rsidP="001F7595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F7595">
        <w:rPr>
          <w:rFonts w:ascii="Times New Roman" w:eastAsiaTheme="minorEastAsia" w:hAnsi="Times New Roman"/>
          <w:b/>
          <w:bCs/>
          <w14:ligatures w14:val="standardContextual"/>
        </w:rPr>
        <w:t>Mercy Killers:</w:t>
      </w:r>
    </w:p>
    <w:p w14:paraId="1B2E85B4" w14:textId="77777777" w:rsidR="001F7595" w:rsidRPr="001F7595" w:rsidRDefault="001F7595" w:rsidP="001F7595">
      <w:pPr>
        <w:pStyle w:val="ListParagraph"/>
        <w:numPr>
          <w:ilvl w:val="0"/>
          <w:numId w:val="20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F7595">
        <w:rPr>
          <w:rFonts w:ascii="Times New Roman" w:eastAsiaTheme="minorEastAsia" w:hAnsi="Times New Roman"/>
          <w14:ligatures w14:val="standardContextual"/>
        </w:rPr>
        <w:t>The new definition risks excluding defendants like mercy killers, who may not meet strict medical criteria but have significantly reduced culpability.</w:t>
      </w:r>
    </w:p>
    <w:p w14:paraId="62CC06B5" w14:textId="77777777" w:rsidR="001F7595" w:rsidRPr="001F7595" w:rsidRDefault="001F7595" w:rsidP="001F7595">
      <w:pPr>
        <w:pStyle w:val="ListParagraph"/>
        <w:numPr>
          <w:ilvl w:val="0"/>
          <w:numId w:val="20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F7595">
        <w:rPr>
          <w:rFonts w:ascii="Times New Roman" w:eastAsiaTheme="minorEastAsia" w:hAnsi="Times New Roman"/>
          <w14:ligatures w14:val="standardContextual"/>
        </w:rPr>
        <w:t>Scholars like Quick and Wells (2006) note the potential for unfair mandatory life sentences in such cases.</w:t>
      </w:r>
    </w:p>
    <w:p w14:paraId="482A300F" w14:textId="77777777" w:rsidR="001F7595" w:rsidRPr="001F7595" w:rsidRDefault="001F7595" w:rsidP="001F7595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F7595">
        <w:rPr>
          <w:rFonts w:ascii="Times New Roman" w:eastAsiaTheme="minorEastAsia" w:hAnsi="Times New Roman"/>
          <w:b/>
          <w:bCs/>
          <w14:ligatures w14:val="standardContextual"/>
        </w:rPr>
        <w:t>Battered Woman Syndrome:</w:t>
      </w:r>
    </w:p>
    <w:p w14:paraId="15829548" w14:textId="77777777" w:rsidR="001F7595" w:rsidRPr="001F7595" w:rsidRDefault="001F7595" w:rsidP="001F7595">
      <w:pPr>
        <w:pStyle w:val="ListParagraph"/>
        <w:numPr>
          <w:ilvl w:val="0"/>
          <w:numId w:val="2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F7595">
        <w:rPr>
          <w:rFonts w:ascii="Times New Roman" w:eastAsiaTheme="minorEastAsia" w:hAnsi="Times New Roman"/>
          <w14:ligatures w14:val="standardContextual"/>
        </w:rPr>
        <w:t>Early cases (</w:t>
      </w:r>
      <w:r w:rsidRPr="001F7595">
        <w:rPr>
          <w:rFonts w:ascii="Times New Roman" w:eastAsiaTheme="minorEastAsia" w:hAnsi="Times New Roman"/>
          <w:i/>
          <w:iCs/>
          <w14:ligatures w14:val="standardContextual"/>
        </w:rPr>
        <w:t>R v Ahluwalia</w:t>
      </w:r>
      <w:r w:rsidRPr="001F7595">
        <w:rPr>
          <w:rFonts w:ascii="Times New Roman" w:eastAsiaTheme="minorEastAsia" w:hAnsi="Times New Roman"/>
          <w14:ligatures w14:val="standardContextual"/>
        </w:rPr>
        <w:t xml:space="preserve"> [1992], </w:t>
      </w:r>
      <w:r w:rsidRPr="001F7595">
        <w:rPr>
          <w:rFonts w:ascii="Times New Roman" w:eastAsiaTheme="minorEastAsia" w:hAnsi="Times New Roman"/>
          <w:i/>
          <w:iCs/>
          <w14:ligatures w14:val="standardContextual"/>
        </w:rPr>
        <w:t>R v Thornton</w:t>
      </w:r>
      <w:r w:rsidRPr="001F7595">
        <w:rPr>
          <w:rFonts w:ascii="Times New Roman" w:eastAsiaTheme="minorEastAsia" w:hAnsi="Times New Roman"/>
          <w14:ligatures w14:val="standardContextual"/>
        </w:rPr>
        <w:t xml:space="preserve"> [1992]) relied on medicalizing domestic violence experiences to fit diminished responsibility.</w:t>
      </w:r>
    </w:p>
    <w:p w14:paraId="4DA598DD" w14:textId="77777777" w:rsidR="001F7595" w:rsidRPr="001F7595" w:rsidRDefault="001F7595" w:rsidP="001F7595">
      <w:pPr>
        <w:pStyle w:val="ListParagraph"/>
        <w:numPr>
          <w:ilvl w:val="0"/>
          <w:numId w:val="2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F7595">
        <w:rPr>
          <w:rFonts w:ascii="Times New Roman" w:eastAsiaTheme="minorEastAsia" w:hAnsi="Times New Roman"/>
          <w14:ligatures w14:val="standardContextual"/>
        </w:rPr>
        <w:t>The revised law might restrict such interpretations, disadvantaging vulnerable defendants.</w:t>
      </w:r>
    </w:p>
    <w:p w14:paraId="64E6287B" w14:textId="77777777" w:rsidR="001F7595" w:rsidRPr="001F7595" w:rsidRDefault="001F7595" w:rsidP="001F7595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6CABDA7C" w14:textId="77777777" w:rsidR="001F7595" w:rsidRPr="001F7595" w:rsidRDefault="001F7595" w:rsidP="001F7595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1F7595">
        <w:rPr>
          <w:rFonts w:ascii="Times New Roman" w:eastAsiaTheme="minorEastAsia" w:hAnsi="Times New Roman"/>
          <w:b/>
          <w:bCs/>
          <w14:ligatures w14:val="standardContextual"/>
        </w:rPr>
        <w:t>8. Effectiveness and Broader Implications</w:t>
      </w:r>
    </w:p>
    <w:p w14:paraId="17E9C527" w14:textId="77777777" w:rsidR="001F7595" w:rsidRPr="001F7595" w:rsidRDefault="001F7595" w:rsidP="001F7595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F7595">
        <w:rPr>
          <w:rFonts w:ascii="Times New Roman" w:eastAsiaTheme="minorEastAsia" w:hAnsi="Times New Roman"/>
          <w:b/>
          <w:bCs/>
          <w14:ligatures w14:val="standardContextual"/>
        </w:rPr>
        <w:t>Mandatory Life Sentence:</w:t>
      </w:r>
    </w:p>
    <w:p w14:paraId="7E3D379D" w14:textId="77777777" w:rsidR="001F7595" w:rsidRPr="001F7595" w:rsidRDefault="001F7595" w:rsidP="001F7595">
      <w:pPr>
        <w:pStyle w:val="ListParagraph"/>
        <w:numPr>
          <w:ilvl w:val="0"/>
          <w:numId w:val="22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F7595">
        <w:rPr>
          <w:rFonts w:ascii="Times New Roman" w:eastAsiaTheme="minorEastAsia" w:hAnsi="Times New Roman"/>
          <w14:ligatures w14:val="standardContextual"/>
        </w:rPr>
        <w:lastRenderedPageBreak/>
        <w:t xml:space="preserve">Scholars like Ashworth (2007) argue that the real issue lies in the mandatory life sentence for murder, which creates undue pressure to expand partial </w:t>
      </w:r>
      <w:proofErr w:type="spellStart"/>
      <w:r w:rsidRPr="001F7595">
        <w:rPr>
          <w:rFonts w:ascii="Times New Roman" w:eastAsiaTheme="minorEastAsia" w:hAnsi="Times New Roman"/>
          <w14:ligatures w14:val="standardContextual"/>
        </w:rPr>
        <w:t>defenses</w:t>
      </w:r>
      <w:proofErr w:type="spellEnd"/>
      <w:r w:rsidRPr="001F7595">
        <w:rPr>
          <w:rFonts w:ascii="Times New Roman" w:eastAsiaTheme="minorEastAsia" w:hAnsi="Times New Roman"/>
          <w14:ligatures w14:val="standardContextual"/>
        </w:rPr>
        <w:t>.</w:t>
      </w:r>
    </w:p>
    <w:p w14:paraId="0D8B890F" w14:textId="77777777" w:rsidR="001F7595" w:rsidRPr="001F7595" w:rsidRDefault="001F7595" w:rsidP="001F7595">
      <w:pPr>
        <w:pStyle w:val="ListParagraph"/>
        <w:numPr>
          <w:ilvl w:val="0"/>
          <w:numId w:val="22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F7595">
        <w:rPr>
          <w:rFonts w:ascii="Times New Roman" w:eastAsiaTheme="minorEastAsia" w:hAnsi="Times New Roman"/>
          <w14:ligatures w14:val="standardContextual"/>
        </w:rPr>
        <w:t>The government’s failure to address sentencing frameworks undermines the potential effectiveness of reforms.</w:t>
      </w:r>
    </w:p>
    <w:p w14:paraId="3D15C410" w14:textId="77777777" w:rsidR="001F7595" w:rsidRPr="001F7595" w:rsidRDefault="001F7595" w:rsidP="001F7595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F7595">
        <w:rPr>
          <w:rFonts w:ascii="Times New Roman" w:eastAsiaTheme="minorEastAsia" w:hAnsi="Times New Roman"/>
          <w:b/>
          <w:bCs/>
          <w14:ligatures w14:val="standardContextual"/>
        </w:rPr>
        <w:t>Increased Medicalization:</w:t>
      </w:r>
    </w:p>
    <w:p w14:paraId="070F7BD3" w14:textId="77777777" w:rsidR="001F7595" w:rsidRPr="001F7595" w:rsidRDefault="001F7595" w:rsidP="001F7595">
      <w:pPr>
        <w:pStyle w:val="ListParagraph"/>
        <w:numPr>
          <w:ilvl w:val="0"/>
          <w:numId w:val="23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F7595">
        <w:rPr>
          <w:rFonts w:ascii="Times New Roman" w:eastAsiaTheme="minorEastAsia" w:hAnsi="Times New Roman"/>
          <w14:ligatures w14:val="standardContextual"/>
        </w:rPr>
        <w:t>Critics like Morse (1982) caution against over-reliance on psychiatric evidence, which can marginalize juries and lead to inconsistent outcomes.</w:t>
      </w:r>
    </w:p>
    <w:p w14:paraId="780DF13D" w14:textId="77777777" w:rsidR="001F7595" w:rsidRPr="001F7595" w:rsidRDefault="001F7595" w:rsidP="001F7595">
      <w:pPr>
        <w:pStyle w:val="ListParagraph"/>
        <w:numPr>
          <w:ilvl w:val="0"/>
          <w:numId w:val="23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F7595">
        <w:rPr>
          <w:rFonts w:ascii="Times New Roman" w:eastAsiaTheme="minorEastAsia" w:hAnsi="Times New Roman"/>
          <w14:ligatures w14:val="standardContextual"/>
        </w:rPr>
        <w:t>The reforms deepen the intersection between law and psychiatry, raising questions about their compatibility.</w:t>
      </w:r>
    </w:p>
    <w:p w14:paraId="3684224D" w14:textId="77777777" w:rsidR="00CD39F1" w:rsidRPr="001F7595" w:rsidRDefault="00CD39F1" w:rsidP="001F7595">
      <w:pPr>
        <w:spacing w:after="240" w:line="360" w:lineRule="auto"/>
        <w:rPr>
          <w:rFonts w:ascii="Times New Roman" w:hAnsi="Times New Roman"/>
        </w:rPr>
      </w:pPr>
    </w:p>
    <w:sectPr w:rsidR="00CD39F1" w:rsidRPr="001F7595" w:rsidSect="001F759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0000002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652A6594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00000066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000000CA">
      <w:start w:val="1"/>
      <w:numFmt w:val="decimal"/>
      <w:lvlText w:val="%2"/>
      <w:lvlJc w:val="left"/>
      <w:pPr>
        <w:ind w:left="1440" w:hanging="360"/>
      </w:pPr>
    </w:lvl>
    <w:lvl w:ilvl="2" w:tplc="000000CB">
      <w:start w:val="1"/>
      <w:numFmt w:val="bullet"/>
      <w:lvlText w:val="▪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0000012E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00000192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000001F6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0000025A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000002BE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1496F2F"/>
    <w:multiLevelType w:val="hybridMultilevel"/>
    <w:tmpl w:val="4E707F48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CD0D2B"/>
    <w:multiLevelType w:val="hybridMultilevel"/>
    <w:tmpl w:val="D69A85DE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365494"/>
    <w:multiLevelType w:val="hybridMultilevel"/>
    <w:tmpl w:val="02888D9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9E1B5E"/>
    <w:multiLevelType w:val="hybridMultilevel"/>
    <w:tmpl w:val="5AB0A952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F50D2D"/>
    <w:multiLevelType w:val="hybridMultilevel"/>
    <w:tmpl w:val="3C9CBF76"/>
    <w:lvl w:ilvl="0" w:tplc="00000001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FC7891"/>
    <w:multiLevelType w:val="hybridMultilevel"/>
    <w:tmpl w:val="3552D56C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DB7F37"/>
    <w:multiLevelType w:val="hybridMultilevel"/>
    <w:tmpl w:val="57FA8270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A259E8"/>
    <w:multiLevelType w:val="hybridMultilevel"/>
    <w:tmpl w:val="B89016EA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7B6453"/>
    <w:multiLevelType w:val="hybridMultilevel"/>
    <w:tmpl w:val="3A10E5C8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38113F"/>
    <w:multiLevelType w:val="hybridMultilevel"/>
    <w:tmpl w:val="909054EC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8D2FE2"/>
    <w:multiLevelType w:val="hybridMultilevel"/>
    <w:tmpl w:val="4ECC3B96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E37592"/>
    <w:multiLevelType w:val="hybridMultilevel"/>
    <w:tmpl w:val="52169668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796BD7"/>
    <w:multiLevelType w:val="hybridMultilevel"/>
    <w:tmpl w:val="AB823C60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EB6162"/>
    <w:multiLevelType w:val="hybridMultilevel"/>
    <w:tmpl w:val="6868CC24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FC773F"/>
    <w:multiLevelType w:val="hybridMultilevel"/>
    <w:tmpl w:val="E1AAE2CA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2821931">
    <w:abstractNumId w:val="0"/>
  </w:num>
  <w:num w:numId="2" w16cid:durableId="888302802">
    <w:abstractNumId w:val="1"/>
  </w:num>
  <w:num w:numId="3" w16cid:durableId="214046057">
    <w:abstractNumId w:val="2"/>
  </w:num>
  <w:num w:numId="4" w16cid:durableId="112870571">
    <w:abstractNumId w:val="3"/>
  </w:num>
  <w:num w:numId="5" w16cid:durableId="698042189">
    <w:abstractNumId w:val="4"/>
  </w:num>
  <w:num w:numId="6" w16cid:durableId="691878381">
    <w:abstractNumId w:val="5"/>
  </w:num>
  <w:num w:numId="7" w16cid:durableId="137848305">
    <w:abstractNumId w:val="6"/>
  </w:num>
  <w:num w:numId="8" w16cid:durableId="451557750">
    <w:abstractNumId w:val="7"/>
  </w:num>
  <w:num w:numId="9" w16cid:durableId="453209666">
    <w:abstractNumId w:val="12"/>
  </w:num>
  <w:num w:numId="10" w16cid:durableId="346368868">
    <w:abstractNumId w:val="17"/>
  </w:num>
  <w:num w:numId="11" w16cid:durableId="818378065">
    <w:abstractNumId w:val="22"/>
  </w:num>
  <w:num w:numId="12" w16cid:durableId="289170877">
    <w:abstractNumId w:val="16"/>
  </w:num>
  <w:num w:numId="13" w16cid:durableId="214897938">
    <w:abstractNumId w:val="8"/>
  </w:num>
  <w:num w:numId="14" w16cid:durableId="1704093471">
    <w:abstractNumId w:val="19"/>
  </w:num>
  <w:num w:numId="15" w16cid:durableId="356086094">
    <w:abstractNumId w:val="10"/>
  </w:num>
  <w:num w:numId="16" w16cid:durableId="1736080071">
    <w:abstractNumId w:val="18"/>
  </w:num>
  <w:num w:numId="17" w16cid:durableId="1670012926">
    <w:abstractNumId w:val="15"/>
  </w:num>
  <w:num w:numId="18" w16cid:durableId="1280992315">
    <w:abstractNumId w:val="20"/>
  </w:num>
  <w:num w:numId="19" w16cid:durableId="630406866">
    <w:abstractNumId w:val="14"/>
  </w:num>
  <w:num w:numId="20" w16cid:durableId="1264067840">
    <w:abstractNumId w:val="11"/>
  </w:num>
  <w:num w:numId="21" w16cid:durableId="1268273822">
    <w:abstractNumId w:val="13"/>
  </w:num>
  <w:num w:numId="22" w16cid:durableId="906690883">
    <w:abstractNumId w:val="9"/>
  </w:num>
  <w:num w:numId="23" w16cid:durableId="14223695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A7E"/>
    <w:rsid w:val="000147A9"/>
    <w:rsid w:val="00042755"/>
    <w:rsid w:val="0006107D"/>
    <w:rsid w:val="000623A3"/>
    <w:rsid w:val="00094D65"/>
    <w:rsid w:val="000A2074"/>
    <w:rsid w:val="000A3F4D"/>
    <w:rsid w:val="000C4ABC"/>
    <w:rsid w:val="000C58D7"/>
    <w:rsid w:val="000E15ED"/>
    <w:rsid w:val="00101CCF"/>
    <w:rsid w:val="0019260C"/>
    <w:rsid w:val="001B0E31"/>
    <w:rsid w:val="001D360C"/>
    <w:rsid w:val="001E2584"/>
    <w:rsid w:val="001F7595"/>
    <w:rsid w:val="00223837"/>
    <w:rsid w:val="00243CED"/>
    <w:rsid w:val="00257540"/>
    <w:rsid w:val="0026510F"/>
    <w:rsid w:val="002D715D"/>
    <w:rsid w:val="002E46F2"/>
    <w:rsid w:val="002F1DB1"/>
    <w:rsid w:val="002F53C9"/>
    <w:rsid w:val="003048A0"/>
    <w:rsid w:val="0031138E"/>
    <w:rsid w:val="0031474F"/>
    <w:rsid w:val="00315815"/>
    <w:rsid w:val="003278F5"/>
    <w:rsid w:val="00330665"/>
    <w:rsid w:val="00361975"/>
    <w:rsid w:val="00376E23"/>
    <w:rsid w:val="0039416B"/>
    <w:rsid w:val="003A1271"/>
    <w:rsid w:val="003A5DF7"/>
    <w:rsid w:val="003B3510"/>
    <w:rsid w:val="003C116C"/>
    <w:rsid w:val="003E1CAA"/>
    <w:rsid w:val="0040210F"/>
    <w:rsid w:val="004222FD"/>
    <w:rsid w:val="004319FA"/>
    <w:rsid w:val="0048097D"/>
    <w:rsid w:val="0048175B"/>
    <w:rsid w:val="004845CE"/>
    <w:rsid w:val="004B1048"/>
    <w:rsid w:val="004B530F"/>
    <w:rsid w:val="004D01FE"/>
    <w:rsid w:val="004E458E"/>
    <w:rsid w:val="004F0E12"/>
    <w:rsid w:val="004F5A36"/>
    <w:rsid w:val="00542B57"/>
    <w:rsid w:val="00557B52"/>
    <w:rsid w:val="0058416B"/>
    <w:rsid w:val="00595357"/>
    <w:rsid w:val="005C1A7E"/>
    <w:rsid w:val="005C50B3"/>
    <w:rsid w:val="005D57DA"/>
    <w:rsid w:val="005E7702"/>
    <w:rsid w:val="00605F8E"/>
    <w:rsid w:val="00650543"/>
    <w:rsid w:val="00654D8B"/>
    <w:rsid w:val="00661136"/>
    <w:rsid w:val="0068027B"/>
    <w:rsid w:val="006C42B8"/>
    <w:rsid w:val="006C50C7"/>
    <w:rsid w:val="00713CA9"/>
    <w:rsid w:val="007455C6"/>
    <w:rsid w:val="007475C7"/>
    <w:rsid w:val="0075265A"/>
    <w:rsid w:val="0075498E"/>
    <w:rsid w:val="00757BE5"/>
    <w:rsid w:val="00760E46"/>
    <w:rsid w:val="007643D2"/>
    <w:rsid w:val="007678B2"/>
    <w:rsid w:val="0078776B"/>
    <w:rsid w:val="00796A93"/>
    <w:rsid w:val="007E1559"/>
    <w:rsid w:val="007F776E"/>
    <w:rsid w:val="00830C88"/>
    <w:rsid w:val="00861B11"/>
    <w:rsid w:val="008829C2"/>
    <w:rsid w:val="008A54BE"/>
    <w:rsid w:val="008C7B0A"/>
    <w:rsid w:val="008D0642"/>
    <w:rsid w:val="008E745B"/>
    <w:rsid w:val="008F4EA7"/>
    <w:rsid w:val="008F5A10"/>
    <w:rsid w:val="00905ED0"/>
    <w:rsid w:val="0093405B"/>
    <w:rsid w:val="00966189"/>
    <w:rsid w:val="00974434"/>
    <w:rsid w:val="00977514"/>
    <w:rsid w:val="009A48B0"/>
    <w:rsid w:val="009B24D6"/>
    <w:rsid w:val="009B2F21"/>
    <w:rsid w:val="009C6498"/>
    <w:rsid w:val="009E62AF"/>
    <w:rsid w:val="00A03BBD"/>
    <w:rsid w:val="00A37AB0"/>
    <w:rsid w:val="00A4085F"/>
    <w:rsid w:val="00A45953"/>
    <w:rsid w:val="00A93FBA"/>
    <w:rsid w:val="00A95C7E"/>
    <w:rsid w:val="00AB609D"/>
    <w:rsid w:val="00AC1ED4"/>
    <w:rsid w:val="00AC3AB8"/>
    <w:rsid w:val="00AE4348"/>
    <w:rsid w:val="00AE4BAF"/>
    <w:rsid w:val="00B03D5A"/>
    <w:rsid w:val="00B23297"/>
    <w:rsid w:val="00B360EE"/>
    <w:rsid w:val="00B53B6F"/>
    <w:rsid w:val="00B651D9"/>
    <w:rsid w:val="00B67231"/>
    <w:rsid w:val="00B73742"/>
    <w:rsid w:val="00B914E6"/>
    <w:rsid w:val="00BC4186"/>
    <w:rsid w:val="00BC5F25"/>
    <w:rsid w:val="00BD7714"/>
    <w:rsid w:val="00BD7C9B"/>
    <w:rsid w:val="00C072F8"/>
    <w:rsid w:val="00C17D79"/>
    <w:rsid w:val="00C24A8A"/>
    <w:rsid w:val="00C54722"/>
    <w:rsid w:val="00C65F70"/>
    <w:rsid w:val="00C96A36"/>
    <w:rsid w:val="00CA350B"/>
    <w:rsid w:val="00CA3F60"/>
    <w:rsid w:val="00CC2EFF"/>
    <w:rsid w:val="00CC4FEF"/>
    <w:rsid w:val="00CD39F1"/>
    <w:rsid w:val="00CF74EF"/>
    <w:rsid w:val="00D02AC8"/>
    <w:rsid w:val="00D0623C"/>
    <w:rsid w:val="00D07271"/>
    <w:rsid w:val="00D16917"/>
    <w:rsid w:val="00DA31CB"/>
    <w:rsid w:val="00DA4488"/>
    <w:rsid w:val="00DC0040"/>
    <w:rsid w:val="00DC495B"/>
    <w:rsid w:val="00DC7181"/>
    <w:rsid w:val="00DD6F5C"/>
    <w:rsid w:val="00DE6C87"/>
    <w:rsid w:val="00E14A1A"/>
    <w:rsid w:val="00E14E1F"/>
    <w:rsid w:val="00E2730E"/>
    <w:rsid w:val="00E438AC"/>
    <w:rsid w:val="00E60DF5"/>
    <w:rsid w:val="00E80D33"/>
    <w:rsid w:val="00EA6ED5"/>
    <w:rsid w:val="00EB7051"/>
    <w:rsid w:val="00EC68EB"/>
    <w:rsid w:val="00EC7C43"/>
    <w:rsid w:val="00F012E4"/>
    <w:rsid w:val="00F248D2"/>
    <w:rsid w:val="00F27F00"/>
    <w:rsid w:val="00F71153"/>
    <w:rsid w:val="00F858D4"/>
    <w:rsid w:val="00FB2653"/>
    <w:rsid w:val="00FC7B56"/>
    <w:rsid w:val="00FE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E3C37E"/>
  <w15:chartTrackingRefBased/>
  <w15:docId w15:val="{78829C87-9254-8A4D-9DEC-7EEC474F7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5"/>
    <w:rPr>
      <w:rFonts w:ascii="Arial" w:eastAsia="Times New Roman" w:hAnsi="Arial" w:cs="Times New Roman"/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1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A7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A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A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A7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A7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A7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A7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A7E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A7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A7E"/>
    <w:rPr>
      <w:rFonts w:eastAsiaTheme="majorEastAsia" w:cstheme="majorBidi"/>
      <w:color w:val="2F5496" w:themeColor="accent1" w:themeShade="BF"/>
      <w:kern w:val="0"/>
      <w:sz w:val="28"/>
      <w:szCs w:val="28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A7E"/>
    <w:rPr>
      <w:rFonts w:eastAsiaTheme="majorEastAsia" w:cstheme="majorBidi"/>
      <w:i/>
      <w:iCs/>
      <w:color w:val="2F5496" w:themeColor="accent1" w:themeShade="BF"/>
      <w:kern w:val="0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A7E"/>
    <w:rPr>
      <w:rFonts w:eastAsiaTheme="majorEastAsia" w:cstheme="majorBidi"/>
      <w:color w:val="2F5496" w:themeColor="accent1" w:themeShade="BF"/>
      <w:kern w:val="0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A7E"/>
    <w:rPr>
      <w:rFonts w:eastAsiaTheme="majorEastAsia" w:cstheme="majorBidi"/>
      <w:i/>
      <w:iCs/>
      <w:color w:val="595959" w:themeColor="text1" w:themeTint="A6"/>
      <w:kern w:val="0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A7E"/>
    <w:rPr>
      <w:rFonts w:eastAsiaTheme="majorEastAsia" w:cstheme="majorBidi"/>
      <w:color w:val="595959" w:themeColor="text1" w:themeTint="A6"/>
      <w:kern w:val="0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A7E"/>
    <w:rPr>
      <w:rFonts w:eastAsiaTheme="majorEastAsia" w:cstheme="majorBidi"/>
      <w:i/>
      <w:iCs/>
      <w:color w:val="272727" w:themeColor="text1" w:themeTint="D8"/>
      <w:kern w:val="0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A7E"/>
    <w:rPr>
      <w:rFonts w:eastAsiaTheme="majorEastAsia" w:cstheme="majorBidi"/>
      <w:color w:val="272727" w:themeColor="text1" w:themeTint="D8"/>
      <w:kern w:val="0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C1A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A7E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A7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A7E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C1A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A7E"/>
    <w:rPr>
      <w:rFonts w:ascii="Arial" w:eastAsia="Times New Roman" w:hAnsi="Arial" w:cs="Times New Roman"/>
      <w:i/>
      <w:iCs/>
      <w:color w:val="404040" w:themeColor="text1" w:themeTint="BF"/>
      <w:kern w:val="0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5C1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A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A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A7E"/>
    <w:rPr>
      <w:rFonts w:ascii="Arial" w:eastAsia="Times New Roman" w:hAnsi="Arial" w:cs="Times New Roman"/>
      <w:i/>
      <w:iCs/>
      <w:color w:val="2F5496" w:themeColor="accent1" w:themeShade="BF"/>
      <w:kern w:val="0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C1A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854</Words>
  <Characters>4874</Characters>
  <Application>Microsoft Office Word</Application>
  <DocSecurity>0</DocSecurity>
  <Lines>40</Lines>
  <Paragraphs>11</Paragraphs>
  <ScaleCrop>false</ScaleCrop>
  <Company/>
  <LinksUpToDate>false</LinksUpToDate>
  <CharactersWithSpaces>5717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TSANG, AGNES H.L. (Student)</dc:creator>
  <cp:keywords/>
  <dc:description/>
  <cp:lastModifiedBy>TSANG, AGNES H.L. (Student)</cp:lastModifiedBy>
  <cp:revision>4</cp:revision>
  <dcterms:created xsi:type="dcterms:W3CDTF">2024-11-26T15:27:00Z</dcterms:created>
  <dcterms:modified xsi:type="dcterms:W3CDTF">2024-11-26T21:25:00Z</dcterms:modified>
</cp:coreProperties>
</file>