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70ECF5" w14:textId="77777777" w:rsidR="00587734" w:rsidRPr="00587734" w:rsidRDefault="00587734" w:rsidP="006153B6">
      <w:pPr>
        <w:spacing w:before="100" w:beforeAutospacing="1" w:after="240" w:line="360" w:lineRule="auto"/>
        <w:outlineLvl w:val="2"/>
        <w:rPr>
          <w:b/>
          <w:bCs/>
        </w:rPr>
      </w:pPr>
      <w:r w:rsidRPr="00587734">
        <w:rPr>
          <w:b/>
          <w:bCs/>
        </w:rPr>
        <w:t>Introduction</w:t>
      </w:r>
    </w:p>
    <w:p w14:paraId="123F3326" w14:textId="77777777" w:rsidR="00587734" w:rsidRPr="00587734" w:rsidRDefault="00587734" w:rsidP="006153B6">
      <w:pPr>
        <w:spacing w:before="100" w:beforeAutospacing="1" w:after="240" w:line="360" w:lineRule="auto"/>
      </w:pPr>
      <w:r w:rsidRPr="00587734">
        <w:rPr>
          <w:b/>
          <w:bCs/>
        </w:rPr>
        <w:t>Key Focus</w:t>
      </w:r>
      <w:r w:rsidRPr="00587734">
        <w:t>:</w:t>
      </w:r>
    </w:p>
    <w:p w14:paraId="1D99EF7F" w14:textId="1CD743E7" w:rsidR="00587734" w:rsidRPr="00587734" w:rsidRDefault="009B4CFE" w:rsidP="006153B6">
      <w:pPr>
        <w:spacing w:before="100" w:beforeAutospacing="1" w:after="240" w:line="360" w:lineRule="auto"/>
      </w:pPr>
      <w:r w:rsidRPr="006153B6">
        <w:t xml:space="preserve">- </w:t>
      </w:r>
      <w:r w:rsidR="00587734" w:rsidRPr="00587734">
        <w:t>The article critiques the development of gross negligence manslaughter, particularly its inability to delineate adequately between recklessness and negligence.</w:t>
      </w:r>
    </w:p>
    <w:p w14:paraId="3585964B" w14:textId="0F3D42D5" w:rsidR="00587734" w:rsidRPr="00587734" w:rsidRDefault="009B4CFE" w:rsidP="006153B6">
      <w:pPr>
        <w:spacing w:before="100" w:beforeAutospacing="1" w:after="240" w:line="360" w:lineRule="auto"/>
      </w:pPr>
      <w:r w:rsidRPr="006153B6">
        <w:t xml:space="preserve">- </w:t>
      </w:r>
      <w:r w:rsidR="00587734" w:rsidRPr="00587734">
        <w:t>Highlighted cases demonstrate the struggle to balance justice and culpability, especially in complex scenarios like omissions or inadvertence.</w:t>
      </w:r>
    </w:p>
    <w:p w14:paraId="36AC2EF1" w14:textId="0691957E" w:rsidR="009B4CFE" w:rsidRPr="006153B6" w:rsidRDefault="000344C6" w:rsidP="006153B6">
      <w:pPr>
        <w:spacing w:before="100" w:beforeAutospacing="1" w:after="240" w:line="360" w:lineRule="auto"/>
        <w:outlineLvl w:val="2"/>
        <w:rPr>
          <w:b/>
          <w:bCs/>
        </w:rPr>
      </w:pPr>
      <w:r w:rsidRPr="000344C6">
        <w:rPr>
          <w:noProof/>
          <w14:ligatures w14:val="standardContextual"/>
        </w:rPr>
        <w:pict w14:anchorId="1A20B042">
          <v:rect id="_x0000_i1028" alt="" style="width:451.3pt;height:.05pt;mso-width-percent:0;mso-height-percent:0;mso-width-percent:0;mso-height-percent:0" o:hralign="center" o:hrstd="t" o:hr="t" fillcolor="#a0a0a0" stroked="f"/>
        </w:pict>
      </w:r>
    </w:p>
    <w:p w14:paraId="673C0026" w14:textId="5D663FD8" w:rsidR="00B260F6" w:rsidRPr="00B260F6" w:rsidRDefault="00B260F6" w:rsidP="006153B6">
      <w:pPr>
        <w:spacing w:before="100" w:beforeAutospacing="1" w:after="240" w:line="360" w:lineRule="auto"/>
        <w:outlineLvl w:val="2"/>
        <w:rPr>
          <w:b/>
          <w:bCs/>
        </w:rPr>
      </w:pPr>
      <w:r w:rsidRPr="00B260F6">
        <w:rPr>
          <w:b/>
          <w:bCs/>
        </w:rPr>
        <w:t>The Development of Inadvertent Manslaughter and a Proposal for Reform</w:t>
      </w:r>
    </w:p>
    <w:p w14:paraId="3CB1F6D2" w14:textId="77777777" w:rsidR="009B4CFE" w:rsidRPr="006153B6" w:rsidRDefault="009B4CFE" w:rsidP="006153B6">
      <w:pPr>
        <w:pStyle w:val="NormalWeb"/>
        <w:spacing w:after="240" w:afterAutospacing="0" w:line="360" w:lineRule="auto"/>
      </w:pPr>
      <w:r w:rsidRPr="006153B6">
        <w:rPr>
          <w:rStyle w:val="Strong"/>
          <w:rFonts w:eastAsiaTheme="majorEastAsia"/>
        </w:rPr>
        <w:t>Historical Development:</w:t>
      </w:r>
    </w:p>
    <w:p w14:paraId="1256ABA3" w14:textId="77777777" w:rsidR="009B4CFE" w:rsidRPr="006153B6" w:rsidRDefault="009B4CFE" w:rsidP="006153B6">
      <w:pPr>
        <w:numPr>
          <w:ilvl w:val="0"/>
          <w:numId w:val="3"/>
        </w:numPr>
        <w:spacing w:before="100" w:beforeAutospacing="1" w:after="240" w:line="360" w:lineRule="auto"/>
      </w:pPr>
      <w:r w:rsidRPr="006153B6">
        <w:rPr>
          <w:rStyle w:val="Strong"/>
          <w:rFonts w:eastAsiaTheme="majorEastAsia"/>
        </w:rPr>
        <w:t>Andrews v DPP (1937):</w:t>
      </w:r>
    </w:p>
    <w:p w14:paraId="22033B6C" w14:textId="562F5BBA" w:rsidR="009B4CFE" w:rsidRPr="006153B6" w:rsidRDefault="00E536D5" w:rsidP="006153B6">
      <w:pPr>
        <w:spacing w:before="100" w:beforeAutospacing="1" w:after="240" w:line="360" w:lineRule="auto"/>
      </w:pPr>
      <w:r w:rsidRPr="006153B6">
        <w:t xml:space="preserve">- </w:t>
      </w:r>
      <w:r w:rsidR="009B4CFE" w:rsidRPr="006153B6">
        <w:t>Lord Atkin stressed that "simple lack of care" is insufficient for manslaughter, requiring a "very high degree of negligence."</w:t>
      </w:r>
    </w:p>
    <w:p w14:paraId="710B6257" w14:textId="0A569A59" w:rsidR="009B4CFE" w:rsidRPr="006153B6" w:rsidRDefault="00E536D5" w:rsidP="006153B6">
      <w:pPr>
        <w:spacing w:before="100" w:beforeAutospacing="1" w:after="240" w:line="360" w:lineRule="auto"/>
      </w:pPr>
      <w:r w:rsidRPr="006153B6">
        <w:t xml:space="preserve">- </w:t>
      </w:r>
      <w:r w:rsidR="009B4CFE" w:rsidRPr="006153B6">
        <w:t>Gross negligence may exist where the accused acknowledges a risk but adopts negligent methods to address it, contrasting with recklessness, which implies indifference to risk.</w:t>
      </w:r>
    </w:p>
    <w:p w14:paraId="5CC8A814" w14:textId="77777777" w:rsidR="009B4CFE" w:rsidRPr="006153B6" w:rsidRDefault="009B4CFE" w:rsidP="006153B6">
      <w:pPr>
        <w:numPr>
          <w:ilvl w:val="0"/>
          <w:numId w:val="3"/>
        </w:numPr>
        <w:spacing w:before="100" w:beforeAutospacing="1" w:after="240" w:line="360" w:lineRule="auto"/>
      </w:pPr>
      <w:r w:rsidRPr="006153B6">
        <w:rPr>
          <w:rStyle w:val="Strong"/>
          <w:rFonts w:eastAsiaTheme="majorEastAsia"/>
        </w:rPr>
        <w:t>Stone and Dobinson (1977):</w:t>
      </w:r>
    </w:p>
    <w:p w14:paraId="18E4E681" w14:textId="4338166D" w:rsidR="009B4CFE" w:rsidRPr="006153B6" w:rsidRDefault="00E536D5" w:rsidP="006153B6">
      <w:pPr>
        <w:spacing w:before="100" w:beforeAutospacing="1" w:after="240" w:line="360" w:lineRule="auto"/>
      </w:pPr>
      <w:r w:rsidRPr="006153B6">
        <w:t xml:space="preserve">- </w:t>
      </w:r>
      <w:r w:rsidR="009B4CFE" w:rsidRPr="006153B6">
        <w:t>Referenced Andrews to highlight that recklessness can include foresight of a risk or indifference.</w:t>
      </w:r>
    </w:p>
    <w:p w14:paraId="206B912C" w14:textId="6177C4B0" w:rsidR="009B4CFE" w:rsidRPr="006153B6" w:rsidRDefault="00E536D5" w:rsidP="006153B6">
      <w:pPr>
        <w:spacing w:before="100" w:beforeAutospacing="1" w:after="240" w:line="360" w:lineRule="auto"/>
      </w:pPr>
      <w:r w:rsidRPr="006153B6">
        <w:t xml:space="preserve">- </w:t>
      </w:r>
      <w:r w:rsidR="009B4CFE" w:rsidRPr="006153B6">
        <w:t>The court broadened recklessness to include scenarios of inadequate risk management without requiring callousness, a departure from earlier strict interpretations.</w:t>
      </w:r>
    </w:p>
    <w:p w14:paraId="59AD0233" w14:textId="77777777" w:rsidR="009B4CFE" w:rsidRPr="006153B6" w:rsidRDefault="009B4CFE" w:rsidP="006153B6">
      <w:pPr>
        <w:numPr>
          <w:ilvl w:val="0"/>
          <w:numId w:val="3"/>
        </w:numPr>
        <w:spacing w:before="100" w:beforeAutospacing="1" w:after="240" w:line="360" w:lineRule="auto"/>
      </w:pPr>
      <w:r w:rsidRPr="006153B6">
        <w:rPr>
          <w:rStyle w:val="Strong"/>
          <w:rFonts w:eastAsiaTheme="majorEastAsia"/>
        </w:rPr>
        <w:t>Cunningham (1957):</w:t>
      </w:r>
    </w:p>
    <w:p w14:paraId="5D3A47BA" w14:textId="77777777" w:rsidR="009B4CFE" w:rsidRPr="006153B6" w:rsidRDefault="009B4CFE" w:rsidP="006153B6">
      <w:pPr>
        <w:spacing w:before="100" w:beforeAutospacing="1" w:after="240" w:line="360" w:lineRule="auto"/>
      </w:pPr>
      <w:r w:rsidRPr="006153B6">
        <w:t xml:space="preserve">Introduced a subjective recklessness test where foresight of risk or </w:t>
      </w:r>
      <w:proofErr w:type="spellStart"/>
      <w:r w:rsidRPr="006153B6">
        <w:t>willful</w:t>
      </w:r>
      <w:proofErr w:type="spellEnd"/>
      <w:r w:rsidRPr="006153B6">
        <w:t xml:space="preserve"> disregard sufficed.</w:t>
      </w:r>
    </w:p>
    <w:p w14:paraId="1FDE8550" w14:textId="77777777" w:rsidR="009B4CFE" w:rsidRPr="006153B6" w:rsidRDefault="009B4CFE" w:rsidP="006153B6">
      <w:pPr>
        <w:numPr>
          <w:ilvl w:val="0"/>
          <w:numId w:val="3"/>
        </w:numPr>
        <w:spacing w:before="100" w:beforeAutospacing="1" w:after="240" w:line="360" w:lineRule="auto"/>
      </w:pPr>
      <w:r w:rsidRPr="006153B6">
        <w:rPr>
          <w:rStyle w:val="Strong"/>
          <w:rFonts w:eastAsiaTheme="majorEastAsia"/>
        </w:rPr>
        <w:t>Caldwell (1982) &amp; Lawrence (1982):</w:t>
      </w:r>
    </w:p>
    <w:p w14:paraId="36AD0044" w14:textId="77777777" w:rsidR="009B4CFE" w:rsidRPr="006153B6" w:rsidRDefault="009B4CFE" w:rsidP="006153B6">
      <w:pPr>
        <w:spacing w:before="100" w:beforeAutospacing="1" w:after="240" w:line="360" w:lineRule="auto"/>
      </w:pPr>
      <w:r w:rsidRPr="006153B6">
        <w:lastRenderedPageBreak/>
        <w:t>Presented an objective recklessness framework encompassing those who fail to perceive risks they should have recognized.</w:t>
      </w:r>
    </w:p>
    <w:p w14:paraId="65DFA4CD" w14:textId="77777777" w:rsidR="00B260F6" w:rsidRPr="00B260F6" w:rsidRDefault="00B260F6" w:rsidP="006153B6">
      <w:pPr>
        <w:spacing w:before="100" w:beforeAutospacing="1" w:after="240" w:line="360" w:lineRule="auto"/>
      </w:pPr>
      <w:r w:rsidRPr="00B260F6">
        <w:rPr>
          <w:b/>
          <w:bCs/>
        </w:rPr>
        <w:t>Gross Negligence Manslaughter Criteria</w:t>
      </w:r>
      <w:r w:rsidRPr="00B260F6">
        <w:t>:</w:t>
      </w:r>
    </w:p>
    <w:p w14:paraId="4FC2385E" w14:textId="77777777" w:rsidR="00B260F6" w:rsidRPr="00B260F6" w:rsidRDefault="00B260F6" w:rsidP="006153B6">
      <w:pPr>
        <w:spacing w:before="100" w:beforeAutospacing="1" w:after="240" w:line="360" w:lineRule="auto"/>
      </w:pPr>
      <w:r w:rsidRPr="00B260F6">
        <w:t xml:space="preserve">Lord Taylor in </w:t>
      </w:r>
      <w:r w:rsidRPr="00B260F6">
        <w:rPr>
          <w:i/>
          <w:iCs/>
        </w:rPr>
        <w:t>Adomako</w:t>
      </w:r>
      <w:r w:rsidRPr="00B260F6">
        <w:t xml:space="preserve"> (1995): Defined </w:t>
      </w:r>
      <w:r w:rsidRPr="003677A2">
        <w:rPr>
          <w:b/>
          <w:bCs/>
        </w:rPr>
        <w:t>gross negligence manslaughter</w:t>
      </w:r>
      <w:r w:rsidRPr="00B260F6">
        <w:t xml:space="preserve"> through three criteria:</w:t>
      </w:r>
    </w:p>
    <w:p w14:paraId="68F95D91" w14:textId="77777777" w:rsidR="00B260F6" w:rsidRPr="00B260F6" w:rsidRDefault="00B260F6" w:rsidP="006153B6">
      <w:pPr>
        <w:numPr>
          <w:ilvl w:val="2"/>
          <w:numId w:val="3"/>
        </w:numPr>
        <w:spacing w:before="100" w:beforeAutospacing="1" w:after="240" w:line="360" w:lineRule="auto"/>
      </w:pPr>
      <w:r w:rsidRPr="00B260F6">
        <w:t xml:space="preserve">Existence of a </w:t>
      </w:r>
      <w:r w:rsidRPr="003677A2">
        <w:rPr>
          <w:b/>
          <w:bCs/>
        </w:rPr>
        <w:t>duty of care.</w:t>
      </w:r>
    </w:p>
    <w:p w14:paraId="41876156" w14:textId="77777777" w:rsidR="00B260F6" w:rsidRPr="00B260F6" w:rsidRDefault="00B260F6" w:rsidP="006153B6">
      <w:pPr>
        <w:numPr>
          <w:ilvl w:val="2"/>
          <w:numId w:val="3"/>
        </w:numPr>
        <w:spacing w:before="100" w:beforeAutospacing="1" w:after="240" w:line="360" w:lineRule="auto"/>
      </w:pPr>
      <w:r w:rsidRPr="003677A2">
        <w:rPr>
          <w:b/>
          <w:bCs/>
        </w:rPr>
        <w:t>Breach of that duty</w:t>
      </w:r>
      <w:r w:rsidRPr="00B260F6">
        <w:t xml:space="preserve"> causing death.</w:t>
      </w:r>
    </w:p>
    <w:p w14:paraId="01ADFC09" w14:textId="77777777" w:rsidR="00B260F6" w:rsidRPr="00B260F6" w:rsidRDefault="00B260F6" w:rsidP="006153B6">
      <w:pPr>
        <w:numPr>
          <w:ilvl w:val="2"/>
          <w:numId w:val="3"/>
        </w:numPr>
        <w:spacing w:before="100" w:beforeAutospacing="1" w:after="240" w:line="360" w:lineRule="auto"/>
      </w:pPr>
      <w:r w:rsidRPr="00B260F6">
        <w:t>Gross negligence, so severe it warrants criminal punishment.</w:t>
      </w:r>
    </w:p>
    <w:p w14:paraId="0AAA85F1" w14:textId="77777777" w:rsidR="00B260F6" w:rsidRPr="00B260F6" w:rsidRDefault="00B260F6" w:rsidP="006153B6">
      <w:pPr>
        <w:spacing w:before="100" w:beforeAutospacing="1" w:after="240" w:line="360" w:lineRule="auto"/>
      </w:pPr>
      <w:r w:rsidRPr="00B260F6">
        <w:t>His non-exhaustive list included:</w:t>
      </w:r>
    </w:p>
    <w:p w14:paraId="4AE12985" w14:textId="77777777" w:rsidR="00B260F6" w:rsidRPr="006153B6" w:rsidRDefault="00B260F6" w:rsidP="006153B6">
      <w:pPr>
        <w:pStyle w:val="ListParagraph"/>
        <w:numPr>
          <w:ilvl w:val="2"/>
          <w:numId w:val="18"/>
        </w:numPr>
        <w:spacing w:before="100" w:beforeAutospacing="1" w:after="240" w:line="360" w:lineRule="auto"/>
      </w:pPr>
      <w:r w:rsidRPr="006153B6">
        <w:t>Indifference to an obvious risk of injury.</w:t>
      </w:r>
    </w:p>
    <w:p w14:paraId="462A6BA5" w14:textId="77777777" w:rsidR="00E536D5" w:rsidRPr="006153B6" w:rsidRDefault="00B260F6" w:rsidP="006153B6">
      <w:pPr>
        <w:pStyle w:val="ListParagraph"/>
        <w:numPr>
          <w:ilvl w:val="2"/>
          <w:numId w:val="18"/>
        </w:numPr>
        <w:spacing w:before="100" w:beforeAutospacing="1" w:after="240" w:line="360" w:lineRule="auto"/>
      </w:pPr>
      <w:r w:rsidRPr="006153B6">
        <w:t>Actual foresight of risk with a decision to run it.</w:t>
      </w:r>
    </w:p>
    <w:p w14:paraId="1AC0CEC8" w14:textId="77777777" w:rsidR="00E536D5" w:rsidRPr="006153B6" w:rsidRDefault="00B260F6" w:rsidP="006153B6">
      <w:pPr>
        <w:pStyle w:val="ListParagraph"/>
        <w:numPr>
          <w:ilvl w:val="2"/>
          <w:numId w:val="18"/>
        </w:numPr>
        <w:spacing w:before="100" w:beforeAutospacing="1" w:after="240" w:line="360" w:lineRule="auto"/>
      </w:pPr>
      <w:r w:rsidRPr="006153B6">
        <w:t>Negligent attempts to avoid a risk that demonstrate severe incompetence.</w:t>
      </w:r>
    </w:p>
    <w:p w14:paraId="0963CD43" w14:textId="29C8E332" w:rsidR="00B260F6" w:rsidRPr="006153B6" w:rsidRDefault="00B260F6" w:rsidP="006153B6">
      <w:pPr>
        <w:pStyle w:val="ListParagraph"/>
        <w:numPr>
          <w:ilvl w:val="2"/>
          <w:numId w:val="18"/>
        </w:numPr>
        <w:spacing w:before="100" w:beforeAutospacing="1" w:after="240" w:line="360" w:lineRule="auto"/>
      </w:pPr>
      <w:r w:rsidRPr="006153B6">
        <w:t>Failure to address a serious risk, going beyond "mere inadvertence."</w:t>
      </w:r>
      <w:r w:rsidRPr="006153B6">
        <w:rPr>
          <w:rStyle w:val="FootnoteReference"/>
        </w:rPr>
        <w:footnoteReference w:id="1"/>
      </w:r>
    </w:p>
    <w:p w14:paraId="54C644E7" w14:textId="77777777" w:rsidR="00B260F6" w:rsidRPr="00B260F6" w:rsidRDefault="00B260F6" w:rsidP="006153B6">
      <w:pPr>
        <w:spacing w:before="100" w:beforeAutospacing="1" w:after="240" w:line="360" w:lineRule="auto"/>
      </w:pPr>
      <w:r w:rsidRPr="00B260F6">
        <w:rPr>
          <w:b/>
          <w:bCs/>
        </w:rPr>
        <w:t>Proposed Alternative Tests</w:t>
      </w:r>
      <w:r w:rsidRPr="00B260F6">
        <w:t>:</w:t>
      </w:r>
    </w:p>
    <w:p w14:paraId="44AF608C" w14:textId="77777777" w:rsidR="009B4CFE" w:rsidRPr="009B4CFE" w:rsidRDefault="009B4CFE" w:rsidP="006153B6">
      <w:pPr>
        <w:spacing w:before="100" w:beforeAutospacing="1" w:after="240" w:line="360" w:lineRule="auto"/>
        <w:outlineLvl w:val="2"/>
        <w:rPr>
          <w:b/>
          <w:bCs/>
        </w:rPr>
      </w:pPr>
      <w:r w:rsidRPr="009B4CFE">
        <w:rPr>
          <w:b/>
          <w:bCs/>
        </w:rPr>
        <w:t>1. Gross Negligence: Killing by Gross Carelessness</w:t>
      </w:r>
    </w:p>
    <w:p w14:paraId="1717C3C3" w14:textId="77777777" w:rsidR="009B4CFE" w:rsidRPr="009B4CFE" w:rsidRDefault="009B4CFE" w:rsidP="006153B6">
      <w:pPr>
        <w:spacing w:before="100" w:beforeAutospacing="1" w:after="240" w:line="360" w:lineRule="auto"/>
      </w:pPr>
      <w:r w:rsidRPr="009B4CFE">
        <w:rPr>
          <w:b/>
          <w:bCs/>
        </w:rPr>
        <w:t>Test Structure:</w:t>
      </w:r>
    </w:p>
    <w:p w14:paraId="05BDCEB5" w14:textId="77777777" w:rsidR="009B4CFE" w:rsidRPr="009B4CFE" w:rsidRDefault="009B4CFE" w:rsidP="006153B6">
      <w:pPr>
        <w:spacing w:before="100" w:beforeAutospacing="1" w:after="240" w:line="360" w:lineRule="auto"/>
      </w:pPr>
      <w:r w:rsidRPr="009B4CFE">
        <w:t xml:space="preserve">(a) The risk of death or serious injury must be </w:t>
      </w:r>
      <w:r w:rsidRPr="009B4CFE">
        <w:rPr>
          <w:b/>
          <w:bCs/>
        </w:rPr>
        <w:t>obvious</w:t>
      </w:r>
      <w:r w:rsidRPr="009B4CFE">
        <w:t xml:space="preserve"> to a reasonable person in the defendant’s position.</w:t>
      </w:r>
    </w:p>
    <w:p w14:paraId="5DAFB870" w14:textId="77777777" w:rsidR="009B4CFE" w:rsidRPr="009B4CFE" w:rsidRDefault="009B4CFE" w:rsidP="006153B6">
      <w:pPr>
        <w:spacing w:before="100" w:beforeAutospacing="1" w:after="240" w:line="360" w:lineRule="auto"/>
      </w:pPr>
      <w:r w:rsidRPr="009B4CFE">
        <w:t xml:space="preserve">(b) The defendant must have the </w:t>
      </w:r>
      <w:r w:rsidRPr="009B4CFE">
        <w:rPr>
          <w:b/>
          <w:bCs/>
        </w:rPr>
        <w:t>capacity to appreciate the risk</w:t>
      </w:r>
      <w:r w:rsidRPr="009B4CFE">
        <w:t xml:space="preserve"> at the time of the conduct.</w:t>
      </w:r>
    </w:p>
    <w:p w14:paraId="394393DA" w14:textId="77777777" w:rsidR="009B4CFE" w:rsidRPr="009B4CFE" w:rsidRDefault="009B4CFE" w:rsidP="006153B6">
      <w:pPr>
        <w:spacing w:before="100" w:beforeAutospacing="1" w:after="240" w:line="360" w:lineRule="auto"/>
      </w:pPr>
      <w:r w:rsidRPr="009B4CFE">
        <w:lastRenderedPageBreak/>
        <w:t>(c) One of the following conditions must apply:</w:t>
      </w:r>
    </w:p>
    <w:p w14:paraId="708BF300" w14:textId="77777777" w:rsidR="009B4CFE" w:rsidRPr="009B4CFE" w:rsidRDefault="009B4CFE" w:rsidP="006153B6">
      <w:pPr>
        <w:spacing w:before="100" w:beforeAutospacing="1" w:after="240" w:line="360" w:lineRule="auto"/>
      </w:pPr>
      <w:r w:rsidRPr="009B4CFE">
        <w:t>(</w:t>
      </w:r>
      <w:proofErr w:type="spellStart"/>
      <w:r w:rsidRPr="009B4CFE">
        <w:t>i</w:t>
      </w:r>
      <w:proofErr w:type="spellEnd"/>
      <w:r w:rsidRPr="009B4CFE">
        <w:t xml:space="preserve">) The defendant’s conduct falls </w:t>
      </w:r>
      <w:r w:rsidRPr="009B4CFE">
        <w:rPr>
          <w:b/>
          <w:bCs/>
        </w:rPr>
        <w:t>far below</w:t>
      </w:r>
      <w:r w:rsidRPr="009B4CFE">
        <w:t xml:space="preserve"> what is reasonably expected in the circumstances.</w:t>
      </w:r>
    </w:p>
    <w:p w14:paraId="58868403" w14:textId="5BFFA6F4" w:rsidR="00B260F6" w:rsidRPr="006153B6" w:rsidRDefault="009B4CFE" w:rsidP="006153B6">
      <w:pPr>
        <w:spacing w:before="100" w:beforeAutospacing="1" w:after="240" w:line="360" w:lineRule="auto"/>
      </w:pPr>
      <w:r w:rsidRPr="009B4CFE">
        <w:t xml:space="preserve">(ii) The defendant intends to cause some injury or </w:t>
      </w:r>
      <w:r w:rsidRPr="009B4CFE">
        <w:rPr>
          <w:b/>
          <w:bCs/>
        </w:rPr>
        <w:t>is aware</w:t>
      </w:r>
      <w:r w:rsidRPr="009B4CFE">
        <w:t xml:space="preserve"> of the risk and unreasonably takes it.</w:t>
      </w:r>
      <w:r w:rsidR="00B260F6" w:rsidRPr="006153B6">
        <w:rPr>
          <w:rStyle w:val="FootnoteReference"/>
        </w:rPr>
        <w:footnoteReference w:id="2"/>
      </w:r>
    </w:p>
    <w:p w14:paraId="04458B6B" w14:textId="77777777" w:rsidR="009B4CFE" w:rsidRPr="009B4CFE" w:rsidRDefault="009B4CFE" w:rsidP="006153B6">
      <w:pPr>
        <w:spacing w:before="100" w:beforeAutospacing="1" w:after="240" w:line="360" w:lineRule="auto"/>
        <w:outlineLvl w:val="2"/>
        <w:rPr>
          <w:b/>
          <w:bCs/>
        </w:rPr>
      </w:pPr>
      <w:r w:rsidRPr="009B4CFE">
        <w:rPr>
          <w:b/>
          <w:bCs/>
        </w:rPr>
        <w:t>2. Modified Model Direction for Omissions</w:t>
      </w:r>
    </w:p>
    <w:p w14:paraId="7B0246A8" w14:textId="77777777" w:rsidR="009B4CFE" w:rsidRPr="009B4CFE" w:rsidRDefault="009B4CFE" w:rsidP="006153B6">
      <w:pPr>
        <w:spacing w:before="100" w:beforeAutospacing="1" w:after="240" w:line="360" w:lineRule="auto"/>
      </w:pPr>
      <w:r w:rsidRPr="009B4CFE">
        <w:rPr>
          <w:b/>
          <w:bCs/>
        </w:rPr>
        <w:t>Test Structure:</w:t>
      </w:r>
    </w:p>
    <w:p w14:paraId="215DA37A" w14:textId="77777777" w:rsidR="009B4CFE" w:rsidRPr="009B4CFE" w:rsidRDefault="009B4CFE" w:rsidP="006153B6">
      <w:pPr>
        <w:spacing w:before="100" w:beforeAutospacing="1" w:after="240" w:line="360" w:lineRule="auto"/>
      </w:pPr>
      <w:r w:rsidRPr="009B4CFE">
        <w:t xml:space="preserve">(1) An </w:t>
      </w:r>
      <w:r w:rsidRPr="009B4CFE">
        <w:rPr>
          <w:b/>
          <w:bCs/>
        </w:rPr>
        <w:t>obvious and serious risk</w:t>
      </w:r>
      <w:r w:rsidRPr="009B4CFE">
        <w:t xml:space="preserve"> of harm exists, coupled with a </w:t>
      </w:r>
      <w:r w:rsidRPr="009B4CFE">
        <w:rPr>
          <w:b/>
          <w:bCs/>
        </w:rPr>
        <w:t>legal duty</w:t>
      </w:r>
      <w:r w:rsidRPr="009B4CFE">
        <w:t xml:space="preserve"> to act.</w:t>
      </w:r>
    </w:p>
    <w:p w14:paraId="20555052" w14:textId="77777777" w:rsidR="009B4CFE" w:rsidRPr="009B4CFE" w:rsidRDefault="009B4CFE" w:rsidP="006153B6">
      <w:pPr>
        <w:spacing w:before="100" w:beforeAutospacing="1" w:after="240" w:line="360" w:lineRule="auto"/>
      </w:pPr>
      <w:r w:rsidRPr="009B4CFE">
        <w:t xml:space="preserve">(2) The defendant either </w:t>
      </w:r>
      <w:r w:rsidRPr="009B4CFE">
        <w:rPr>
          <w:b/>
          <w:bCs/>
        </w:rPr>
        <w:t>disregards</w:t>
      </w:r>
      <w:r w:rsidRPr="009B4CFE">
        <w:t xml:space="preserve"> the risk or makes </w:t>
      </w:r>
      <w:r w:rsidRPr="009B4CFE">
        <w:rPr>
          <w:b/>
          <w:bCs/>
        </w:rPr>
        <w:t>incompetent attempts</w:t>
      </w:r>
      <w:r w:rsidRPr="009B4CFE">
        <w:t xml:space="preserve"> to address it.</w:t>
      </w:r>
    </w:p>
    <w:p w14:paraId="03F71AD5" w14:textId="77777777" w:rsidR="009B4CFE" w:rsidRPr="009B4CFE" w:rsidRDefault="009B4CFE" w:rsidP="006153B6">
      <w:pPr>
        <w:spacing w:before="100" w:beforeAutospacing="1" w:after="240" w:line="360" w:lineRule="auto"/>
      </w:pPr>
      <w:r w:rsidRPr="009B4CFE">
        <w:t xml:space="preserve">(3) The defendant’s circumstances indicate a </w:t>
      </w:r>
      <w:r w:rsidRPr="009B4CFE">
        <w:rPr>
          <w:b/>
          <w:bCs/>
        </w:rPr>
        <w:t>reprehensible attitude</w:t>
      </w:r>
      <w:r w:rsidRPr="009B4CFE">
        <w:t>, though certain explanations may displace this inference:</w:t>
      </w:r>
    </w:p>
    <w:p w14:paraId="39CD03F8" w14:textId="77777777" w:rsidR="009B4CFE" w:rsidRPr="009B4CFE" w:rsidRDefault="009B4CFE" w:rsidP="006153B6">
      <w:pPr>
        <w:spacing w:before="100" w:beforeAutospacing="1" w:after="240" w:line="360" w:lineRule="auto"/>
      </w:pPr>
      <w:r w:rsidRPr="009B4CFE">
        <w:t>(</w:t>
      </w:r>
      <w:proofErr w:type="spellStart"/>
      <w:r w:rsidRPr="009B4CFE">
        <w:t>i</w:t>
      </w:r>
      <w:proofErr w:type="spellEnd"/>
      <w:r w:rsidRPr="009B4CFE">
        <w:t xml:space="preserve">) Evidence of a </w:t>
      </w:r>
      <w:r w:rsidRPr="009B4CFE">
        <w:rPr>
          <w:b/>
          <w:bCs/>
        </w:rPr>
        <w:t>lack of capacity</w:t>
      </w:r>
      <w:r w:rsidRPr="009B4CFE">
        <w:t xml:space="preserve"> in the given circumstances may excuse the defendant.</w:t>
      </w:r>
    </w:p>
    <w:p w14:paraId="4BD52A2D" w14:textId="1C46A64B" w:rsidR="00B260F6" w:rsidRPr="00B260F6" w:rsidRDefault="009B4CFE" w:rsidP="006153B6">
      <w:pPr>
        <w:spacing w:before="100" w:beforeAutospacing="1" w:after="240" w:line="360" w:lineRule="auto"/>
      </w:pPr>
      <w:r w:rsidRPr="009B4CFE">
        <w:t>(ii) Evidence of a reprehensible attitude (e.g., callousness) will confirm liability, but absence of such evidence may mitigate culpability.</w:t>
      </w:r>
      <w:r w:rsidR="00B260F6" w:rsidRPr="006153B6">
        <w:rPr>
          <w:rStyle w:val="FootnoteReference"/>
          <w:i/>
          <w:iCs/>
        </w:rPr>
        <w:footnoteReference w:id="3"/>
      </w:r>
    </w:p>
    <w:p w14:paraId="04C86697" w14:textId="77777777" w:rsidR="00B260F6" w:rsidRPr="00B260F6" w:rsidRDefault="00B260F6" w:rsidP="006153B6">
      <w:pPr>
        <w:spacing w:before="100" w:beforeAutospacing="1" w:after="240" w:line="360" w:lineRule="auto"/>
      </w:pPr>
      <w:r w:rsidRPr="00B260F6">
        <w:rPr>
          <w:b/>
          <w:bCs/>
        </w:rPr>
        <w:t>Key Observations</w:t>
      </w:r>
      <w:r w:rsidRPr="00B260F6">
        <w:t>:</w:t>
      </w:r>
    </w:p>
    <w:p w14:paraId="17145419" w14:textId="77777777" w:rsidR="00B260F6" w:rsidRPr="00B260F6" w:rsidRDefault="00B260F6" w:rsidP="006153B6">
      <w:pPr>
        <w:spacing w:before="100" w:beforeAutospacing="1" w:after="240" w:line="360" w:lineRule="auto"/>
      </w:pPr>
      <w:r w:rsidRPr="00B260F6">
        <w:t xml:space="preserve">Gross negligence currently requires a risk of death. The proposed test broadens liability to include serious bodily harm, aligning it more closely with murder’s </w:t>
      </w:r>
      <w:proofErr w:type="spellStart"/>
      <w:r w:rsidRPr="00B260F6">
        <w:t>mens</w:t>
      </w:r>
      <w:proofErr w:type="spellEnd"/>
      <w:r w:rsidRPr="00B260F6">
        <w:t xml:space="preserve"> rea for grievous bodily harm.</w:t>
      </w:r>
    </w:p>
    <w:p w14:paraId="01EB0120" w14:textId="77777777" w:rsidR="00B260F6" w:rsidRPr="00B260F6" w:rsidRDefault="00B260F6" w:rsidP="006153B6">
      <w:pPr>
        <w:spacing w:before="100" w:beforeAutospacing="1" w:after="240" w:line="360" w:lineRule="auto"/>
      </w:pPr>
      <w:r w:rsidRPr="00B260F6">
        <w:t>Gross negligence should be replaced by a broader recklessness framework, encompassing both advertent and inadvertent conduct, provided moral culpability is present.</w:t>
      </w:r>
    </w:p>
    <w:p w14:paraId="023B5A86" w14:textId="754EC56B" w:rsidR="00CD39F1" w:rsidRPr="006153B6" w:rsidRDefault="000344C6" w:rsidP="006153B6">
      <w:pPr>
        <w:spacing w:after="240" w:line="360" w:lineRule="auto"/>
        <w:rPr>
          <w:lang w:val="en-US"/>
        </w:rPr>
      </w:pPr>
      <w:r w:rsidRPr="000344C6">
        <w:rPr>
          <w:noProof/>
          <w14:ligatures w14:val="standardContextual"/>
        </w:rPr>
        <w:pict w14:anchorId="69F889BD">
          <v:rect id="_x0000_i1027" alt="" style="width:451.3pt;height:.05pt;mso-width-percent:0;mso-height-percent:0;mso-width-percent:0;mso-height-percent:0" o:hralign="center" o:hrstd="t" o:hr="t" fillcolor="#a0a0a0" stroked="f"/>
        </w:pict>
      </w:r>
    </w:p>
    <w:p w14:paraId="5D32F4F0" w14:textId="77777777" w:rsidR="009B4CFE" w:rsidRPr="009B4CFE" w:rsidRDefault="009B4CFE" w:rsidP="006153B6">
      <w:pPr>
        <w:spacing w:before="100" w:beforeAutospacing="1" w:after="240" w:line="360" w:lineRule="auto"/>
        <w:outlineLvl w:val="2"/>
        <w:rPr>
          <w:b/>
          <w:bCs/>
        </w:rPr>
      </w:pPr>
      <w:r w:rsidRPr="009B4CFE">
        <w:rPr>
          <w:b/>
          <w:bCs/>
        </w:rPr>
        <w:lastRenderedPageBreak/>
        <w:t>Theories of Culpability and Inadvertent Conduct</w:t>
      </w:r>
    </w:p>
    <w:p w14:paraId="06EB9387" w14:textId="77777777" w:rsidR="009B4CFE" w:rsidRPr="009B4CFE" w:rsidRDefault="009B4CFE" w:rsidP="006153B6">
      <w:pPr>
        <w:spacing w:before="100" w:beforeAutospacing="1" w:after="240" w:line="360" w:lineRule="auto"/>
        <w:outlineLvl w:val="3"/>
        <w:rPr>
          <w:b/>
          <w:bCs/>
        </w:rPr>
      </w:pPr>
      <w:r w:rsidRPr="009B4CFE">
        <w:rPr>
          <w:b/>
          <w:bCs/>
        </w:rPr>
        <w:t>Definitions and Distinctions</w:t>
      </w:r>
    </w:p>
    <w:p w14:paraId="168758F8" w14:textId="77777777" w:rsidR="009B4CFE" w:rsidRPr="009B4CFE" w:rsidRDefault="009B4CFE" w:rsidP="006153B6">
      <w:pPr>
        <w:numPr>
          <w:ilvl w:val="0"/>
          <w:numId w:val="8"/>
        </w:numPr>
        <w:spacing w:before="100" w:beforeAutospacing="1" w:after="240" w:line="360" w:lineRule="auto"/>
      </w:pPr>
      <w:r w:rsidRPr="009B4CFE">
        <w:rPr>
          <w:b/>
          <w:bCs/>
        </w:rPr>
        <w:t>Recklessness</w:t>
      </w:r>
      <w:r w:rsidRPr="009B4CFE">
        <w:t>:</w:t>
      </w:r>
    </w:p>
    <w:p w14:paraId="616CDB0A" w14:textId="0A547B2D" w:rsidR="009B4CFE" w:rsidRPr="009B4CFE" w:rsidRDefault="00E536D5" w:rsidP="006153B6">
      <w:pPr>
        <w:spacing w:before="100" w:beforeAutospacing="1" w:after="240" w:line="360" w:lineRule="auto"/>
      </w:pPr>
      <w:r w:rsidRPr="006153B6">
        <w:t xml:space="preserve">- </w:t>
      </w:r>
      <w:r w:rsidR="009B4CFE" w:rsidRPr="009B4CFE">
        <w:t xml:space="preserve">Involves awareness of a risk and proceeding with the action regardless, reflecting </w:t>
      </w:r>
      <w:r w:rsidR="009B4CFE" w:rsidRPr="009B4CFE">
        <w:rPr>
          <w:i/>
          <w:iCs/>
        </w:rPr>
        <w:t>Cunningham</w:t>
      </w:r>
      <w:r w:rsidR="009B4CFE" w:rsidRPr="009B4CFE">
        <w:t>'s subjective recklessness test.</w:t>
      </w:r>
    </w:p>
    <w:p w14:paraId="281BEA46" w14:textId="17538BBA" w:rsidR="009B4CFE" w:rsidRPr="009B4CFE" w:rsidRDefault="00E536D5" w:rsidP="006153B6">
      <w:pPr>
        <w:spacing w:before="100" w:beforeAutospacing="1" w:after="240" w:line="360" w:lineRule="auto"/>
      </w:pPr>
      <w:r w:rsidRPr="006153B6">
        <w:t xml:space="preserve">- </w:t>
      </w:r>
      <w:r w:rsidR="009B4CFE" w:rsidRPr="009B4CFE">
        <w:t xml:space="preserve">Cases like </w:t>
      </w:r>
      <w:r w:rsidR="009B4CFE" w:rsidRPr="009B4CFE">
        <w:rPr>
          <w:i/>
          <w:iCs/>
        </w:rPr>
        <w:t>Andrews v DPP</w:t>
      </w:r>
      <w:r w:rsidR="009B4CFE" w:rsidRPr="009B4CFE">
        <w:t xml:space="preserve"> and </w:t>
      </w:r>
      <w:r w:rsidR="009B4CFE" w:rsidRPr="009B4CFE">
        <w:rPr>
          <w:i/>
          <w:iCs/>
        </w:rPr>
        <w:t>Stone and Dobinson</w:t>
      </w:r>
      <w:r w:rsidR="009B4CFE" w:rsidRPr="009B4CFE">
        <w:t xml:space="preserve"> illustrate that recklessness also encompasses indifference to risk or gross disregard for safety, blending subjective and objective elements.</w:t>
      </w:r>
    </w:p>
    <w:p w14:paraId="51F73886" w14:textId="77777777" w:rsidR="009B4CFE" w:rsidRPr="009B4CFE" w:rsidRDefault="009B4CFE" w:rsidP="006153B6">
      <w:pPr>
        <w:numPr>
          <w:ilvl w:val="0"/>
          <w:numId w:val="8"/>
        </w:numPr>
        <w:spacing w:before="100" w:beforeAutospacing="1" w:after="240" w:line="360" w:lineRule="auto"/>
      </w:pPr>
      <w:r w:rsidRPr="009B4CFE">
        <w:rPr>
          <w:b/>
          <w:bCs/>
        </w:rPr>
        <w:t>Negligence</w:t>
      </w:r>
      <w:r w:rsidRPr="009B4CFE">
        <w:t>:</w:t>
      </w:r>
    </w:p>
    <w:p w14:paraId="14405642" w14:textId="3536611B" w:rsidR="009B4CFE" w:rsidRPr="009B4CFE" w:rsidRDefault="00E536D5" w:rsidP="006153B6">
      <w:pPr>
        <w:spacing w:before="100" w:beforeAutospacing="1" w:after="240" w:line="360" w:lineRule="auto"/>
      </w:pPr>
      <w:r w:rsidRPr="006153B6">
        <w:t xml:space="preserve">- </w:t>
      </w:r>
      <w:r w:rsidR="009B4CFE" w:rsidRPr="009B4CFE">
        <w:t>Focuses on a failure to take reasonable care, with inadvertence playing a key role. It contrasts recklessness by the absence of risk awareness.</w:t>
      </w:r>
    </w:p>
    <w:p w14:paraId="0339D2D5" w14:textId="3C9C22BD" w:rsidR="009B4CFE" w:rsidRPr="009B4CFE" w:rsidRDefault="00E536D5" w:rsidP="006153B6">
      <w:pPr>
        <w:spacing w:before="100" w:beforeAutospacing="1" w:after="240" w:line="360" w:lineRule="auto"/>
      </w:pPr>
      <w:r w:rsidRPr="006153B6">
        <w:t xml:space="preserve">- </w:t>
      </w:r>
      <w:r w:rsidR="009B4CFE" w:rsidRPr="009B4CFE">
        <w:t xml:space="preserve">Gross negligence requires a very high degree of carelessness that transcends civil liability thresholds, as noted in </w:t>
      </w:r>
      <w:r w:rsidR="009B4CFE" w:rsidRPr="009B4CFE">
        <w:rPr>
          <w:i/>
          <w:iCs/>
        </w:rPr>
        <w:t>Adomako</w:t>
      </w:r>
      <w:r w:rsidR="009B4CFE" w:rsidRPr="009B4CFE">
        <w:t>.</w:t>
      </w:r>
    </w:p>
    <w:p w14:paraId="5C59F956" w14:textId="77777777" w:rsidR="009B4CFE" w:rsidRPr="009B4CFE" w:rsidRDefault="009B4CFE" w:rsidP="006153B6">
      <w:pPr>
        <w:spacing w:before="100" w:beforeAutospacing="1" w:after="240" w:line="360" w:lineRule="auto"/>
        <w:outlineLvl w:val="3"/>
        <w:rPr>
          <w:b/>
          <w:bCs/>
        </w:rPr>
      </w:pPr>
      <w:r w:rsidRPr="009B4CFE">
        <w:rPr>
          <w:b/>
          <w:bCs/>
        </w:rPr>
        <w:t>Theoretical Frameworks</w:t>
      </w:r>
    </w:p>
    <w:p w14:paraId="02BF4EC9" w14:textId="7430D7B6" w:rsidR="009B4CFE" w:rsidRPr="009B4CFE" w:rsidRDefault="006153B6" w:rsidP="006153B6">
      <w:pPr>
        <w:spacing w:before="100" w:beforeAutospacing="1" w:after="240" w:line="360" w:lineRule="auto"/>
      </w:pPr>
      <w:r w:rsidRPr="006153B6">
        <w:rPr>
          <w:b/>
          <w:bCs/>
        </w:rPr>
        <w:t xml:space="preserve">1. </w:t>
      </w:r>
      <w:r w:rsidR="009B4CFE" w:rsidRPr="009B4CFE">
        <w:rPr>
          <w:b/>
          <w:bCs/>
        </w:rPr>
        <w:t>Choice Theory</w:t>
      </w:r>
      <w:r w:rsidR="009B4CFE" w:rsidRPr="009B4CFE">
        <w:t>:</w:t>
      </w:r>
    </w:p>
    <w:p w14:paraId="003E26C7" w14:textId="6E02E7FA" w:rsidR="009B4CFE" w:rsidRPr="009B4CFE" w:rsidRDefault="00E536D5" w:rsidP="006153B6">
      <w:pPr>
        <w:spacing w:before="100" w:beforeAutospacing="1" w:after="240" w:line="360" w:lineRule="auto"/>
      </w:pPr>
      <w:r w:rsidRPr="006153B6">
        <w:t xml:space="preserve">- </w:t>
      </w:r>
      <w:r w:rsidR="009B4CFE" w:rsidRPr="009B4CFE">
        <w:t>Emphasizes individual autonomy and accountability for freely chosen actions.</w:t>
      </w:r>
    </w:p>
    <w:p w14:paraId="6B6244C8" w14:textId="5344C6F3" w:rsidR="009B4CFE" w:rsidRPr="009B4CFE" w:rsidRDefault="00E536D5" w:rsidP="006153B6">
      <w:pPr>
        <w:spacing w:before="100" w:beforeAutospacing="1" w:after="240" w:line="360" w:lineRule="auto"/>
      </w:pPr>
      <w:r w:rsidRPr="006153B6">
        <w:t xml:space="preserve">- </w:t>
      </w:r>
      <w:r w:rsidR="009B4CFE" w:rsidRPr="009B4CFE">
        <w:t>Criticized for inadequately addressing negligence or inadvertence, as individuals do not "choose" to be negligent.</w:t>
      </w:r>
    </w:p>
    <w:p w14:paraId="33F5AF1A" w14:textId="0E703D82" w:rsidR="009B4CFE" w:rsidRPr="009B4CFE" w:rsidRDefault="006153B6" w:rsidP="006153B6">
      <w:pPr>
        <w:spacing w:before="100" w:beforeAutospacing="1" w:after="240" w:line="360" w:lineRule="auto"/>
      </w:pPr>
      <w:r w:rsidRPr="006153B6">
        <w:rPr>
          <w:b/>
          <w:bCs/>
        </w:rPr>
        <w:t xml:space="preserve">2. </w:t>
      </w:r>
      <w:r w:rsidR="009B4CFE" w:rsidRPr="009B4CFE">
        <w:rPr>
          <w:b/>
          <w:bCs/>
        </w:rPr>
        <w:t>Character Theory</w:t>
      </w:r>
      <w:r w:rsidR="009B4CFE" w:rsidRPr="009B4CFE">
        <w:t>:</w:t>
      </w:r>
    </w:p>
    <w:p w14:paraId="734B4B17" w14:textId="2E75D7F0" w:rsidR="009B4CFE" w:rsidRPr="009B4CFE" w:rsidRDefault="00E536D5" w:rsidP="006153B6">
      <w:pPr>
        <w:spacing w:before="100" w:beforeAutospacing="1" w:after="240" w:line="360" w:lineRule="auto"/>
      </w:pPr>
      <w:r w:rsidRPr="006153B6">
        <w:t xml:space="preserve">- </w:t>
      </w:r>
      <w:r w:rsidR="009B4CFE" w:rsidRPr="009B4CFE">
        <w:t>Attributes liability based on moral blameworthiness and undesirable traits, focusing on whether the act reflects a "bad character."</w:t>
      </w:r>
    </w:p>
    <w:p w14:paraId="2A8C989C" w14:textId="1E781590" w:rsidR="009B4CFE" w:rsidRPr="009B4CFE" w:rsidRDefault="00E536D5" w:rsidP="006153B6">
      <w:pPr>
        <w:spacing w:before="100" w:beforeAutospacing="1" w:after="240" w:line="360" w:lineRule="auto"/>
      </w:pPr>
      <w:r w:rsidRPr="006153B6">
        <w:t xml:space="preserve">- </w:t>
      </w:r>
      <w:r w:rsidR="009B4CFE" w:rsidRPr="009B4CFE">
        <w:t>Applied in judgments requiring evidence of reprehensible attitudes, such as indifference or callousness.</w:t>
      </w:r>
    </w:p>
    <w:p w14:paraId="6EC757AF" w14:textId="56F99EEF" w:rsidR="009B4CFE" w:rsidRPr="009B4CFE" w:rsidRDefault="006153B6" w:rsidP="006153B6">
      <w:pPr>
        <w:spacing w:before="100" w:beforeAutospacing="1" w:after="240" w:line="360" w:lineRule="auto"/>
      </w:pPr>
      <w:r w:rsidRPr="006153B6">
        <w:rPr>
          <w:b/>
          <w:bCs/>
        </w:rPr>
        <w:lastRenderedPageBreak/>
        <w:t xml:space="preserve">3. </w:t>
      </w:r>
      <w:r w:rsidR="009B4CFE" w:rsidRPr="009B4CFE">
        <w:rPr>
          <w:b/>
          <w:bCs/>
        </w:rPr>
        <w:t>Role Theory</w:t>
      </w:r>
      <w:r w:rsidR="009B4CFE" w:rsidRPr="009B4CFE">
        <w:t>:</w:t>
      </w:r>
    </w:p>
    <w:p w14:paraId="707BCB8F" w14:textId="4CA49709" w:rsidR="009B4CFE" w:rsidRPr="009B4CFE" w:rsidRDefault="00E536D5" w:rsidP="006153B6">
      <w:pPr>
        <w:spacing w:before="100" w:beforeAutospacing="1" w:after="240" w:line="360" w:lineRule="auto"/>
      </w:pPr>
      <w:r w:rsidRPr="006153B6">
        <w:t xml:space="preserve">- </w:t>
      </w:r>
      <w:r w:rsidR="009B4CFE" w:rsidRPr="009B4CFE">
        <w:t>Evaluates conduct against the expected standards for societal or professional roles, emphasizing duty-based assessments.</w:t>
      </w:r>
    </w:p>
    <w:p w14:paraId="583D17DF" w14:textId="6664041D" w:rsidR="009B4CFE" w:rsidRPr="009B4CFE" w:rsidRDefault="00E536D5" w:rsidP="006153B6">
      <w:pPr>
        <w:spacing w:before="100" w:beforeAutospacing="1" w:after="240" w:line="360" w:lineRule="auto"/>
      </w:pPr>
      <w:r w:rsidRPr="006153B6">
        <w:t xml:space="preserve">- </w:t>
      </w:r>
      <w:r w:rsidR="009B4CFE" w:rsidRPr="009B4CFE">
        <w:t>Neglects individual capacities and context, which can lead to overly harsh liability judgments.</w:t>
      </w:r>
    </w:p>
    <w:p w14:paraId="5940BC88" w14:textId="698720E7" w:rsidR="006153B6" w:rsidRPr="006153B6" w:rsidRDefault="006153B6" w:rsidP="006153B6">
      <w:pPr>
        <w:pStyle w:val="NormalWeb"/>
        <w:spacing w:after="240" w:afterAutospacing="0" w:line="360" w:lineRule="auto"/>
      </w:pPr>
      <w:r w:rsidRPr="006153B6">
        <w:rPr>
          <w:rStyle w:val="Strong"/>
          <w:rFonts w:eastAsiaTheme="majorEastAsia"/>
        </w:rPr>
        <w:t>4. Capacity-Based Approach</w:t>
      </w:r>
      <w:r w:rsidRPr="006153B6">
        <w:t>:</w:t>
      </w:r>
    </w:p>
    <w:p w14:paraId="238D835A" w14:textId="2429E470" w:rsidR="006153B6" w:rsidRPr="006153B6" w:rsidRDefault="006153B6" w:rsidP="006153B6">
      <w:pPr>
        <w:spacing w:before="100" w:beforeAutospacing="1" w:after="240" w:line="360" w:lineRule="auto"/>
      </w:pPr>
      <w:r w:rsidRPr="006153B6">
        <w:t>- A modified Caldwell/Lawrence Direction is suggested to assess recklessness. This approach considers the defendant's cognitive capacity, knowledge, and reasons for failing to see risks or acting despite appreciating them.</w:t>
      </w:r>
    </w:p>
    <w:p w14:paraId="2930B0C6" w14:textId="58CF62A3" w:rsidR="006153B6" w:rsidRPr="006153B6" w:rsidRDefault="006153B6" w:rsidP="006153B6">
      <w:pPr>
        <w:spacing w:before="100" w:beforeAutospacing="1" w:after="240" w:line="360" w:lineRule="auto"/>
      </w:pPr>
      <w:r w:rsidRPr="006153B6">
        <w:t>- Liability would arise only if the defendant’s conduct indicates a reprehensible character trait, such as indifference or disregard for others.</w:t>
      </w:r>
    </w:p>
    <w:p w14:paraId="4C3C7C8D" w14:textId="0210C7D8" w:rsidR="006153B6" w:rsidRPr="006153B6" w:rsidRDefault="006153B6" w:rsidP="006153B6">
      <w:pPr>
        <w:pStyle w:val="NormalWeb"/>
        <w:spacing w:after="240" w:afterAutospacing="0" w:line="360" w:lineRule="auto"/>
      </w:pPr>
      <w:r w:rsidRPr="006153B6">
        <w:rPr>
          <w:rStyle w:val="Strong"/>
          <w:rFonts w:eastAsiaTheme="majorEastAsia"/>
        </w:rPr>
        <w:t>5. Proposal for Reform</w:t>
      </w:r>
      <w:r w:rsidRPr="006153B6">
        <w:t>:</w:t>
      </w:r>
    </w:p>
    <w:p w14:paraId="4782FA53" w14:textId="64771452" w:rsidR="006153B6" w:rsidRPr="006153B6" w:rsidRDefault="006153B6" w:rsidP="006153B6">
      <w:pPr>
        <w:spacing w:before="100" w:beforeAutospacing="1" w:after="240" w:line="360" w:lineRule="auto"/>
      </w:pPr>
      <w:r w:rsidRPr="006153B6">
        <w:t>- Advocates a broader recklessness test encompassing acts and omissions while ensuring the subjective consideration of the defendant's capacity and context.</w:t>
      </w:r>
    </w:p>
    <w:p w14:paraId="06CA1879" w14:textId="6A980529" w:rsidR="006153B6" w:rsidRPr="006153B6" w:rsidRDefault="006153B6" w:rsidP="006153B6">
      <w:pPr>
        <w:spacing w:before="100" w:beforeAutospacing="1" w:after="240" w:line="360" w:lineRule="auto"/>
      </w:pPr>
      <w:r w:rsidRPr="006153B6">
        <w:t>- Differentiates between inadvertence due to negligence and recklessness arising from a morally blameworthy attitude.</w:t>
      </w:r>
    </w:p>
    <w:p w14:paraId="12199707" w14:textId="6D8AB18A" w:rsidR="006153B6" w:rsidRPr="006153B6" w:rsidRDefault="006153B6" w:rsidP="006153B6">
      <w:pPr>
        <w:spacing w:before="100" w:beforeAutospacing="1" w:after="240" w:line="360" w:lineRule="auto"/>
      </w:pPr>
      <w:r w:rsidRPr="006153B6">
        <w:t>- Suggests that inadvertent liability should not apply without evidence of a culpable moral failure.</w:t>
      </w:r>
    </w:p>
    <w:p w14:paraId="7AC39C70" w14:textId="2C4E4C8C" w:rsidR="006153B6" w:rsidRPr="006153B6" w:rsidRDefault="006153B6" w:rsidP="006153B6">
      <w:pPr>
        <w:pStyle w:val="NormalWeb"/>
        <w:spacing w:after="240" w:afterAutospacing="0" w:line="360" w:lineRule="auto"/>
      </w:pPr>
      <w:r w:rsidRPr="006153B6">
        <w:t xml:space="preserve">6. </w:t>
      </w:r>
      <w:r w:rsidRPr="006153B6">
        <w:rPr>
          <w:rStyle w:val="Strong"/>
          <w:rFonts w:eastAsiaTheme="majorEastAsia"/>
        </w:rPr>
        <w:t>Application to Cases</w:t>
      </w:r>
      <w:r w:rsidRPr="006153B6">
        <w:t>:</w:t>
      </w:r>
    </w:p>
    <w:p w14:paraId="3D557E08" w14:textId="77777777" w:rsidR="006153B6" w:rsidRPr="006153B6" w:rsidRDefault="006153B6" w:rsidP="006153B6">
      <w:pPr>
        <w:spacing w:before="100" w:beforeAutospacing="1" w:after="240" w:line="360" w:lineRule="auto"/>
      </w:pPr>
      <w:r w:rsidRPr="006153B6">
        <w:t xml:space="preserve">Cases like </w:t>
      </w:r>
      <w:r w:rsidRPr="006153B6">
        <w:rPr>
          <w:rStyle w:val="Emphasis"/>
          <w:rFonts w:eastAsiaTheme="majorEastAsia"/>
        </w:rPr>
        <w:t>Bawa-Garba</w:t>
      </w:r>
      <w:r w:rsidRPr="006153B6">
        <w:t xml:space="preserve"> and </w:t>
      </w:r>
      <w:r w:rsidRPr="006153B6">
        <w:rPr>
          <w:rStyle w:val="Emphasis"/>
          <w:rFonts w:eastAsiaTheme="majorEastAsia"/>
        </w:rPr>
        <w:t>Rose</w:t>
      </w:r>
      <w:r w:rsidRPr="006153B6">
        <w:t xml:space="preserve"> are </w:t>
      </w:r>
      <w:proofErr w:type="spellStart"/>
      <w:r w:rsidRPr="006153B6">
        <w:t>analyzed</w:t>
      </w:r>
      <w:proofErr w:type="spellEnd"/>
      <w:r w:rsidRPr="006153B6">
        <w:t xml:space="preserve"> to demonstrate the flaws in the current gross negligence manslaughter framework and the benefits of a capacity-based recklessness test.</w:t>
      </w:r>
    </w:p>
    <w:p w14:paraId="45203818" w14:textId="77777777" w:rsidR="009B4CFE" w:rsidRPr="009B4CFE" w:rsidRDefault="000344C6" w:rsidP="006153B6">
      <w:pPr>
        <w:spacing w:after="240" w:line="360" w:lineRule="auto"/>
      </w:pPr>
      <w:r w:rsidRPr="000344C6">
        <w:rPr>
          <w:noProof/>
          <w14:ligatures w14:val="standardContextual"/>
        </w:rPr>
        <w:pict w14:anchorId="6C908C31">
          <v:rect id="_x0000_i1026" alt="" style="width:451.3pt;height:.05pt;mso-width-percent:0;mso-height-percent:0;mso-width-percent:0;mso-height-percent:0" o:hralign="center" o:hrstd="t" o:hr="t" fillcolor="#a0a0a0" stroked="f"/>
        </w:pict>
      </w:r>
    </w:p>
    <w:p w14:paraId="0014D49A" w14:textId="77777777" w:rsidR="009B4CFE" w:rsidRPr="009B4CFE" w:rsidRDefault="009B4CFE" w:rsidP="006153B6">
      <w:pPr>
        <w:spacing w:before="100" w:beforeAutospacing="1" w:after="240" w:line="360" w:lineRule="auto"/>
        <w:outlineLvl w:val="2"/>
        <w:rPr>
          <w:b/>
          <w:bCs/>
        </w:rPr>
      </w:pPr>
      <w:r w:rsidRPr="009B4CFE">
        <w:rPr>
          <w:b/>
          <w:bCs/>
        </w:rPr>
        <w:t>Application of the Proposed Direction to Controversial Cases</w:t>
      </w:r>
    </w:p>
    <w:p w14:paraId="3A2CD04B" w14:textId="77777777" w:rsidR="009B4CFE" w:rsidRPr="009B4CFE" w:rsidRDefault="009B4CFE" w:rsidP="006153B6">
      <w:pPr>
        <w:spacing w:before="100" w:beforeAutospacing="1" w:after="240" w:line="360" w:lineRule="auto"/>
        <w:outlineLvl w:val="3"/>
        <w:rPr>
          <w:b/>
          <w:bCs/>
        </w:rPr>
      </w:pPr>
      <w:r w:rsidRPr="009B4CFE">
        <w:rPr>
          <w:b/>
          <w:bCs/>
        </w:rPr>
        <w:t>Case Analyses</w:t>
      </w:r>
    </w:p>
    <w:p w14:paraId="643F9780" w14:textId="77777777" w:rsidR="009B4CFE" w:rsidRPr="009B4CFE" w:rsidRDefault="009B4CFE" w:rsidP="006153B6">
      <w:pPr>
        <w:numPr>
          <w:ilvl w:val="0"/>
          <w:numId w:val="11"/>
        </w:numPr>
        <w:spacing w:before="100" w:beforeAutospacing="1" w:after="240" w:line="360" w:lineRule="auto"/>
      </w:pPr>
      <w:r w:rsidRPr="009B4CFE">
        <w:rPr>
          <w:b/>
          <w:bCs/>
        </w:rPr>
        <w:lastRenderedPageBreak/>
        <w:t>Evans (2009)</w:t>
      </w:r>
      <w:r w:rsidRPr="009B4CFE">
        <w:t>:</w:t>
      </w:r>
    </w:p>
    <w:p w14:paraId="76A3F133" w14:textId="0FBE5B4F" w:rsidR="009B4CFE" w:rsidRPr="009B4CFE" w:rsidRDefault="006153B6" w:rsidP="006153B6">
      <w:pPr>
        <w:spacing w:before="100" w:beforeAutospacing="1" w:after="240" w:line="360" w:lineRule="auto"/>
      </w:pPr>
      <w:r w:rsidRPr="006153B6">
        <w:t xml:space="preserve">- </w:t>
      </w:r>
      <w:r w:rsidR="009B4CFE" w:rsidRPr="009B4CFE">
        <w:t xml:space="preserve">Applied the </w:t>
      </w:r>
      <w:r w:rsidR="009B4CFE" w:rsidRPr="009B4CFE">
        <w:rPr>
          <w:i/>
          <w:iCs/>
        </w:rPr>
        <w:t>Miller</w:t>
      </w:r>
      <w:r w:rsidR="009B4CFE" w:rsidRPr="009B4CFE">
        <w:t xml:space="preserve"> principle</w:t>
      </w:r>
      <w:r w:rsidR="009B4CFE" w:rsidRPr="006153B6">
        <w:rPr>
          <w:rStyle w:val="FootnoteReference"/>
        </w:rPr>
        <w:footnoteReference w:id="4"/>
      </w:r>
      <w:r w:rsidR="009B4CFE" w:rsidRPr="009B4CFE">
        <w:t xml:space="preserve"> to impose a duty of care.</w:t>
      </w:r>
    </w:p>
    <w:p w14:paraId="0A691A5B" w14:textId="610FF12D" w:rsidR="009B4CFE" w:rsidRPr="009B4CFE" w:rsidRDefault="006153B6" w:rsidP="006153B6">
      <w:pPr>
        <w:spacing w:before="100" w:beforeAutospacing="1" w:after="240" w:line="360" w:lineRule="auto"/>
      </w:pPr>
      <w:r w:rsidRPr="006153B6">
        <w:t xml:space="preserve">- </w:t>
      </w:r>
      <w:r w:rsidR="009B4CFE" w:rsidRPr="009B4CFE">
        <w:t>Under the proposed recklessness framework, Evans's omission could be exculpated by her lack of callous disregard, reflecting her efforts to care for her stepsister.</w:t>
      </w:r>
    </w:p>
    <w:p w14:paraId="7D24CD07" w14:textId="77777777" w:rsidR="009B4CFE" w:rsidRPr="009B4CFE" w:rsidRDefault="009B4CFE" w:rsidP="006153B6">
      <w:pPr>
        <w:numPr>
          <w:ilvl w:val="0"/>
          <w:numId w:val="11"/>
        </w:numPr>
        <w:spacing w:before="100" w:beforeAutospacing="1" w:after="240" w:line="360" w:lineRule="auto"/>
      </w:pPr>
      <w:r w:rsidRPr="009B4CFE">
        <w:rPr>
          <w:b/>
          <w:bCs/>
        </w:rPr>
        <w:t>Rose (2017)</w:t>
      </w:r>
      <w:r w:rsidRPr="009B4CFE">
        <w:t>:</w:t>
      </w:r>
    </w:p>
    <w:p w14:paraId="07DA79B0" w14:textId="23B1EE6C" w:rsidR="009B4CFE" w:rsidRPr="009B4CFE" w:rsidRDefault="006153B6" w:rsidP="006153B6">
      <w:pPr>
        <w:spacing w:before="100" w:beforeAutospacing="1" w:after="240" w:line="360" w:lineRule="auto"/>
      </w:pPr>
      <w:r w:rsidRPr="006153B6">
        <w:t xml:space="preserve">- </w:t>
      </w:r>
      <w:r w:rsidR="009B4CFE" w:rsidRPr="009B4CFE">
        <w:t>The defendant's failure to conduct medical examinations was deemed negligent but not grossly negligent due to ignorance of the risk.</w:t>
      </w:r>
    </w:p>
    <w:p w14:paraId="637AF6E1" w14:textId="351D3E76" w:rsidR="009B4CFE" w:rsidRPr="009B4CFE" w:rsidRDefault="006153B6" w:rsidP="006153B6">
      <w:pPr>
        <w:spacing w:before="100" w:beforeAutospacing="1" w:after="240" w:line="360" w:lineRule="auto"/>
      </w:pPr>
      <w:r w:rsidRPr="006153B6">
        <w:t xml:space="preserve">- </w:t>
      </w:r>
      <w:r w:rsidR="009B4CFE" w:rsidRPr="009B4CFE">
        <w:t>The proposal would classify this as recklessness, focusing on her disregard for duty and the harm caused.</w:t>
      </w:r>
    </w:p>
    <w:p w14:paraId="7F5DFA70" w14:textId="77777777" w:rsidR="009B4CFE" w:rsidRPr="009B4CFE" w:rsidRDefault="009B4CFE" w:rsidP="006153B6">
      <w:pPr>
        <w:numPr>
          <w:ilvl w:val="0"/>
          <w:numId w:val="11"/>
        </w:numPr>
        <w:spacing w:before="100" w:beforeAutospacing="1" w:after="240" w:line="360" w:lineRule="auto"/>
      </w:pPr>
      <w:r w:rsidRPr="009B4CFE">
        <w:rPr>
          <w:b/>
          <w:bCs/>
        </w:rPr>
        <w:t>Bawa-Garba (2016)</w:t>
      </w:r>
      <w:r w:rsidRPr="009B4CFE">
        <w:t>:</w:t>
      </w:r>
    </w:p>
    <w:p w14:paraId="535D9FAF" w14:textId="07D52254" w:rsidR="009B4CFE" w:rsidRPr="009B4CFE" w:rsidRDefault="006153B6" w:rsidP="006153B6">
      <w:pPr>
        <w:spacing w:before="100" w:beforeAutospacing="1" w:after="240" w:line="360" w:lineRule="auto"/>
      </w:pPr>
      <w:r w:rsidRPr="006153B6">
        <w:t xml:space="preserve">- </w:t>
      </w:r>
      <w:r w:rsidR="009B4CFE" w:rsidRPr="009B4CFE">
        <w:t>Contextual pressures (e.g., work conditions) and absence of a reprehensible attitude mitigate findings of recklessness.</w:t>
      </w:r>
    </w:p>
    <w:p w14:paraId="49C3E64C" w14:textId="1492C2F6" w:rsidR="009B4CFE" w:rsidRPr="009B4CFE" w:rsidRDefault="006153B6" w:rsidP="006153B6">
      <w:pPr>
        <w:spacing w:before="100" w:beforeAutospacing="1" w:after="240" w:line="360" w:lineRule="auto"/>
      </w:pPr>
      <w:r w:rsidRPr="006153B6">
        <w:t xml:space="preserve">- </w:t>
      </w:r>
      <w:r w:rsidR="009B4CFE" w:rsidRPr="009B4CFE">
        <w:t>She would likely not meet the threshold under the proposed framework.</w:t>
      </w:r>
    </w:p>
    <w:p w14:paraId="7B66D6C2" w14:textId="77777777" w:rsidR="009B4CFE" w:rsidRPr="009B4CFE" w:rsidRDefault="009B4CFE" w:rsidP="006153B6">
      <w:pPr>
        <w:spacing w:before="100" w:beforeAutospacing="1" w:after="240" w:line="360" w:lineRule="auto"/>
        <w:outlineLvl w:val="3"/>
        <w:rPr>
          <w:b/>
          <w:bCs/>
        </w:rPr>
      </w:pPr>
      <w:r w:rsidRPr="009B4CFE">
        <w:rPr>
          <w:b/>
          <w:bCs/>
        </w:rPr>
        <w:t>Proposed Test for Omissions</w:t>
      </w:r>
    </w:p>
    <w:p w14:paraId="3349D8EC" w14:textId="77777777" w:rsidR="009B4CFE" w:rsidRPr="009B4CFE" w:rsidRDefault="009B4CFE" w:rsidP="006153B6">
      <w:pPr>
        <w:spacing w:before="100" w:beforeAutospacing="1" w:after="240" w:line="360" w:lineRule="auto"/>
      </w:pPr>
      <w:r w:rsidRPr="009B4CFE">
        <w:t>To establish liability:</w:t>
      </w:r>
    </w:p>
    <w:p w14:paraId="3313A6BC" w14:textId="77777777" w:rsidR="009B4CFE" w:rsidRPr="009B4CFE" w:rsidRDefault="009B4CFE" w:rsidP="006153B6">
      <w:pPr>
        <w:numPr>
          <w:ilvl w:val="0"/>
          <w:numId w:val="12"/>
        </w:numPr>
        <w:spacing w:before="100" w:beforeAutospacing="1" w:after="240" w:line="360" w:lineRule="auto"/>
      </w:pPr>
      <w:r w:rsidRPr="009B4CFE">
        <w:rPr>
          <w:b/>
          <w:bCs/>
        </w:rPr>
        <w:t>Legal Duty</w:t>
      </w:r>
      <w:r w:rsidRPr="009B4CFE">
        <w:t>: Failure to act despite an obvious and serious risk under a legal duty.</w:t>
      </w:r>
    </w:p>
    <w:p w14:paraId="13F03B56" w14:textId="77777777" w:rsidR="009B4CFE" w:rsidRPr="009B4CFE" w:rsidRDefault="009B4CFE" w:rsidP="006153B6">
      <w:pPr>
        <w:numPr>
          <w:ilvl w:val="0"/>
          <w:numId w:val="12"/>
        </w:numPr>
        <w:spacing w:before="100" w:beforeAutospacing="1" w:after="240" w:line="360" w:lineRule="auto"/>
      </w:pPr>
      <w:r w:rsidRPr="009B4CFE">
        <w:rPr>
          <w:b/>
          <w:bCs/>
        </w:rPr>
        <w:t>Inadequate Response</w:t>
      </w:r>
      <w:r w:rsidRPr="009B4CFE">
        <w:t>: Incompetent or inattentive efforts to mitigate risk.</w:t>
      </w:r>
    </w:p>
    <w:p w14:paraId="02211F33" w14:textId="77777777" w:rsidR="009B4CFE" w:rsidRPr="009B4CFE" w:rsidRDefault="009B4CFE" w:rsidP="006153B6">
      <w:pPr>
        <w:numPr>
          <w:ilvl w:val="0"/>
          <w:numId w:val="12"/>
        </w:numPr>
        <w:spacing w:before="100" w:beforeAutospacing="1" w:after="240" w:line="360" w:lineRule="auto"/>
      </w:pPr>
      <w:r w:rsidRPr="009B4CFE">
        <w:rPr>
          <w:b/>
          <w:bCs/>
        </w:rPr>
        <w:t>Moral Culpability</w:t>
      </w:r>
      <w:r w:rsidRPr="009B4CFE">
        <w:t>: Evidence of a reprehensible attitude or disregard for the victim.</w:t>
      </w:r>
    </w:p>
    <w:p w14:paraId="4BB6898B" w14:textId="77777777" w:rsidR="009B4CFE" w:rsidRPr="009B4CFE" w:rsidRDefault="000344C6" w:rsidP="006153B6">
      <w:pPr>
        <w:spacing w:after="240" w:line="360" w:lineRule="auto"/>
      </w:pPr>
      <w:r w:rsidRPr="000344C6">
        <w:rPr>
          <w:noProof/>
          <w14:ligatures w14:val="standardContextual"/>
        </w:rPr>
        <w:pict w14:anchorId="005F259F">
          <v:rect id="_x0000_i1025" alt="" style="width:451.3pt;height:.05pt;mso-width-percent:0;mso-height-percent:0;mso-width-percent:0;mso-height-percent:0" o:hralign="center" o:hrstd="t" o:hr="t" fillcolor="#a0a0a0" stroked="f"/>
        </w:pict>
      </w:r>
    </w:p>
    <w:p w14:paraId="34C7852C" w14:textId="77777777" w:rsidR="009B4CFE" w:rsidRPr="009B4CFE" w:rsidRDefault="009B4CFE" w:rsidP="006153B6">
      <w:pPr>
        <w:spacing w:before="100" w:beforeAutospacing="1" w:after="240" w:line="360" w:lineRule="auto"/>
        <w:outlineLvl w:val="2"/>
        <w:rPr>
          <w:b/>
          <w:bCs/>
        </w:rPr>
      </w:pPr>
      <w:r w:rsidRPr="009B4CFE">
        <w:rPr>
          <w:b/>
          <w:bCs/>
        </w:rPr>
        <w:lastRenderedPageBreak/>
        <w:t>Conclusion</w:t>
      </w:r>
    </w:p>
    <w:p w14:paraId="654CB423" w14:textId="77777777" w:rsidR="009B4CFE" w:rsidRPr="009B4CFE" w:rsidRDefault="009B4CFE" w:rsidP="006153B6">
      <w:pPr>
        <w:spacing w:before="100" w:beforeAutospacing="1" w:after="240" w:line="360" w:lineRule="auto"/>
        <w:outlineLvl w:val="3"/>
        <w:rPr>
          <w:b/>
          <w:bCs/>
        </w:rPr>
      </w:pPr>
      <w:r w:rsidRPr="009B4CFE">
        <w:rPr>
          <w:b/>
          <w:bCs/>
        </w:rPr>
        <w:t>Recommendations</w:t>
      </w:r>
    </w:p>
    <w:p w14:paraId="4AA783AC" w14:textId="77777777" w:rsidR="009B4CFE" w:rsidRPr="009B4CFE" w:rsidRDefault="009B4CFE" w:rsidP="006153B6">
      <w:pPr>
        <w:numPr>
          <w:ilvl w:val="0"/>
          <w:numId w:val="13"/>
        </w:numPr>
        <w:spacing w:before="100" w:beforeAutospacing="1" w:after="240" w:line="360" w:lineRule="auto"/>
      </w:pPr>
      <w:r w:rsidRPr="009B4CFE">
        <w:t>Replace gross negligence with a recklessness framework that:</w:t>
      </w:r>
    </w:p>
    <w:p w14:paraId="177338FA" w14:textId="533F882B" w:rsidR="009B4CFE" w:rsidRPr="009B4CFE" w:rsidRDefault="006153B6" w:rsidP="006153B6">
      <w:pPr>
        <w:spacing w:before="100" w:beforeAutospacing="1" w:after="240" w:line="360" w:lineRule="auto"/>
      </w:pPr>
      <w:r w:rsidRPr="006153B6">
        <w:t xml:space="preserve">- </w:t>
      </w:r>
      <w:r w:rsidR="009B4CFE" w:rsidRPr="009B4CFE">
        <w:t>Incorporates cognitive capacity, moral culpability, and contextual factors.</w:t>
      </w:r>
    </w:p>
    <w:p w14:paraId="3A5D79FB" w14:textId="099DF247" w:rsidR="009B4CFE" w:rsidRPr="009B4CFE" w:rsidRDefault="006153B6" w:rsidP="006153B6">
      <w:pPr>
        <w:spacing w:before="100" w:beforeAutospacing="1" w:after="240" w:line="360" w:lineRule="auto"/>
      </w:pPr>
      <w:r w:rsidRPr="006153B6">
        <w:t xml:space="preserve">- </w:t>
      </w:r>
      <w:r w:rsidR="009B4CFE" w:rsidRPr="009B4CFE">
        <w:t>Ensures liability reflects both harm caused and the defendant's intentions or attitudes.</w:t>
      </w:r>
    </w:p>
    <w:p w14:paraId="2F1D5DA3" w14:textId="77777777" w:rsidR="009B4CFE" w:rsidRPr="009B4CFE" w:rsidRDefault="009B4CFE" w:rsidP="006153B6">
      <w:pPr>
        <w:numPr>
          <w:ilvl w:val="0"/>
          <w:numId w:val="13"/>
        </w:numPr>
        <w:spacing w:before="100" w:beforeAutospacing="1" w:after="240" w:line="360" w:lineRule="auto"/>
      </w:pPr>
      <w:r w:rsidRPr="009B4CFE">
        <w:t>Focus on moral failings rather than inadvertent mistakes:</w:t>
      </w:r>
    </w:p>
    <w:p w14:paraId="149E0CAF" w14:textId="1F9BEC14" w:rsidR="009B4CFE" w:rsidRPr="009B4CFE" w:rsidRDefault="006153B6" w:rsidP="006153B6">
      <w:pPr>
        <w:spacing w:before="100" w:beforeAutospacing="1" w:after="240" w:line="360" w:lineRule="auto"/>
      </w:pPr>
      <w:r w:rsidRPr="006153B6">
        <w:t xml:space="preserve">- </w:t>
      </w:r>
      <w:r w:rsidR="009B4CFE" w:rsidRPr="009B4CFE">
        <w:t>Align liability with conduct that demonstrates a lack of concern for others’ welfare.</w:t>
      </w:r>
    </w:p>
    <w:p w14:paraId="0E596095" w14:textId="48641003" w:rsidR="009B4CFE" w:rsidRPr="009B4CFE" w:rsidRDefault="006153B6" w:rsidP="006153B6">
      <w:pPr>
        <w:spacing w:before="100" w:beforeAutospacing="1" w:after="240" w:line="360" w:lineRule="auto"/>
      </w:pPr>
      <w:r w:rsidRPr="006153B6">
        <w:t xml:space="preserve">- </w:t>
      </w:r>
      <w:r w:rsidR="009B4CFE" w:rsidRPr="009B4CFE">
        <w:t>Maintain accountability for gross carelessness while preventing undue criminalization of unintended errors.</w:t>
      </w:r>
    </w:p>
    <w:p w14:paraId="15DAE0CA" w14:textId="77777777" w:rsidR="009B4CFE" w:rsidRPr="009B4CFE" w:rsidRDefault="009B4CFE" w:rsidP="006153B6">
      <w:pPr>
        <w:spacing w:before="100" w:beforeAutospacing="1" w:after="240" w:line="360" w:lineRule="auto"/>
        <w:outlineLvl w:val="3"/>
        <w:rPr>
          <w:b/>
          <w:bCs/>
        </w:rPr>
      </w:pPr>
      <w:r w:rsidRPr="009B4CFE">
        <w:rPr>
          <w:b/>
          <w:bCs/>
        </w:rPr>
        <w:t>Impact</w:t>
      </w:r>
    </w:p>
    <w:p w14:paraId="08EE62C1" w14:textId="77777777" w:rsidR="009B4CFE" w:rsidRPr="009B4CFE" w:rsidRDefault="009B4CFE" w:rsidP="006153B6">
      <w:pPr>
        <w:spacing w:before="100" w:beforeAutospacing="1" w:after="240" w:line="360" w:lineRule="auto"/>
      </w:pPr>
      <w:r w:rsidRPr="009B4CFE">
        <w:t>A capacity-based recklessness approach resolves ambiguities in gross negligence cases, ensuring that liability is reserved for morally blameworthy conduct.</w:t>
      </w:r>
    </w:p>
    <w:p w14:paraId="47962595" w14:textId="77777777" w:rsidR="009B4CFE" w:rsidRPr="006153B6" w:rsidRDefault="009B4CFE" w:rsidP="006153B6">
      <w:pPr>
        <w:spacing w:after="240" w:line="360" w:lineRule="auto"/>
        <w:rPr>
          <w:lang w:val="en-US"/>
        </w:rPr>
      </w:pPr>
    </w:p>
    <w:sectPr w:rsidR="009B4CFE" w:rsidRPr="006153B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749502" w14:textId="77777777" w:rsidR="000344C6" w:rsidRDefault="000344C6" w:rsidP="00B260F6">
      <w:r>
        <w:separator/>
      </w:r>
    </w:p>
  </w:endnote>
  <w:endnote w:type="continuationSeparator" w:id="0">
    <w:p w14:paraId="4B86EFC6" w14:textId="77777777" w:rsidR="000344C6" w:rsidRDefault="000344C6" w:rsidP="00B260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D2227C" w14:textId="77777777" w:rsidR="000344C6" w:rsidRDefault="000344C6" w:rsidP="00B260F6">
      <w:r>
        <w:separator/>
      </w:r>
    </w:p>
  </w:footnote>
  <w:footnote w:type="continuationSeparator" w:id="0">
    <w:p w14:paraId="16DCEDFD" w14:textId="77777777" w:rsidR="000344C6" w:rsidRDefault="000344C6" w:rsidP="00B260F6">
      <w:r>
        <w:continuationSeparator/>
      </w:r>
    </w:p>
  </w:footnote>
  <w:footnote w:id="1">
    <w:p w14:paraId="4DA12220" w14:textId="1C40DEC8" w:rsidR="00B260F6" w:rsidRPr="006153B6" w:rsidRDefault="00B260F6" w:rsidP="006153B6">
      <w:pPr>
        <w:pStyle w:val="NormalWeb"/>
        <w:shd w:val="clear" w:color="auto" w:fill="FFFFFF"/>
        <w:spacing w:before="0" w:beforeAutospacing="0" w:after="0" w:afterAutospacing="0" w:line="360" w:lineRule="auto"/>
        <w:rPr>
          <w:vertAlign w:val="superscript"/>
        </w:rPr>
      </w:pPr>
      <w:r w:rsidRPr="006153B6">
        <w:rPr>
          <w:rStyle w:val="FootnoteReference"/>
        </w:rPr>
        <w:footnoteRef/>
      </w:r>
      <w:r w:rsidRPr="006153B6">
        <w:rPr>
          <w:vertAlign w:val="superscript"/>
        </w:rPr>
        <w:t xml:space="preserve"> </w:t>
      </w:r>
      <w:r w:rsidRPr="006153B6">
        <w:rPr>
          <w:color w:val="1F1F1F"/>
          <w:shd w:val="clear" w:color="auto" w:fill="FFFFFF"/>
          <w:vertAlign w:val="superscript"/>
        </w:rPr>
        <w:t xml:space="preserve">R v Prentice, Adomako, and Holloway </w:t>
      </w:r>
      <w:r w:rsidRPr="006153B6">
        <w:rPr>
          <w:vertAlign w:val="superscript"/>
        </w:rPr>
        <w:t xml:space="preserve">[1993] 4 All ER 935. Prentice and </w:t>
      </w:r>
      <w:proofErr w:type="spellStart"/>
      <w:r w:rsidRPr="006153B6">
        <w:rPr>
          <w:vertAlign w:val="superscript"/>
        </w:rPr>
        <w:t>Sullman</w:t>
      </w:r>
      <w:proofErr w:type="spellEnd"/>
      <w:r w:rsidRPr="006153B6">
        <w:rPr>
          <w:vertAlign w:val="superscript"/>
        </w:rPr>
        <w:t xml:space="preserve"> were doctors who had administered a drug in the wrong way leading to the patient's death. Adomako was an anaesthetist whose patient died from hypoxia when his breathing tube became disconnected during an operation. Holloway was an electrician who wrongly rewired a central heating system leading to a fatal electrocution. At 943-4. </w:t>
      </w:r>
    </w:p>
  </w:footnote>
  <w:footnote w:id="2">
    <w:p w14:paraId="406C7E1C" w14:textId="3CCD0D74" w:rsidR="00B260F6" w:rsidRPr="006153B6" w:rsidRDefault="00B260F6" w:rsidP="006153B6">
      <w:pPr>
        <w:pStyle w:val="NormalWeb"/>
        <w:shd w:val="clear" w:color="auto" w:fill="FFFFFF"/>
        <w:spacing w:before="0" w:beforeAutospacing="0" w:after="0" w:afterAutospacing="0" w:line="360" w:lineRule="auto"/>
        <w:rPr>
          <w:vertAlign w:val="superscript"/>
        </w:rPr>
      </w:pPr>
      <w:r w:rsidRPr="006153B6">
        <w:rPr>
          <w:rStyle w:val="FootnoteReference"/>
        </w:rPr>
        <w:footnoteRef/>
      </w:r>
      <w:r w:rsidRPr="006153B6">
        <w:rPr>
          <w:vertAlign w:val="superscript"/>
        </w:rPr>
        <w:t xml:space="preserve"> D. Ormerod, </w:t>
      </w:r>
      <w:r w:rsidRPr="006153B6">
        <w:rPr>
          <w:i/>
          <w:iCs/>
          <w:vertAlign w:val="superscript"/>
        </w:rPr>
        <w:t xml:space="preserve">Smith &amp; Hogan Criminal Law Cases and Materials </w:t>
      </w:r>
      <w:r w:rsidRPr="006153B6">
        <w:rPr>
          <w:vertAlign w:val="superscript"/>
        </w:rPr>
        <w:t xml:space="preserve">(9th </w:t>
      </w:r>
      <w:proofErr w:type="spellStart"/>
      <w:r w:rsidRPr="006153B6">
        <w:rPr>
          <w:vertAlign w:val="superscript"/>
        </w:rPr>
        <w:t>edn</w:t>
      </w:r>
      <w:proofErr w:type="spellEnd"/>
      <w:r w:rsidRPr="006153B6">
        <w:rPr>
          <w:vertAlign w:val="superscript"/>
        </w:rPr>
        <w:t xml:space="preserve">, Oxford University Press, Oxford 2006) at 663. </w:t>
      </w:r>
    </w:p>
  </w:footnote>
  <w:footnote w:id="3">
    <w:p w14:paraId="2B3CD770" w14:textId="77777777" w:rsidR="00B260F6" w:rsidRPr="006153B6" w:rsidRDefault="00B260F6" w:rsidP="006153B6">
      <w:pPr>
        <w:pStyle w:val="NormalWeb"/>
        <w:shd w:val="clear" w:color="auto" w:fill="FFFFFF"/>
        <w:spacing w:before="0" w:beforeAutospacing="0" w:after="0" w:afterAutospacing="0" w:line="360" w:lineRule="auto"/>
        <w:rPr>
          <w:vertAlign w:val="superscript"/>
        </w:rPr>
      </w:pPr>
      <w:r w:rsidRPr="006153B6">
        <w:rPr>
          <w:rStyle w:val="FootnoteReference"/>
        </w:rPr>
        <w:footnoteRef/>
      </w:r>
      <w:r w:rsidRPr="006153B6">
        <w:rPr>
          <w:vertAlign w:val="superscript"/>
        </w:rPr>
        <w:t xml:space="preserve"> An approach advocated by Glidewell J in </w:t>
      </w:r>
      <w:r w:rsidRPr="006153B6">
        <w:rPr>
          <w:i/>
          <w:iCs/>
          <w:vertAlign w:val="superscript"/>
        </w:rPr>
        <w:t xml:space="preserve">Elliott </w:t>
      </w:r>
      <w:r w:rsidRPr="006153B6">
        <w:rPr>
          <w:vertAlign w:val="superscript"/>
        </w:rPr>
        <w:t xml:space="preserve">(1983) 77 </w:t>
      </w:r>
      <w:proofErr w:type="spellStart"/>
      <w:r w:rsidRPr="006153B6">
        <w:rPr>
          <w:vertAlign w:val="superscript"/>
        </w:rPr>
        <w:t>Cr.App.R</w:t>
      </w:r>
      <w:proofErr w:type="spellEnd"/>
      <w:r w:rsidRPr="006153B6">
        <w:rPr>
          <w:vertAlign w:val="superscript"/>
        </w:rPr>
        <w:t xml:space="preserve">. 103 at 119. </w:t>
      </w:r>
    </w:p>
    <w:p w14:paraId="60E8C6F9" w14:textId="58219FEE" w:rsidR="00B260F6" w:rsidRPr="006153B6" w:rsidRDefault="00B260F6" w:rsidP="006153B6">
      <w:pPr>
        <w:pStyle w:val="FootnoteText"/>
        <w:spacing w:line="360" w:lineRule="auto"/>
        <w:rPr>
          <w:sz w:val="24"/>
          <w:szCs w:val="24"/>
          <w:vertAlign w:val="superscript"/>
          <w:lang w:val="en-US"/>
        </w:rPr>
      </w:pPr>
    </w:p>
  </w:footnote>
  <w:footnote w:id="4">
    <w:p w14:paraId="6A7EDC5A" w14:textId="55498DEA" w:rsidR="009B4CFE" w:rsidRPr="006153B6" w:rsidRDefault="009B4CFE" w:rsidP="006153B6">
      <w:pPr>
        <w:spacing w:line="360" w:lineRule="auto"/>
        <w:rPr>
          <w:vertAlign w:val="superscript"/>
        </w:rPr>
      </w:pPr>
      <w:r w:rsidRPr="006153B6">
        <w:rPr>
          <w:rStyle w:val="FootnoteReference"/>
        </w:rPr>
        <w:footnoteRef/>
      </w:r>
      <w:r w:rsidRPr="006153B6">
        <w:rPr>
          <w:vertAlign w:val="superscript"/>
        </w:rPr>
        <w:t xml:space="preserve"> 1. </w:t>
      </w:r>
      <w:r w:rsidRPr="006153B6">
        <w:rPr>
          <w:rStyle w:val="Strong"/>
          <w:rFonts w:eastAsiaTheme="majorEastAsia"/>
          <w:vertAlign w:val="superscript"/>
        </w:rPr>
        <w:t>Creation of Risk</w:t>
      </w:r>
      <w:r w:rsidRPr="006153B6">
        <w:rPr>
          <w:vertAlign w:val="superscript"/>
        </w:rPr>
        <w:t>: The duty arises when an individual creates a risk of harm, even unintentionally.</w:t>
      </w:r>
    </w:p>
    <w:p w14:paraId="1FD85A24" w14:textId="60546377" w:rsidR="009B4CFE" w:rsidRPr="006153B6" w:rsidRDefault="009B4CFE" w:rsidP="006153B6">
      <w:pPr>
        <w:spacing w:line="360" w:lineRule="auto"/>
        <w:rPr>
          <w:vertAlign w:val="superscript"/>
        </w:rPr>
      </w:pPr>
      <w:r w:rsidRPr="006153B6">
        <w:rPr>
          <w:vertAlign w:val="superscript"/>
        </w:rPr>
        <w:t xml:space="preserve">2. </w:t>
      </w:r>
      <w:r w:rsidRPr="006153B6">
        <w:rPr>
          <w:rStyle w:val="Strong"/>
          <w:rFonts w:eastAsiaTheme="majorEastAsia"/>
          <w:vertAlign w:val="superscript"/>
        </w:rPr>
        <w:t>Awareness of the Risk</w:t>
      </w:r>
      <w:r w:rsidRPr="006153B6">
        <w:rPr>
          <w:vertAlign w:val="superscript"/>
        </w:rPr>
        <w:t>: Once aware of the risk, the individual has a duty to act reasonably to prevent harm.</w:t>
      </w:r>
    </w:p>
    <w:p w14:paraId="6004461C" w14:textId="65C0107A" w:rsidR="009B4CFE" w:rsidRPr="006153B6" w:rsidRDefault="009B4CFE" w:rsidP="006153B6">
      <w:pPr>
        <w:pStyle w:val="FootnoteText"/>
        <w:spacing w:line="360" w:lineRule="auto"/>
        <w:rPr>
          <w:sz w:val="24"/>
          <w:szCs w:val="24"/>
          <w:vertAlign w:val="superscript"/>
          <w:lang w:val="en-US"/>
        </w:rPr>
      </w:pPr>
      <w:r w:rsidRPr="006153B6">
        <w:rPr>
          <w:sz w:val="24"/>
          <w:szCs w:val="24"/>
          <w:vertAlign w:val="superscript"/>
        </w:rPr>
        <w:t xml:space="preserve">3. </w:t>
      </w:r>
      <w:r w:rsidRPr="006153B6">
        <w:rPr>
          <w:rStyle w:val="Strong"/>
          <w:rFonts w:eastAsiaTheme="majorEastAsia"/>
          <w:sz w:val="24"/>
          <w:szCs w:val="24"/>
          <w:vertAlign w:val="superscript"/>
        </w:rPr>
        <w:t>Failure to Act</w:t>
      </w:r>
      <w:r w:rsidRPr="006153B6">
        <w:rPr>
          <w:sz w:val="24"/>
          <w:szCs w:val="24"/>
          <w:vertAlign w:val="superscript"/>
        </w:rPr>
        <w:t>: The failure to take appropriate action after becoming aware of the risk can lead to criminal liability.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E059DB"/>
    <w:multiLevelType w:val="multilevel"/>
    <w:tmpl w:val="DE10B018"/>
    <w:lvl w:ilvl="0">
      <w:start w:val="1"/>
      <w:numFmt w:val="decimal"/>
      <w:lvlText w:val="%1."/>
      <w:lvlJc w:val="left"/>
      <w:pPr>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360"/>
        </w:tabs>
        <w:ind w:left="360" w:hanging="360"/>
      </w:pPr>
    </w:lvl>
    <w:lvl w:ilvl="3">
      <w:start w:val="1"/>
      <w:numFmt w:val="decimal"/>
      <w:lvlText w:val="%4."/>
      <w:lvlJc w:val="left"/>
      <w:pPr>
        <w:tabs>
          <w:tab w:val="num" w:pos="0"/>
        </w:tabs>
        <w:ind w:left="0" w:hanging="360"/>
      </w:p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831683D"/>
    <w:multiLevelType w:val="multilevel"/>
    <w:tmpl w:val="6FE2B87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3D456A3"/>
    <w:multiLevelType w:val="multilevel"/>
    <w:tmpl w:val="0608D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04AB3"/>
    <w:multiLevelType w:val="multilevel"/>
    <w:tmpl w:val="DE10B018"/>
    <w:lvl w:ilvl="0">
      <w:start w:val="1"/>
      <w:numFmt w:val="decimal"/>
      <w:lvlText w:val="%1."/>
      <w:lvlJc w:val="left"/>
      <w:pPr>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360"/>
        </w:tabs>
        <w:ind w:left="360" w:hanging="360"/>
      </w:pPr>
    </w:lvl>
    <w:lvl w:ilvl="3">
      <w:start w:val="1"/>
      <w:numFmt w:val="decimal"/>
      <w:lvlText w:val="%4."/>
      <w:lvlJc w:val="left"/>
      <w:pPr>
        <w:tabs>
          <w:tab w:val="num" w:pos="0"/>
        </w:tabs>
        <w:ind w:left="0" w:hanging="360"/>
      </w:p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9F71C80"/>
    <w:multiLevelType w:val="multilevel"/>
    <w:tmpl w:val="185C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60598"/>
    <w:multiLevelType w:val="multilevel"/>
    <w:tmpl w:val="8A5A3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E2869"/>
    <w:multiLevelType w:val="multilevel"/>
    <w:tmpl w:val="14E4CE1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37DC3934"/>
    <w:multiLevelType w:val="multilevel"/>
    <w:tmpl w:val="914A442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3E504B9D"/>
    <w:multiLevelType w:val="multilevel"/>
    <w:tmpl w:val="FCFE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DC2EA6"/>
    <w:multiLevelType w:val="multilevel"/>
    <w:tmpl w:val="961C4F0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45DF4B0D"/>
    <w:multiLevelType w:val="multilevel"/>
    <w:tmpl w:val="F8D6C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7947CC"/>
    <w:multiLevelType w:val="multilevel"/>
    <w:tmpl w:val="4756FD4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6B2535F3"/>
    <w:multiLevelType w:val="multilevel"/>
    <w:tmpl w:val="B3428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181F98"/>
    <w:multiLevelType w:val="multilevel"/>
    <w:tmpl w:val="DE10B018"/>
    <w:lvl w:ilvl="0">
      <w:start w:val="1"/>
      <w:numFmt w:val="decimal"/>
      <w:lvlText w:val="%1."/>
      <w:lvlJc w:val="left"/>
      <w:pPr>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360"/>
        </w:tabs>
        <w:ind w:left="360" w:hanging="360"/>
      </w:pPr>
    </w:lvl>
    <w:lvl w:ilvl="3">
      <w:start w:val="1"/>
      <w:numFmt w:val="decimal"/>
      <w:lvlText w:val="%4."/>
      <w:lvlJc w:val="left"/>
      <w:pPr>
        <w:tabs>
          <w:tab w:val="num" w:pos="0"/>
        </w:tabs>
        <w:ind w:left="0" w:hanging="360"/>
      </w:p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7AF8474A"/>
    <w:multiLevelType w:val="multilevel"/>
    <w:tmpl w:val="30883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30778A"/>
    <w:multiLevelType w:val="multilevel"/>
    <w:tmpl w:val="96DCE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8573E6"/>
    <w:multiLevelType w:val="multilevel"/>
    <w:tmpl w:val="426A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E7097C"/>
    <w:multiLevelType w:val="multilevel"/>
    <w:tmpl w:val="F77C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8303796">
    <w:abstractNumId w:val="15"/>
  </w:num>
  <w:num w:numId="2" w16cid:durableId="1398045702">
    <w:abstractNumId w:val="10"/>
  </w:num>
  <w:num w:numId="3" w16cid:durableId="1496799575">
    <w:abstractNumId w:val="0"/>
  </w:num>
  <w:num w:numId="4" w16cid:durableId="1010251666">
    <w:abstractNumId w:val="0"/>
    <w:lvlOverride w:ilvl="0">
      <w:lvl w:ilvl="0">
        <w:start w:val="1"/>
        <w:numFmt w:val="decimal"/>
        <w:lvlText w:val="%1."/>
        <w:lvlJc w:val="left"/>
        <w:pPr>
          <w:ind w:left="2160" w:hanging="360"/>
        </w:pPr>
      </w:lvl>
    </w:lvlOverride>
    <w:lvlOverride w:ilvl="1">
      <w:lvl w:ilvl="1" w:tentative="1">
        <w:start w:val="1"/>
        <w:numFmt w:val="lowerLetter"/>
        <w:lvlText w:val="%2."/>
        <w:lvlJc w:val="left"/>
        <w:pPr>
          <w:ind w:left="2880" w:hanging="360"/>
        </w:pPr>
      </w:lvl>
    </w:lvlOverride>
    <w:lvlOverride w:ilvl="2">
      <w:lvl w:ilvl="2">
        <w:start w:val="1"/>
        <w:numFmt w:val="lowerRoman"/>
        <w:lvlText w:val="%3."/>
        <w:lvlJc w:val="right"/>
        <w:pPr>
          <w:ind w:left="3600" w:hanging="180"/>
        </w:pPr>
      </w:lvl>
    </w:lvlOverride>
    <w:lvlOverride w:ilvl="3">
      <w:lvl w:ilvl="3" w:tentative="1">
        <w:start w:val="1"/>
        <w:numFmt w:val="decimal"/>
        <w:lvlText w:val="%4."/>
        <w:lvlJc w:val="left"/>
        <w:pPr>
          <w:ind w:left="4320" w:hanging="360"/>
        </w:pPr>
      </w:lvl>
    </w:lvlOverride>
    <w:lvlOverride w:ilvl="4">
      <w:lvl w:ilvl="4" w:tentative="1">
        <w:start w:val="1"/>
        <w:numFmt w:val="lowerLetter"/>
        <w:lvlText w:val="%5."/>
        <w:lvlJc w:val="left"/>
        <w:pPr>
          <w:ind w:left="5040" w:hanging="360"/>
        </w:pPr>
      </w:lvl>
    </w:lvlOverride>
    <w:lvlOverride w:ilvl="5">
      <w:lvl w:ilvl="5" w:tentative="1">
        <w:start w:val="1"/>
        <w:numFmt w:val="lowerRoman"/>
        <w:lvlText w:val="%6."/>
        <w:lvlJc w:val="right"/>
        <w:pPr>
          <w:ind w:left="5760" w:hanging="180"/>
        </w:pPr>
      </w:lvl>
    </w:lvlOverride>
    <w:lvlOverride w:ilvl="6">
      <w:lvl w:ilvl="6" w:tentative="1">
        <w:start w:val="1"/>
        <w:numFmt w:val="decimal"/>
        <w:lvlText w:val="%7."/>
        <w:lvlJc w:val="left"/>
        <w:pPr>
          <w:ind w:left="6480" w:hanging="360"/>
        </w:pPr>
      </w:lvl>
    </w:lvlOverride>
    <w:lvlOverride w:ilvl="7">
      <w:lvl w:ilvl="7" w:tentative="1">
        <w:start w:val="1"/>
        <w:numFmt w:val="lowerLetter"/>
        <w:lvlText w:val="%8."/>
        <w:lvlJc w:val="left"/>
        <w:pPr>
          <w:ind w:left="7200" w:hanging="360"/>
        </w:pPr>
      </w:lvl>
    </w:lvlOverride>
    <w:lvlOverride w:ilvl="8">
      <w:lvl w:ilvl="8" w:tentative="1">
        <w:start w:val="1"/>
        <w:numFmt w:val="lowerRoman"/>
        <w:lvlText w:val="%9."/>
        <w:lvlJc w:val="right"/>
        <w:pPr>
          <w:ind w:left="7920" w:hanging="180"/>
        </w:pPr>
      </w:lvl>
    </w:lvlOverride>
  </w:num>
  <w:num w:numId="5" w16cid:durableId="804852632">
    <w:abstractNumId w:val="0"/>
    <w:lvlOverride w:ilvl="1">
      <w:lvl w:ilvl="1">
        <w:numFmt w:val="decimal"/>
        <w:lvlText w:val="%2."/>
        <w:lvlJc w:val="left"/>
      </w:lvl>
    </w:lvlOverride>
  </w:num>
  <w:num w:numId="6" w16cid:durableId="1902253770">
    <w:abstractNumId w:val="0"/>
    <w:lvlOverride w:ilvl="1">
      <w:lvl w:ilvl="1">
        <w:numFmt w:val="decimal"/>
        <w:lvlText w:val="%2."/>
        <w:lvlJc w:val="left"/>
      </w:lvl>
    </w:lvlOverride>
    <w:lvlOverride w:ilvl="2">
      <w:lvl w:ilvl="2">
        <w:numFmt w:val="bullet"/>
        <w:lvlText w:val=""/>
        <w:lvlJc w:val="left"/>
        <w:pPr>
          <w:tabs>
            <w:tab w:val="num" w:pos="2160"/>
          </w:tabs>
          <w:ind w:left="2160" w:hanging="360"/>
        </w:pPr>
        <w:rPr>
          <w:rFonts w:ascii="Wingdings" w:hAnsi="Wingdings" w:hint="default"/>
          <w:sz w:val="20"/>
        </w:rPr>
      </w:lvl>
    </w:lvlOverride>
  </w:num>
  <w:num w:numId="7" w16cid:durableId="1957985125">
    <w:abstractNumId w:val="0"/>
    <w:lvlOverride w:ilvl="1">
      <w:lvl w:ilvl="1">
        <w:numFmt w:val="decimal"/>
        <w:lvlText w:val="%2."/>
        <w:lvlJc w:val="left"/>
      </w:lvl>
    </w:lvlOverride>
    <w:lvlOverride w:ilvl="2">
      <w:lvl w:ilvl="2">
        <w:numFmt w:val="bullet"/>
        <w:lvlText w:val=""/>
        <w:lvlJc w:val="left"/>
        <w:pPr>
          <w:tabs>
            <w:tab w:val="num" w:pos="2160"/>
          </w:tabs>
          <w:ind w:left="2160" w:hanging="360"/>
        </w:pPr>
        <w:rPr>
          <w:rFonts w:ascii="Wingdings" w:hAnsi="Wingdings" w:hint="default"/>
          <w:sz w:val="20"/>
        </w:rPr>
      </w:lvl>
    </w:lvlOverride>
  </w:num>
  <w:num w:numId="8" w16cid:durableId="513618693">
    <w:abstractNumId w:val="9"/>
  </w:num>
  <w:num w:numId="9" w16cid:durableId="1203057390">
    <w:abstractNumId w:val="1"/>
  </w:num>
  <w:num w:numId="10" w16cid:durableId="44957819">
    <w:abstractNumId w:val="2"/>
  </w:num>
  <w:num w:numId="11" w16cid:durableId="637225356">
    <w:abstractNumId w:val="6"/>
  </w:num>
  <w:num w:numId="12" w16cid:durableId="1797790827">
    <w:abstractNumId w:val="7"/>
  </w:num>
  <w:num w:numId="13" w16cid:durableId="1098254831">
    <w:abstractNumId w:val="11"/>
  </w:num>
  <w:num w:numId="14" w16cid:durableId="1691908785">
    <w:abstractNumId w:val="8"/>
  </w:num>
  <w:num w:numId="15" w16cid:durableId="484127424">
    <w:abstractNumId w:val="5"/>
  </w:num>
  <w:num w:numId="16" w16cid:durableId="844243958">
    <w:abstractNumId w:val="12"/>
  </w:num>
  <w:num w:numId="17" w16cid:durableId="1941065215">
    <w:abstractNumId w:val="14"/>
  </w:num>
  <w:num w:numId="18" w16cid:durableId="1378626766">
    <w:abstractNumId w:val="3"/>
  </w:num>
  <w:num w:numId="19" w16cid:durableId="1490486773">
    <w:abstractNumId w:val="16"/>
  </w:num>
  <w:num w:numId="20" w16cid:durableId="566964295">
    <w:abstractNumId w:val="4"/>
  </w:num>
  <w:num w:numId="21" w16cid:durableId="615674393">
    <w:abstractNumId w:val="17"/>
  </w:num>
  <w:num w:numId="22" w16cid:durableId="11859453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B71"/>
    <w:rsid w:val="000147A9"/>
    <w:rsid w:val="000344C6"/>
    <w:rsid w:val="00042755"/>
    <w:rsid w:val="0006107D"/>
    <w:rsid w:val="000623A3"/>
    <w:rsid w:val="000719DA"/>
    <w:rsid w:val="00094D65"/>
    <w:rsid w:val="000A2074"/>
    <w:rsid w:val="000A3F4D"/>
    <w:rsid w:val="000C4ABC"/>
    <w:rsid w:val="000C58D7"/>
    <w:rsid w:val="000E15ED"/>
    <w:rsid w:val="00101CCF"/>
    <w:rsid w:val="0019260C"/>
    <w:rsid w:val="001B0E31"/>
    <w:rsid w:val="001D360C"/>
    <w:rsid w:val="001E2584"/>
    <w:rsid w:val="00223837"/>
    <w:rsid w:val="00243CED"/>
    <w:rsid w:val="00257540"/>
    <w:rsid w:val="0026510F"/>
    <w:rsid w:val="00291F37"/>
    <w:rsid w:val="00297C6E"/>
    <w:rsid w:val="002D715D"/>
    <w:rsid w:val="002E46F2"/>
    <w:rsid w:val="002F1DB1"/>
    <w:rsid w:val="002F53C9"/>
    <w:rsid w:val="003048A0"/>
    <w:rsid w:val="0031138E"/>
    <w:rsid w:val="0031474F"/>
    <w:rsid w:val="00315815"/>
    <w:rsid w:val="003278F5"/>
    <w:rsid w:val="00330665"/>
    <w:rsid w:val="00361975"/>
    <w:rsid w:val="003677A2"/>
    <w:rsid w:val="00376E23"/>
    <w:rsid w:val="0039416B"/>
    <w:rsid w:val="003A1271"/>
    <w:rsid w:val="003A5DF7"/>
    <w:rsid w:val="003B3510"/>
    <w:rsid w:val="003C116C"/>
    <w:rsid w:val="003E1CAA"/>
    <w:rsid w:val="0040210F"/>
    <w:rsid w:val="004222FD"/>
    <w:rsid w:val="004319FA"/>
    <w:rsid w:val="0048097D"/>
    <w:rsid w:val="0048175B"/>
    <w:rsid w:val="004845CE"/>
    <w:rsid w:val="004A553E"/>
    <w:rsid w:val="004B1048"/>
    <w:rsid w:val="004D01FE"/>
    <w:rsid w:val="004E458E"/>
    <w:rsid w:val="004F0E12"/>
    <w:rsid w:val="004F5A36"/>
    <w:rsid w:val="00542B57"/>
    <w:rsid w:val="00557B52"/>
    <w:rsid w:val="005770A9"/>
    <w:rsid w:val="0058416B"/>
    <w:rsid w:val="00587734"/>
    <w:rsid w:val="00595357"/>
    <w:rsid w:val="005B34ED"/>
    <w:rsid w:val="005C50B3"/>
    <w:rsid w:val="005D57DA"/>
    <w:rsid w:val="005E7702"/>
    <w:rsid w:val="00605F8E"/>
    <w:rsid w:val="006153B6"/>
    <w:rsid w:val="00650543"/>
    <w:rsid w:val="00654D8B"/>
    <w:rsid w:val="00661136"/>
    <w:rsid w:val="0068027B"/>
    <w:rsid w:val="006C42B8"/>
    <w:rsid w:val="006C50C7"/>
    <w:rsid w:val="00713CA9"/>
    <w:rsid w:val="007455C6"/>
    <w:rsid w:val="007475C7"/>
    <w:rsid w:val="0075265A"/>
    <w:rsid w:val="0075498E"/>
    <w:rsid w:val="00757BE5"/>
    <w:rsid w:val="00760E46"/>
    <w:rsid w:val="007643D2"/>
    <w:rsid w:val="007678B2"/>
    <w:rsid w:val="0078776B"/>
    <w:rsid w:val="00796A93"/>
    <w:rsid w:val="007B48C2"/>
    <w:rsid w:val="007E1559"/>
    <w:rsid w:val="007F776E"/>
    <w:rsid w:val="00830C88"/>
    <w:rsid w:val="00861B11"/>
    <w:rsid w:val="008829C2"/>
    <w:rsid w:val="008A54BE"/>
    <w:rsid w:val="008C7B0A"/>
    <w:rsid w:val="008D0642"/>
    <w:rsid w:val="008E745B"/>
    <w:rsid w:val="008F4EA7"/>
    <w:rsid w:val="008F5A10"/>
    <w:rsid w:val="00905ED0"/>
    <w:rsid w:val="0093405B"/>
    <w:rsid w:val="00966189"/>
    <w:rsid w:val="00974434"/>
    <w:rsid w:val="00976B71"/>
    <w:rsid w:val="00977514"/>
    <w:rsid w:val="009A48B0"/>
    <w:rsid w:val="009B24D6"/>
    <w:rsid w:val="009B2F21"/>
    <w:rsid w:val="009B4CFE"/>
    <w:rsid w:val="009C6498"/>
    <w:rsid w:val="009E62AF"/>
    <w:rsid w:val="00A03BBD"/>
    <w:rsid w:val="00A37AB0"/>
    <w:rsid w:val="00A4085F"/>
    <w:rsid w:val="00A45953"/>
    <w:rsid w:val="00A93FBA"/>
    <w:rsid w:val="00A95C7E"/>
    <w:rsid w:val="00AB609D"/>
    <w:rsid w:val="00AC3AB8"/>
    <w:rsid w:val="00AE4348"/>
    <w:rsid w:val="00AE4BAF"/>
    <w:rsid w:val="00B03D5A"/>
    <w:rsid w:val="00B23297"/>
    <w:rsid w:val="00B260F6"/>
    <w:rsid w:val="00B360EE"/>
    <w:rsid w:val="00B53B6F"/>
    <w:rsid w:val="00B651D9"/>
    <w:rsid w:val="00B67231"/>
    <w:rsid w:val="00B73742"/>
    <w:rsid w:val="00B914E6"/>
    <w:rsid w:val="00BA44E1"/>
    <w:rsid w:val="00BC4186"/>
    <w:rsid w:val="00BC5F25"/>
    <w:rsid w:val="00BD7714"/>
    <w:rsid w:val="00BD7C9B"/>
    <w:rsid w:val="00C072F8"/>
    <w:rsid w:val="00C17D79"/>
    <w:rsid w:val="00C24A8A"/>
    <w:rsid w:val="00C54722"/>
    <w:rsid w:val="00C65F70"/>
    <w:rsid w:val="00C96A36"/>
    <w:rsid w:val="00CA350B"/>
    <w:rsid w:val="00CA3F60"/>
    <w:rsid w:val="00CC2EFF"/>
    <w:rsid w:val="00CC4FEF"/>
    <w:rsid w:val="00CD39F1"/>
    <w:rsid w:val="00CF74EF"/>
    <w:rsid w:val="00D02AC8"/>
    <w:rsid w:val="00D0623C"/>
    <w:rsid w:val="00D07271"/>
    <w:rsid w:val="00D16917"/>
    <w:rsid w:val="00DA31CB"/>
    <w:rsid w:val="00DA4488"/>
    <w:rsid w:val="00DC0040"/>
    <w:rsid w:val="00DC0B7B"/>
    <w:rsid w:val="00DC495B"/>
    <w:rsid w:val="00DC7181"/>
    <w:rsid w:val="00DD6F5C"/>
    <w:rsid w:val="00DE6C87"/>
    <w:rsid w:val="00E14A1A"/>
    <w:rsid w:val="00E14E1F"/>
    <w:rsid w:val="00E2730E"/>
    <w:rsid w:val="00E40783"/>
    <w:rsid w:val="00E438AC"/>
    <w:rsid w:val="00E536D5"/>
    <w:rsid w:val="00E60DF5"/>
    <w:rsid w:val="00E80D33"/>
    <w:rsid w:val="00E95D8D"/>
    <w:rsid w:val="00EA6ED5"/>
    <w:rsid w:val="00EB7051"/>
    <w:rsid w:val="00EC68EB"/>
    <w:rsid w:val="00EC7C43"/>
    <w:rsid w:val="00F012E4"/>
    <w:rsid w:val="00F248D2"/>
    <w:rsid w:val="00F27F00"/>
    <w:rsid w:val="00F655F4"/>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AADC9"/>
  <w15:chartTrackingRefBased/>
  <w15:docId w15:val="{5DF58CA0-992F-AB43-9910-974AADA98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3B6"/>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76B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6B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76B7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76B7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76B7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76B7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76B7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76B7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76B7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B71"/>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976B71"/>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976B71"/>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976B71"/>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976B71"/>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976B71"/>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976B71"/>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976B71"/>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976B71"/>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976B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B71"/>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976B7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B71"/>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976B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6B71"/>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976B71"/>
    <w:pPr>
      <w:ind w:left="720"/>
      <w:contextualSpacing/>
    </w:pPr>
  </w:style>
  <w:style w:type="character" w:styleId="IntenseEmphasis">
    <w:name w:val="Intense Emphasis"/>
    <w:basedOn w:val="DefaultParagraphFont"/>
    <w:uiPriority w:val="21"/>
    <w:qFormat/>
    <w:rsid w:val="00976B71"/>
    <w:rPr>
      <w:i/>
      <w:iCs/>
      <w:color w:val="2F5496" w:themeColor="accent1" w:themeShade="BF"/>
    </w:rPr>
  </w:style>
  <w:style w:type="paragraph" w:styleId="IntenseQuote">
    <w:name w:val="Intense Quote"/>
    <w:basedOn w:val="Normal"/>
    <w:next w:val="Normal"/>
    <w:link w:val="IntenseQuoteChar"/>
    <w:uiPriority w:val="30"/>
    <w:qFormat/>
    <w:rsid w:val="00976B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6B71"/>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976B71"/>
    <w:rPr>
      <w:b/>
      <w:bCs/>
      <w:smallCaps/>
      <w:color w:val="2F5496" w:themeColor="accent1" w:themeShade="BF"/>
      <w:spacing w:val="5"/>
    </w:rPr>
  </w:style>
  <w:style w:type="character" w:styleId="Strong">
    <w:name w:val="Strong"/>
    <w:basedOn w:val="DefaultParagraphFont"/>
    <w:uiPriority w:val="22"/>
    <w:qFormat/>
    <w:rsid w:val="00587734"/>
    <w:rPr>
      <w:b/>
      <w:bCs/>
    </w:rPr>
  </w:style>
  <w:style w:type="paragraph" w:styleId="NormalWeb">
    <w:name w:val="Normal (Web)"/>
    <w:basedOn w:val="Normal"/>
    <w:uiPriority w:val="99"/>
    <w:unhideWhenUsed/>
    <w:rsid w:val="00B260F6"/>
    <w:pPr>
      <w:spacing w:before="100" w:beforeAutospacing="1" w:after="100" w:afterAutospacing="1"/>
    </w:pPr>
  </w:style>
  <w:style w:type="character" w:styleId="Emphasis">
    <w:name w:val="Emphasis"/>
    <w:basedOn w:val="DefaultParagraphFont"/>
    <w:uiPriority w:val="20"/>
    <w:qFormat/>
    <w:rsid w:val="00B260F6"/>
    <w:rPr>
      <w:i/>
      <w:iCs/>
    </w:rPr>
  </w:style>
  <w:style w:type="paragraph" w:styleId="FootnoteText">
    <w:name w:val="footnote text"/>
    <w:basedOn w:val="Normal"/>
    <w:link w:val="FootnoteTextChar"/>
    <w:uiPriority w:val="99"/>
    <w:semiHidden/>
    <w:unhideWhenUsed/>
    <w:rsid w:val="00B260F6"/>
    <w:rPr>
      <w:sz w:val="20"/>
      <w:szCs w:val="20"/>
    </w:rPr>
  </w:style>
  <w:style w:type="character" w:customStyle="1" w:styleId="FootnoteTextChar">
    <w:name w:val="Footnote Text Char"/>
    <w:basedOn w:val="DefaultParagraphFont"/>
    <w:link w:val="FootnoteText"/>
    <w:uiPriority w:val="99"/>
    <w:semiHidden/>
    <w:rsid w:val="00B260F6"/>
    <w:rPr>
      <w:rFonts w:ascii="Arial" w:eastAsia="Times New Roman" w:hAnsi="Arial" w:cs="Times New Roman"/>
      <w:kern w:val="0"/>
      <w:sz w:val="20"/>
      <w:szCs w:val="20"/>
      <w:lang w:val="en-GB"/>
      <w14:ligatures w14:val="none"/>
    </w:rPr>
  </w:style>
  <w:style w:type="character" w:styleId="FootnoteReference">
    <w:name w:val="footnote reference"/>
    <w:basedOn w:val="DefaultParagraphFont"/>
    <w:uiPriority w:val="99"/>
    <w:semiHidden/>
    <w:unhideWhenUsed/>
    <w:rsid w:val="00B260F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184523">
      <w:bodyDiv w:val="1"/>
      <w:marLeft w:val="0"/>
      <w:marRight w:val="0"/>
      <w:marTop w:val="0"/>
      <w:marBottom w:val="0"/>
      <w:divBdr>
        <w:top w:val="none" w:sz="0" w:space="0" w:color="auto"/>
        <w:left w:val="none" w:sz="0" w:space="0" w:color="auto"/>
        <w:bottom w:val="none" w:sz="0" w:space="0" w:color="auto"/>
        <w:right w:val="none" w:sz="0" w:space="0" w:color="auto"/>
      </w:divBdr>
    </w:div>
    <w:div w:id="235365086">
      <w:bodyDiv w:val="1"/>
      <w:marLeft w:val="0"/>
      <w:marRight w:val="0"/>
      <w:marTop w:val="0"/>
      <w:marBottom w:val="0"/>
      <w:divBdr>
        <w:top w:val="none" w:sz="0" w:space="0" w:color="auto"/>
        <w:left w:val="none" w:sz="0" w:space="0" w:color="auto"/>
        <w:bottom w:val="none" w:sz="0" w:space="0" w:color="auto"/>
        <w:right w:val="none" w:sz="0" w:space="0" w:color="auto"/>
      </w:divBdr>
      <w:divsChild>
        <w:div w:id="1345550271">
          <w:marLeft w:val="0"/>
          <w:marRight w:val="0"/>
          <w:marTop w:val="0"/>
          <w:marBottom w:val="0"/>
          <w:divBdr>
            <w:top w:val="none" w:sz="0" w:space="0" w:color="auto"/>
            <w:left w:val="none" w:sz="0" w:space="0" w:color="auto"/>
            <w:bottom w:val="none" w:sz="0" w:space="0" w:color="auto"/>
            <w:right w:val="none" w:sz="0" w:space="0" w:color="auto"/>
          </w:divBdr>
          <w:divsChild>
            <w:div w:id="595284566">
              <w:marLeft w:val="0"/>
              <w:marRight w:val="0"/>
              <w:marTop w:val="0"/>
              <w:marBottom w:val="0"/>
              <w:divBdr>
                <w:top w:val="none" w:sz="0" w:space="0" w:color="auto"/>
                <w:left w:val="none" w:sz="0" w:space="0" w:color="auto"/>
                <w:bottom w:val="none" w:sz="0" w:space="0" w:color="auto"/>
                <w:right w:val="none" w:sz="0" w:space="0" w:color="auto"/>
              </w:divBdr>
              <w:divsChild>
                <w:div w:id="1466586626">
                  <w:marLeft w:val="0"/>
                  <w:marRight w:val="0"/>
                  <w:marTop w:val="0"/>
                  <w:marBottom w:val="0"/>
                  <w:divBdr>
                    <w:top w:val="none" w:sz="0" w:space="0" w:color="auto"/>
                    <w:left w:val="none" w:sz="0" w:space="0" w:color="auto"/>
                    <w:bottom w:val="none" w:sz="0" w:space="0" w:color="auto"/>
                    <w:right w:val="none" w:sz="0" w:space="0" w:color="auto"/>
                  </w:divBdr>
                  <w:divsChild>
                    <w:div w:id="138486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223526">
      <w:bodyDiv w:val="1"/>
      <w:marLeft w:val="0"/>
      <w:marRight w:val="0"/>
      <w:marTop w:val="0"/>
      <w:marBottom w:val="0"/>
      <w:divBdr>
        <w:top w:val="none" w:sz="0" w:space="0" w:color="auto"/>
        <w:left w:val="none" w:sz="0" w:space="0" w:color="auto"/>
        <w:bottom w:val="none" w:sz="0" w:space="0" w:color="auto"/>
        <w:right w:val="none" w:sz="0" w:space="0" w:color="auto"/>
      </w:divBdr>
      <w:divsChild>
        <w:div w:id="1294604095">
          <w:marLeft w:val="0"/>
          <w:marRight w:val="0"/>
          <w:marTop w:val="0"/>
          <w:marBottom w:val="0"/>
          <w:divBdr>
            <w:top w:val="none" w:sz="0" w:space="0" w:color="auto"/>
            <w:left w:val="none" w:sz="0" w:space="0" w:color="auto"/>
            <w:bottom w:val="none" w:sz="0" w:space="0" w:color="auto"/>
            <w:right w:val="none" w:sz="0" w:space="0" w:color="auto"/>
          </w:divBdr>
          <w:divsChild>
            <w:div w:id="1566918026">
              <w:marLeft w:val="0"/>
              <w:marRight w:val="0"/>
              <w:marTop w:val="0"/>
              <w:marBottom w:val="0"/>
              <w:divBdr>
                <w:top w:val="none" w:sz="0" w:space="0" w:color="auto"/>
                <w:left w:val="none" w:sz="0" w:space="0" w:color="auto"/>
                <w:bottom w:val="none" w:sz="0" w:space="0" w:color="auto"/>
                <w:right w:val="none" w:sz="0" w:space="0" w:color="auto"/>
              </w:divBdr>
              <w:divsChild>
                <w:div w:id="1546064906">
                  <w:marLeft w:val="0"/>
                  <w:marRight w:val="0"/>
                  <w:marTop w:val="0"/>
                  <w:marBottom w:val="0"/>
                  <w:divBdr>
                    <w:top w:val="none" w:sz="0" w:space="0" w:color="auto"/>
                    <w:left w:val="none" w:sz="0" w:space="0" w:color="auto"/>
                    <w:bottom w:val="none" w:sz="0" w:space="0" w:color="auto"/>
                    <w:right w:val="none" w:sz="0" w:space="0" w:color="auto"/>
                  </w:divBdr>
                </w:div>
              </w:divsChild>
            </w:div>
            <w:div w:id="871648580">
              <w:marLeft w:val="0"/>
              <w:marRight w:val="0"/>
              <w:marTop w:val="0"/>
              <w:marBottom w:val="0"/>
              <w:divBdr>
                <w:top w:val="none" w:sz="0" w:space="0" w:color="auto"/>
                <w:left w:val="none" w:sz="0" w:space="0" w:color="auto"/>
                <w:bottom w:val="none" w:sz="0" w:space="0" w:color="auto"/>
                <w:right w:val="none" w:sz="0" w:space="0" w:color="auto"/>
              </w:divBdr>
              <w:divsChild>
                <w:div w:id="174850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145535">
          <w:marLeft w:val="0"/>
          <w:marRight w:val="0"/>
          <w:marTop w:val="0"/>
          <w:marBottom w:val="0"/>
          <w:divBdr>
            <w:top w:val="none" w:sz="0" w:space="0" w:color="auto"/>
            <w:left w:val="none" w:sz="0" w:space="0" w:color="auto"/>
            <w:bottom w:val="none" w:sz="0" w:space="0" w:color="auto"/>
            <w:right w:val="none" w:sz="0" w:space="0" w:color="auto"/>
          </w:divBdr>
          <w:divsChild>
            <w:div w:id="885527566">
              <w:marLeft w:val="0"/>
              <w:marRight w:val="0"/>
              <w:marTop w:val="0"/>
              <w:marBottom w:val="0"/>
              <w:divBdr>
                <w:top w:val="none" w:sz="0" w:space="0" w:color="auto"/>
                <w:left w:val="none" w:sz="0" w:space="0" w:color="auto"/>
                <w:bottom w:val="none" w:sz="0" w:space="0" w:color="auto"/>
                <w:right w:val="none" w:sz="0" w:space="0" w:color="auto"/>
              </w:divBdr>
              <w:divsChild>
                <w:div w:id="1463695322">
                  <w:marLeft w:val="0"/>
                  <w:marRight w:val="0"/>
                  <w:marTop w:val="0"/>
                  <w:marBottom w:val="0"/>
                  <w:divBdr>
                    <w:top w:val="none" w:sz="0" w:space="0" w:color="auto"/>
                    <w:left w:val="none" w:sz="0" w:space="0" w:color="auto"/>
                    <w:bottom w:val="none" w:sz="0" w:space="0" w:color="auto"/>
                    <w:right w:val="none" w:sz="0" w:space="0" w:color="auto"/>
                  </w:divBdr>
                </w:div>
              </w:divsChild>
            </w:div>
            <w:div w:id="540941162">
              <w:marLeft w:val="0"/>
              <w:marRight w:val="0"/>
              <w:marTop w:val="0"/>
              <w:marBottom w:val="0"/>
              <w:divBdr>
                <w:top w:val="none" w:sz="0" w:space="0" w:color="auto"/>
                <w:left w:val="none" w:sz="0" w:space="0" w:color="auto"/>
                <w:bottom w:val="none" w:sz="0" w:space="0" w:color="auto"/>
                <w:right w:val="none" w:sz="0" w:space="0" w:color="auto"/>
              </w:divBdr>
              <w:divsChild>
                <w:div w:id="152548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465486">
      <w:bodyDiv w:val="1"/>
      <w:marLeft w:val="0"/>
      <w:marRight w:val="0"/>
      <w:marTop w:val="0"/>
      <w:marBottom w:val="0"/>
      <w:divBdr>
        <w:top w:val="none" w:sz="0" w:space="0" w:color="auto"/>
        <w:left w:val="none" w:sz="0" w:space="0" w:color="auto"/>
        <w:bottom w:val="none" w:sz="0" w:space="0" w:color="auto"/>
        <w:right w:val="none" w:sz="0" w:space="0" w:color="auto"/>
      </w:divBdr>
    </w:div>
    <w:div w:id="587157179">
      <w:bodyDiv w:val="1"/>
      <w:marLeft w:val="0"/>
      <w:marRight w:val="0"/>
      <w:marTop w:val="0"/>
      <w:marBottom w:val="0"/>
      <w:divBdr>
        <w:top w:val="none" w:sz="0" w:space="0" w:color="auto"/>
        <w:left w:val="none" w:sz="0" w:space="0" w:color="auto"/>
        <w:bottom w:val="none" w:sz="0" w:space="0" w:color="auto"/>
        <w:right w:val="none" w:sz="0" w:space="0" w:color="auto"/>
      </w:divBdr>
    </w:div>
    <w:div w:id="610475231">
      <w:bodyDiv w:val="1"/>
      <w:marLeft w:val="0"/>
      <w:marRight w:val="0"/>
      <w:marTop w:val="0"/>
      <w:marBottom w:val="0"/>
      <w:divBdr>
        <w:top w:val="none" w:sz="0" w:space="0" w:color="auto"/>
        <w:left w:val="none" w:sz="0" w:space="0" w:color="auto"/>
        <w:bottom w:val="none" w:sz="0" w:space="0" w:color="auto"/>
        <w:right w:val="none" w:sz="0" w:space="0" w:color="auto"/>
      </w:divBdr>
    </w:div>
    <w:div w:id="873227241">
      <w:bodyDiv w:val="1"/>
      <w:marLeft w:val="0"/>
      <w:marRight w:val="0"/>
      <w:marTop w:val="0"/>
      <w:marBottom w:val="0"/>
      <w:divBdr>
        <w:top w:val="none" w:sz="0" w:space="0" w:color="auto"/>
        <w:left w:val="none" w:sz="0" w:space="0" w:color="auto"/>
        <w:bottom w:val="none" w:sz="0" w:space="0" w:color="auto"/>
        <w:right w:val="none" w:sz="0" w:space="0" w:color="auto"/>
      </w:divBdr>
    </w:div>
    <w:div w:id="915941460">
      <w:bodyDiv w:val="1"/>
      <w:marLeft w:val="0"/>
      <w:marRight w:val="0"/>
      <w:marTop w:val="0"/>
      <w:marBottom w:val="0"/>
      <w:divBdr>
        <w:top w:val="none" w:sz="0" w:space="0" w:color="auto"/>
        <w:left w:val="none" w:sz="0" w:space="0" w:color="auto"/>
        <w:bottom w:val="none" w:sz="0" w:space="0" w:color="auto"/>
        <w:right w:val="none" w:sz="0" w:space="0" w:color="auto"/>
      </w:divBdr>
      <w:divsChild>
        <w:div w:id="622493586">
          <w:marLeft w:val="0"/>
          <w:marRight w:val="0"/>
          <w:marTop w:val="0"/>
          <w:marBottom w:val="0"/>
          <w:divBdr>
            <w:top w:val="none" w:sz="0" w:space="0" w:color="auto"/>
            <w:left w:val="none" w:sz="0" w:space="0" w:color="auto"/>
            <w:bottom w:val="none" w:sz="0" w:space="0" w:color="auto"/>
            <w:right w:val="none" w:sz="0" w:space="0" w:color="auto"/>
          </w:divBdr>
          <w:divsChild>
            <w:div w:id="1667706887">
              <w:marLeft w:val="0"/>
              <w:marRight w:val="0"/>
              <w:marTop w:val="0"/>
              <w:marBottom w:val="0"/>
              <w:divBdr>
                <w:top w:val="none" w:sz="0" w:space="0" w:color="auto"/>
                <w:left w:val="none" w:sz="0" w:space="0" w:color="auto"/>
                <w:bottom w:val="none" w:sz="0" w:space="0" w:color="auto"/>
                <w:right w:val="none" w:sz="0" w:space="0" w:color="auto"/>
              </w:divBdr>
              <w:divsChild>
                <w:div w:id="1795058451">
                  <w:marLeft w:val="0"/>
                  <w:marRight w:val="0"/>
                  <w:marTop w:val="0"/>
                  <w:marBottom w:val="0"/>
                  <w:divBdr>
                    <w:top w:val="none" w:sz="0" w:space="0" w:color="auto"/>
                    <w:left w:val="none" w:sz="0" w:space="0" w:color="auto"/>
                    <w:bottom w:val="none" w:sz="0" w:space="0" w:color="auto"/>
                    <w:right w:val="none" w:sz="0" w:space="0" w:color="auto"/>
                  </w:divBdr>
                  <w:divsChild>
                    <w:div w:id="101333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082362">
      <w:bodyDiv w:val="1"/>
      <w:marLeft w:val="0"/>
      <w:marRight w:val="0"/>
      <w:marTop w:val="0"/>
      <w:marBottom w:val="0"/>
      <w:divBdr>
        <w:top w:val="none" w:sz="0" w:space="0" w:color="auto"/>
        <w:left w:val="none" w:sz="0" w:space="0" w:color="auto"/>
        <w:bottom w:val="none" w:sz="0" w:space="0" w:color="auto"/>
        <w:right w:val="none" w:sz="0" w:space="0" w:color="auto"/>
      </w:divBdr>
    </w:div>
    <w:div w:id="1018772012">
      <w:bodyDiv w:val="1"/>
      <w:marLeft w:val="0"/>
      <w:marRight w:val="0"/>
      <w:marTop w:val="0"/>
      <w:marBottom w:val="0"/>
      <w:divBdr>
        <w:top w:val="none" w:sz="0" w:space="0" w:color="auto"/>
        <w:left w:val="none" w:sz="0" w:space="0" w:color="auto"/>
        <w:bottom w:val="none" w:sz="0" w:space="0" w:color="auto"/>
        <w:right w:val="none" w:sz="0" w:space="0" w:color="auto"/>
      </w:divBdr>
      <w:divsChild>
        <w:div w:id="1502161504">
          <w:marLeft w:val="0"/>
          <w:marRight w:val="0"/>
          <w:marTop w:val="0"/>
          <w:marBottom w:val="0"/>
          <w:divBdr>
            <w:top w:val="none" w:sz="0" w:space="0" w:color="auto"/>
            <w:left w:val="none" w:sz="0" w:space="0" w:color="auto"/>
            <w:bottom w:val="none" w:sz="0" w:space="0" w:color="auto"/>
            <w:right w:val="none" w:sz="0" w:space="0" w:color="auto"/>
          </w:divBdr>
          <w:divsChild>
            <w:div w:id="464735683">
              <w:marLeft w:val="0"/>
              <w:marRight w:val="0"/>
              <w:marTop w:val="0"/>
              <w:marBottom w:val="0"/>
              <w:divBdr>
                <w:top w:val="none" w:sz="0" w:space="0" w:color="auto"/>
                <w:left w:val="none" w:sz="0" w:space="0" w:color="auto"/>
                <w:bottom w:val="none" w:sz="0" w:space="0" w:color="auto"/>
                <w:right w:val="none" w:sz="0" w:space="0" w:color="auto"/>
              </w:divBdr>
              <w:divsChild>
                <w:div w:id="1611087457">
                  <w:marLeft w:val="0"/>
                  <w:marRight w:val="0"/>
                  <w:marTop w:val="0"/>
                  <w:marBottom w:val="0"/>
                  <w:divBdr>
                    <w:top w:val="none" w:sz="0" w:space="0" w:color="auto"/>
                    <w:left w:val="none" w:sz="0" w:space="0" w:color="auto"/>
                    <w:bottom w:val="none" w:sz="0" w:space="0" w:color="auto"/>
                    <w:right w:val="none" w:sz="0" w:space="0" w:color="auto"/>
                  </w:divBdr>
                  <w:divsChild>
                    <w:div w:id="77366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808697">
      <w:bodyDiv w:val="1"/>
      <w:marLeft w:val="0"/>
      <w:marRight w:val="0"/>
      <w:marTop w:val="0"/>
      <w:marBottom w:val="0"/>
      <w:divBdr>
        <w:top w:val="none" w:sz="0" w:space="0" w:color="auto"/>
        <w:left w:val="none" w:sz="0" w:space="0" w:color="auto"/>
        <w:bottom w:val="none" w:sz="0" w:space="0" w:color="auto"/>
        <w:right w:val="none" w:sz="0" w:space="0" w:color="auto"/>
      </w:divBdr>
    </w:div>
    <w:div w:id="1171456803">
      <w:bodyDiv w:val="1"/>
      <w:marLeft w:val="0"/>
      <w:marRight w:val="0"/>
      <w:marTop w:val="0"/>
      <w:marBottom w:val="0"/>
      <w:divBdr>
        <w:top w:val="none" w:sz="0" w:space="0" w:color="auto"/>
        <w:left w:val="none" w:sz="0" w:space="0" w:color="auto"/>
        <w:bottom w:val="none" w:sz="0" w:space="0" w:color="auto"/>
        <w:right w:val="none" w:sz="0" w:space="0" w:color="auto"/>
      </w:divBdr>
      <w:divsChild>
        <w:div w:id="36245257">
          <w:marLeft w:val="0"/>
          <w:marRight w:val="0"/>
          <w:marTop w:val="0"/>
          <w:marBottom w:val="0"/>
          <w:divBdr>
            <w:top w:val="none" w:sz="0" w:space="0" w:color="auto"/>
            <w:left w:val="none" w:sz="0" w:space="0" w:color="auto"/>
            <w:bottom w:val="none" w:sz="0" w:space="0" w:color="auto"/>
            <w:right w:val="none" w:sz="0" w:space="0" w:color="auto"/>
          </w:divBdr>
          <w:divsChild>
            <w:div w:id="1741519023">
              <w:marLeft w:val="0"/>
              <w:marRight w:val="0"/>
              <w:marTop w:val="0"/>
              <w:marBottom w:val="0"/>
              <w:divBdr>
                <w:top w:val="none" w:sz="0" w:space="0" w:color="auto"/>
                <w:left w:val="none" w:sz="0" w:space="0" w:color="auto"/>
                <w:bottom w:val="none" w:sz="0" w:space="0" w:color="auto"/>
                <w:right w:val="none" w:sz="0" w:space="0" w:color="auto"/>
              </w:divBdr>
              <w:divsChild>
                <w:div w:id="190837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421714">
      <w:bodyDiv w:val="1"/>
      <w:marLeft w:val="0"/>
      <w:marRight w:val="0"/>
      <w:marTop w:val="0"/>
      <w:marBottom w:val="0"/>
      <w:divBdr>
        <w:top w:val="none" w:sz="0" w:space="0" w:color="auto"/>
        <w:left w:val="none" w:sz="0" w:space="0" w:color="auto"/>
        <w:bottom w:val="none" w:sz="0" w:space="0" w:color="auto"/>
        <w:right w:val="none" w:sz="0" w:space="0" w:color="auto"/>
      </w:divBdr>
      <w:divsChild>
        <w:div w:id="1386107161">
          <w:marLeft w:val="0"/>
          <w:marRight w:val="0"/>
          <w:marTop w:val="0"/>
          <w:marBottom w:val="0"/>
          <w:divBdr>
            <w:top w:val="none" w:sz="0" w:space="0" w:color="auto"/>
            <w:left w:val="none" w:sz="0" w:space="0" w:color="auto"/>
            <w:bottom w:val="none" w:sz="0" w:space="0" w:color="auto"/>
            <w:right w:val="none" w:sz="0" w:space="0" w:color="auto"/>
          </w:divBdr>
          <w:divsChild>
            <w:div w:id="725186070">
              <w:marLeft w:val="0"/>
              <w:marRight w:val="0"/>
              <w:marTop w:val="0"/>
              <w:marBottom w:val="0"/>
              <w:divBdr>
                <w:top w:val="none" w:sz="0" w:space="0" w:color="auto"/>
                <w:left w:val="none" w:sz="0" w:space="0" w:color="auto"/>
                <w:bottom w:val="none" w:sz="0" w:space="0" w:color="auto"/>
                <w:right w:val="none" w:sz="0" w:space="0" w:color="auto"/>
              </w:divBdr>
              <w:divsChild>
                <w:div w:id="77991011">
                  <w:marLeft w:val="0"/>
                  <w:marRight w:val="0"/>
                  <w:marTop w:val="0"/>
                  <w:marBottom w:val="0"/>
                  <w:divBdr>
                    <w:top w:val="none" w:sz="0" w:space="0" w:color="auto"/>
                    <w:left w:val="none" w:sz="0" w:space="0" w:color="auto"/>
                    <w:bottom w:val="none" w:sz="0" w:space="0" w:color="auto"/>
                    <w:right w:val="none" w:sz="0" w:space="0" w:color="auto"/>
                  </w:divBdr>
                  <w:divsChild>
                    <w:div w:id="94268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287179">
      <w:bodyDiv w:val="1"/>
      <w:marLeft w:val="0"/>
      <w:marRight w:val="0"/>
      <w:marTop w:val="0"/>
      <w:marBottom w:val="0"/>
      <w:divBdr>
        <w:top w:val="none" w:sz="0" w:space="0" w:color="auto"/>
        <w:left w:val="none" w:sz="0" w:space="0" w:color="auto"/>
        <w:bottom w:val="none" w:sz="0" w:space="0" w:color="auto"/>
        <w:right w:val="none" w:sz="0" w:space="0" w:color="auto"/>
      </w:divBdr>
      <w:divsChild>
        <w:div w:id="1838963427">
          <w:marLeft w:val="0"/>
          <w:marRight w:val="0"/>
          <w:marTop w:val="0"/>
          <w:marBottom w:val="0"/>
          <w:divBdr>
            <w:top w:val="none" w:sz="0" w:space="0" w:color="auto"/>
            <w:left w:val="none" w:sz="0" w:space="0" w:color="auto"/>
            <w:bottom w:val="none" w:sz="0" w:space="0" w:color="auto"/>
            <w:right w:val="none" w:sz="0" w:space="0" w:color="auto"/>
          </w:divBdr>
          <w:divsChild>
            <w:div w:id="1764691985">
              <w:marLeft w:val="0"/>
              <w:marRight w:val="0"/>
              <w:marTop w:val="0"/>
              <w:marBottom w:val="0"/>
              <w:divBdr>
                <w:top w:val="none" w:sz="0" w:space="0" w:color="auto"/>
                <w:left w:val="none" w:sz="0" w:space="0" w:color="auto"/>
                <w:bottom w:val="none" w:sz="0" w:space="0" w:color="auto"/>
                <w:right w:val="none" w:sz="0" w:space="0" w:color="auto"/>
              </w:divBdr>
              <w:divsChild>
                <w:div w:id="528881371">
                  <w:marLeft w:val="0"/>
                  <w:marRight w:val="0"/>
                  <w:marTop w:val="0"/>
                  <w:marBottom w:val="0"/>
                  <w:divBdr>
                    <w:top w:val="none" w:sz="0" w:space="0" w:color="auto"/>
                    <w:left w:val="none" w:sz="0" w:space="0" w:color="auto"/>
                    <w:bottom w:val="none" w:sz="0" w:space="0" w:color="auto"/>
                    <w:right w:val="none" w:sz="0" w:space="0" w:color="auto"/>
                  </w:divBdr>
                  <w:divsChild>
                    <w:div w:id="127856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6806062">
      <w:bodyDiv w:val="1"/>
      <w:marLeft w:val="0"/>
      <w:marRight w:val="0"/>
      <w:marTop w:val="0"/>
      <w:marBottom w:val="0"/>
      <w:divBdr>
        <w:top w:val="none" w:sz="0" w:space="0" w:color="auto"/>
        <w:left w:val="none" w:sz="0" w:space="0" w:color="auto"/>
        <w:bottom w:val="none" w:sz="0" w:space="0" w:color="auto"/>
        <w:right w:val="none" w:sz="0" w:space="0" w:color="auto"/>
      </w:divBdr>
    </w:div>
    <w:div w:id="1397242546">
      <w:bodyDiv w:val="1"/>
      <w:marLeft w:val="0"/>
      <w:marRight w:val="0"/>
      <w:marTop w:val="0"/>
      <w:marBottom w:val="0"/>
      <w:divBdr>
        <w:top w:val="none" w:sz="0" w:space="0" w:color="auto"/>
        <w:left w:val="none" w:sz="0" w:space="0" w:color="auto"/>
        <w:bottom w:val="none" w:sz="0" w:space="0" w:color="auto"/>
        <w:right w:val="none" w:sz="0" w:space="0" w:color="auto"/>
      </w:divBdr>
      <w:divsChild>
        <w:div w:id="893781088">
          <w:marLeft w:val="0"/>
          <w:marRight w:val="0"/>
          <w:marTop w:val="0"/>
          <w:marBottom w:val="0"/>
          <w:divBdr>
            <w:top w:val="none" w:sz="0" w:space="0" w:color="auto"/>
            <w:left w:val="none" w:sz="0" w:space="0" w:color="auto"/>
            <w:bottom w:val="none" w:sz="0" w:space="0" w:color="auto"/>
            <w:right w:val="none" w:sz="0" w:space="0" w:color="auto"/>
          </w:divBdr>
          <w:divsChild>
            <w:div w:id="840045694">
              <w:marLeft w:val="0"/>
              <w:marRight w:val="0"/>
              <w:marTop w:val="0"/>
              <w:marBottom w:val="0"/>
              <w:divBdr>
                <w:top w:val="none" w:sz="0" w:space="0" w:color="auto"/>
                <w:left w:val="none" w:sz="0" w:space="0" w:color="auto"/>
                <w:bottom w:val="none" w:sz="0" w:space="0" w:color="auto"/>
                <w:right w:val="none" w:sz="0" w:space="0" w:color="auto"/>
              </w:divBdr>
              <w:divsChild>
                <w:div w:id="1917591018">
                  <w:marLeft w:val="0"/>
                  <w:marRight w:val="0"/>
                  <w:marTop w:val="0"/>
                  <w:marBottom w:val="0"/>
                  <w:divBdr>
                    <w:top w:val="none" w:sz="0" w:space="0" w:color="auto"/>
                    <w:left w:val="none" w:sz="0" w:space="0" w:color="auto"/>
                    <w:bottom w:val="none" w:sz="0" w:space="0" w:color="auto"/>
                    <w:right w:val="none" w:sz="0" w:space="0" w:color="auto"/>
                  </w:divBdr>
                  <w:divsChild>
                    <w:div w:id="141539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855649">
      <w:bodyDiv w:val="1"/>
      <w:marLeft w:val="0"/>
      <w:marRight w:val="0"/>
      <w:marTop w:val="0"/>
      <w:marBottom w:val="0"/>
      <w:divBdr>
        <w:top w:val="none" w:sz="0" w:space="0" w:color="auto"/>
        <w:left w:val="none" w:sz="0" w:space="0" w:color="auto"/>
        <w:bottom w:val="none" w:sz="0" w:space="0" w:color="auto"/>
        <w:right w:val="none" w:sz="0" w:space="0" w:color="auto"/>
      </w:divBdr>
    </w:div>
    <w:div w:id="2065257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9EEA9C-48F1-E84B-B229-70A8C03F3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1126</Words>
  <Characters>6422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2024-12-03T22:10:00Z</dcterms:created>
  <dcterms:modified xsi:type="dcterms:W3CDTF">2024-12-12T15:12:00Z</dcterms:modified>
</cp:coreProperties>
</file>