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6D62D8" w14:textId="77777777" w:rsidR="00A24974" w:rsidRPr="00A24974" w:rsidRDefault="00A24974" w:rsidP="00B40DA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A24974">
        <w:rPr>
          <w:rFonts w:ascii="Times New Roman" w:hAnsi="Times New Roman"/>
          <w:b/>
          <w:bCs/>
          <w:lang w:val="en-HK"/>
        </w:rPr>
        <w:t>Introduction</w:t>
      </w:r>
    </w:p>
    <w:p w14:paraId="2075C2BA" w14:textId="77777777" w:rsidR="00A24974" w:rsidRPr="00A24974" w:rsidRDefault="00A24974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24974">
        <w:rPr>
          <w:rFonts w:ascii="Times New Roman" w:hAnsi="Times New Roman"/>
          <w:b/>
          <w:bCs/>
          <w:lang w:val="en-HK"/>
        </w:rPr>
        <w:t>Context</w:t>
      </w:r>
      <w:r w:rsidRPr="00A24974">
        <w:rPr>
          <w:rFonts w:ascii="Times New Roman" w:hAnsi="Times New Roman"/>
          <w:lang w:val="en-HK"/>
        </w:rPr>
        <w:t>:</w:t>
      </w:r>
    </w:p>
    <w:p w14:paraId="60BC0D45" w14:textId="256F7D13" w:rsidR="00A24974" w:rsidRPr="00A24974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A24974" w:rsidRPr="00A24974">
        <w:rPr>
          <w:rFonts w:ascii="Times New Roman" w:hAnsi="Times New Roman"/>
          <w:lang w:val="en-HK"/>
        </w:rPr>
        <w:t>UK law has no general liability for omissions; a duty of care must be proven to establish omissions liability (</w:t>
      </w:r>
      <w:r w:rsidR="00A24974" w:rsidRPr="00A24974">
        <w:rPr>
          <w:rFonts w:ascii="Times New Roman" w:hAnsi="Times New Roman"/>
          <w:i/>
          <w:iCs/>
          <w:lang w:val="en-HK"/>
        </w:rPr>
        <w:t>Stone and Dobinson</w:t>
      </w:r>
      <w:r w:rsidR="00A24974" w:rsidRPr="00A24974">
        <w:rPr>
          <w:rFonts w:ascii="Times New Roman" w:hAnsi="Times New Roman"/>
          <w:lang w:val="en-HK"/>
        </w:rPr>
        <w:t xml:space="preserve"> [1977]; </w:t>
      </w:r>
      <w:r w:rsidR="00A24974" w:rsidRPr="00A24974">
        <w:rPr>
          <w:rFonts w:ascii="Times New Roman" w:hAnsi="Times New Roman"/>
          <w:i/>
          <w:iCs/>
          <w:lang w:val="en-HK"/>
        </w:rPr>
        <w:t>Miller</w:t>
      </w:r>
      <w:r w:rsidR="00A24974" w:rsidRPr="00A24974">
        <w:rPr>
          <w:rFonts w:ascii="Times New Roman" w:hAnsi="Times New Roman"/>
          <w:lang w:val="en-HK"/>
        </w:rPr>
        <w:t xml:space="preserve"> [1983]).</w:t>
      </w:r>
    </w:p>
    <w:p w14:paraId="2955F6A5" w14:textId="36C2ABBF" w:rsidR="00A24974" w:rsidRPr="00A24974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A24974" w:rsidRPr="00A24974">
        <w:rPr>
          <w:rFonts w:ascii="Times New Roman" w:hAnsi="Times New Roman"/>
          <w:lang w:val="en-HK"/>
        </w:rPr>
        <w:t>The focus is on "drug homicide" cases, where drug suppliers or intermediaries may owe duties when users overdose.</w:t>
      </w:r>
    </w:p>
    <w:p w14:paraId="4D23C891" w14:textId="77777777" w:rsidR="00B40DAB" w:rsidRPr="00B40DAB" w:rsidRDefault="00A24974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24974">
        <w:rPr>
          <w:rFonts w:ascii="Times New Roman" w:hAnsi="Times New Roman"/>
          <w:b/>
          <w:bCs/>
          <w:lang w:val="en-HK"/>
        </w:rPr>
        <w:t>Principles of Gross Negligence Manslaughter</w:t>
      </w:r>
      <w:r w:rsidRPr="00A24974">
        <w:rPr>
          <w:rFonts w:ascii="Times New Roman" w:hAnsi="Times New Roman"/>
          <w:lang w:val="en-HK"/>
        </w:rPr>
        <w:t xml:space="preserve"> (</w:t>
      </w:r>
      <w:r w:rsidRPr="00A24974">
        <w:rPr>
          <w:rFonts w:ascii="Times New Roman" w:hAnsi="Times New Roman"/>
          <w:i/>
          <w:iCs/>
          <w:lang w:val="en-HK"/>
        </w:rPr>
        <w:t>Adomako</w:t>
      </w:r>
      <w:r w:rsidRPr="00A24974">
        <w:rPr>
          <w:rFonts w:ascii="Times New Roman" w:hAnsi="Times New Roman"/>
          <w:lang w:val="en-HK"/>
        </w:rPr>
        <w:t xml:space="preserve"> [1995]):</w:t>
      </w:r>
    </w:p>
    <w:p w14:paraId="7ED3CD70" w14:textId="079AB56C" w:rsidR="00A24974" w:rsidRPr="00A24974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1. </w:t>
      </w:r>
      <w:r w:rsidR="00A24974" w:rsidRPr="00A24974">
        <w:rPr>
          <w:rFonts w:ascii="Times New Roman" w:hAnsi="Times New Roman"/>
          <w:lang w:val="en-HK"/>
        </w:rPr>
        <w:t>Defendant owed the victim a duty of care.</w:t>
      </w:r>
    </w:p>
    <w:p w14:paraId="1E7D4F9B" w14:textId="7B04143F" w:rsidR="00A24974" w:rsidRPr="00A24974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2. </w:t>
      </w:r>
      <w:r w:rsidR="00A24974" w:rsidRPr="00A24974">
        <w:rPr>
          <w:rFonts w:ascii="Times New Roman" w:hAnsi="Times New Roman"/>
          <w:lang w:val="en-HK"/>
        </w:rPr>
        <w:t>Breach of that duty.</w:t>
      </w:r>
    </w:p>
    <w:p w14:paraId="4863A1D5" w14:textId="1067272C" w:rsidR="00A24974" w:rsidRPr="00A24974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3. </w:t>
      </w:r>
      <w:r w:rsidR="00A24974" w:rsidRPr="00A24974">
        <w:rPr>
          <w:rFonts w:ascii="Times New Roman" w:hAnsi="Times New Roman"/>
          <w:lang w:val="en-HK"/>
        </w:rPr>
        <w:t>Breach caused the victim's death.</w:t>
      </w:r>
    </w:p>
    <w:p w14:paraId="31444EE2" w14:textId="0E8AB307" w:rsidR="00A24974" w:rsidRPr="00A24974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4. </w:t>
      </w:r>
      <w:r w:rsidR="00A24974" w:rsidRPr="00A24974">
        <w:rPr>
          <w:rFonts w:ascii="Times New Roman" w:hAnsi="Times New Roman"/>
          <w:lang w:val="en-HK"/>
        </w:rPr>
        <w:t>Negligence was gross enough to constitute a crime.</w:t>
      </w:r>
    </w:p>
    <w:p w14:paraId="2492FA29" w14:textId="77777777" w:rsidR="00A24974" w:rsidRPr="00A24974" w:rsidRDefault="00A24974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24974">
        <w:rPr>
          <w:rFonts w:ascii="Times New Roman" w:hAnsi="Times New Roman"/>
          <w:b/>
          <w:bCs/>
          <w:lang w:val="en-HK"/>
        </w:rPr>
        <w:t>Unlawful Act vs. Gross Negligence Manslaughter</w:t>
      </w:r>
      <w:r w:rsidRPr="00A24974">
        <w:rPr>
          <w:rFonts w:ascii="Times New Roman" w:hAnsi="Times New Roman"/>
          <w:lang w:val="en-HK"/>
        </w:rPr>
        <w:t>:</w:t>
      </w:r>
    </w:p>
    <w:p w14:paraId="3593CA5E" w14:textId="61AE084F" w:rsidR="00A24974" w:rsidRPr="00A24974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A24974" w:rsidRPr="00A24974">
        <w:rPr>
          <w:rFonts w:ascii="Times New Roman" w:hAnsi="Times New Roman"/>
          <w:lang w:val="en-HK"/>
        </w:rPr>
        <w:t xml:space="preserve">Unlawful act manslaughter requires an act (e.g., </w:t>
      </w:r>
      <w:r w:rsidR="00A24974" w:rsidRPr="00A24974">
        <w:rPr>
          <w:rFonts w:ascii="Times New Roman" w:hAnsi="Times New Roman"/>
          <w:i/>
          <w:iCs/>
          <w:lang w:val="en-HK"/>
        </w:rPr>
        <w:t>Lowe</w:t>
      </w:r>
      <w:r w:rsidR="00A24974" w:rsidRPr="00A24974">
        <w:rPr>
          <w:rFonts w:ascii="Times New Roman" w:hAnsi="Times New Roman"/>
          <w:lang w:val="en-HK"/>
        </w:rPr>
        <w:t xml:space="preserve"> [1973]), whereas gross negligence allows for omissions when a duty exists.</w:t>
      </w:r>
    </w:p>
    <w:p w14:paraId="01C738F7" w14:textId="46942BF7" w:rsidR="00A24974" w:rsidRPr="00A24974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A24974" w:rsidRPr="00A24974">
        <w:rPr>
          <w:rFonts w:ascii="Times New Roman" w:hAnsi="Times New Roman"/>
          <w:lang w:val="en-HK"/>
        </w:rPr>
        <w:t>Judicial clarity provided by Lord Diplock (</w:t>
      </w:r>
      <w:r w:rsidR="00A24974" w:rsidRPr="00A24974">
        <w:rPr>
          <w:rFonts w:ascii="Times New Roman" w:hAnsi="Times New Roman"/>
          <w:i/>
          <w:iCs/>
          <w:lang w:val="en-HK"/>
        </w:rPr>
        <w:t>Miller</w:t>
      </w:r>
      <w:r w:rsidR="00A24974" w:rsidRPr="00A24974">
        <w:rPr>
          <w:rFonts w:ascii="Times New Roman" w:hAnsi="Times New Roman"/>
          <w:lang w:val="en-HK"/>
        </w:rPr>
        <w:t>): Failure to counteract dangers one has created incurs liability.</w:t>
      </w:r>
    </w:p>
    <w:p w14:paraId="52E113C7" w14:textId="17DE6E40" w:rsidR="00A24974" w:rsidRPr="00A24974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A24974" w:rsidRPr="00A24974">
        <w:rPr>
          <w:rFonts w:ascii="Times New Roman" w:hAnsi="Times New Roman"/>
          <w:lang w:val="en-HK"/>
        </w:rPr>
        <w:t>Lord Bingham (</w:t>
      </w:r>
      <w:r w:rsidR="00A24974" w:rsidRPr="00A24974">
        <w:rPr>
          <w:rFonts w:ascii="Times New Roman" w:hAnsi="Times New Roman"/>
          <w:i/>
          <w:iCs/>
          <w:lang w:val="en-HK"/>
        </w:rPr>
        <w:t>Kennedy (No. 2)</w:t>
      </w:r>
      <w:r w:rsidR="00A24974" w:rsidRPr="00A24974">
        <w:rPr>
          <w:rFonts w:ascii="Times New Roman" w:hAnsi="Times New Roman"/>
          <w:lang w:val="en-HK"/>
        </w:rPr>
        <w:t xml:space="preserve"> [2007]): Voluntary self-administration of drugs breaks causation in unlawful act manslaughter but leaves gross negligence manslaughter unaddressed.</w:t>
      </w:r>
    </w:p>
    <w:p w14:paraId="1FC08E0B" w14:textId="77777777" w:rsidR="00A24974" w:rsidRPr="00A24974" w:rsidRDefault="00A24974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24974">
        <w:rPr>
          <w:rFonts w:ascii="Times New Roman" w:hAnsi="Times New Roman"/>
          <w:b/>
          <w:bCs/>
          <w:lang w:val="en-HK"/>
        </w:rPr>
        <w:t>Statutory Duties</w:t>
      </w:r>
      <w:r w:rsidRPr="00A24974">
        <w:rPr>
          <w:rFonts w:ascii="Times New Roman" w:hAnsi="Times New Roman"/>
          <w:lang w:val="en-HK"/>
        </w:rPr>
        <w:t>:</w:t>
      </w:r>
    </w:p>
    <w:p w14:paraId="3915F0D2" w14:textId="4BCC8690" w:rsidR="00A24974" w:rsidRPr="00A24974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i/>
          <w:iCs/>
          <w:lang w:val="en-HK"/>
        </w:rPr>
        <w:t xml:space="preserve">- </w:t>
      </w:r>
      <w:r w:rsidR="00A24974" w:rsidRPr="00A24974">
        <w:rPr>
          <w:rFonts w:ascii="Times New Roman" w:hAnsi="Times New Roman"/>
          <w:i/>
          <w:iCs/>
          <w:lang w:val="en-HK"/>
        </w:rPr>
        <w:t>Domestic Violence, Crime and Victims Act 2004</w:t>
      </w:r>
      <w:r w:rsidR="00A24974" w:rsidRPr="00A24974">
        <w:rPr>
          <w:rFonts w:ascii="Times New Roman" w:hAnsi="Times New Roman"/>
          <w:lang w:val="en-HK"/>
        </w:rPr>
        <w:t>: Imposes duties to protect children or vulnerable adults.</w:t>
      </w:r>
    </w:p>
    <w:p w14:paraId="19C4844E" w14:textId="12853226" w:rsidR="00A24974" w:rsidRPr="00A24974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i/>
          <w:iCs/>
          <w:lang w:val="en-HK"/>
        </w:rPr>
        <w:t xml:space="preserve">- </w:t>
      </w:r>
      <w:r w:rsidR="00A24974" w:rsidRPr="00A24974">
        <w:rPr>
          <w:rFonts w:ascii="Times New Roman" w:hAnsi="Times New Roman"/>
          <w:i/>
          <w:iCs/>
          <w:lang w:val="en-HK"/>
        </w:rPr>
        <w:t>Mental Capacity Act 2005</w:t>
      </w:r>
      <w:r w:rsidR="00A24974" w:rsidRPr="00A24974">
        <w:rPr>
          <w:rFonts w:ascii="Times New Roman" w:hAnsi="Times New Roman"/>
          <w:lang w:val="en-HK"/>
        </w:rPr>
        <w:t>: Criminalizes neglect of those lacking capacity.</w:t>
      </w:r>
    </w:p>
    <w:p w14:paraId="3F18EC99" w14:textId="3C715C9A" w:rsidR="00A24974" w:rsidRPr="00A24974" w:rsidRDefault="00A24974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24974">
        <w:rPr>
          <w:rFonts w:ascii="Times New Roman" w:hAnsi="Times New Roman"/>
          <w:b/>
          <w:bCs/>
          <w:lang w:val="en-HK"/>
        </w:rPr>
        <w:lastRenderedPageBreak/>
        <w:t>Cases Cited</w:t>
      </w:r>
      <w:r w:rsidRPr="00A24974">
        <w:rPr>
          <w:rFonts w:ascii="Times New Roman" w:hAnsi="Times New Roman"/>
          <w:lang w:val="en-HK"/>
        </w:rPr>
        <w:t>:</w:t>
      </w:r>
    </w:p>
    <w:p w14:paraId="3A3982E6" w14:textId="77777777" w:rsidR="00A24974" w:rsidRPr="00A24974" w:rsidRDefault="00A24974" w:rsidP="00B40DAB">
      <w:pPr>
        <w:numPr>
          <w:ilvl w:val="0"/>
          <w:numId w:val="1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24974">
        <w:rPr>
          <w:rFonts w:ascii="Times New Roman" w:hAnsi="Times New Roman"/>
          <w:i/>
          <w:iCs/>
          <w:lang w:val="en-HK"/>
        </w:rPr>
        <w:t>Miller</w:t>
      </w:r>
      <w:r w:rsidRPr="00A24974">
        <w:rPr>
          <w:rFonts w:ascii="Times New Roman" w:hAnsi="Times New Roman"/>
          <w:lang w:val="en-HK"/>
        </w:rPr>
        <w:t xml:space="preserve"> [1983]: Duty arises when a danger is created.</w:t>
      </w:r>
    </w:p>
    <w:p w14:paraId="4B5F78D0" w14:textId="77777777" w:rsidR="00A24974" w:rsidRPr="00A24974" w:rsidRDefault="00A24974" w:rsidP="00B40DAB">
      <w:pPr>
        <w:numPr>
          <w:ilvl w:val="0"/>
          <w:numId w:val="1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24974">
        <w:rPr>
          <w:rFonts w:ascii="Times New Roman" w:hAnsi="Times New Roman"/>
          <w:i/>
          <w:iCs/>
          <w:lang w:val="en-HK"/>
        </w:rPr>
        <w:t>Stone and Dobinson</w:t>
      </w:r>
      <w:r w:rsidRPr="00A24974">
        <w:rPr>
          <w:rFonts w:ascii="Times New Roman" w:hAnsi="Times New Roman"/>
          <w:lang w:val="en-HK"/>
        </w:rPr>
        <w:t xml:space="preserve"> [1977]: Voluntary assumption of responsibility creates a duty.</w:t>
      </w:r>
    </w:p>
    <w:p w14:paraId="28AA9370" w14:textId="77777777" w:rsidR="00A24974" w:rsidRPr="00A24974" w:rsidRDefault="00A24974" w:rsidP="00B40DAB">
      <w:pPr>
        <w:numPr>
          <w:ilvl w:val="0"/>
          <w:numId w:val="1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24974">
        <w:rPr>
          <w:rFonts w:ascii="Times New Roman" w:hAnsi="Times New Roman"/>
          <w:i/>
          <w:iCs/>
          <w:lang w:val="en-HK"/>
        </w:rPr>
        <w:t>Kennedy</w:t>
      </w:r>
      <w:r w:rsidRPr="00A24974">
        <w:rPr>
          <w:rFonts w:ascii="Times New Roman" w:hAnsi="Times New Roman"/>
          <w:lang w:val="en-HK"/>
        </w:rPr>
        <w:t xml:space="preserve"> (No.2) [2007]: Voluntary ingestion of drugs breaks the chain of causation for unlawful act manslaughter but does not address gross negligence manslaughter.</w:t>
      </w:r>
    </w:p>
    <w:p w14:paraId="0ACB94DC" w14:textId="77777777" w:rsidR="00B40DAB" w:rsidRPr="00B40DAB" w:rsidRDefault="00A24974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24974">
        <w:rPr>
          <w:rFonts w:ascii="Times New Roman" w:hAnsi="Times New Roman"/>
          <w:b/>
          <w:bCs/>
          <w:lang w:val="en-HK"/>
        </w:rPr>
        <w:t>Scholarly Critiques</w:t>
      </w:r>
      <w:r w:rsidRPr="00A24974">
        <w:rPr>
          <w:rFonts w:ascii="Times New Roman" w:hAnsi="Times New Roman"/>
          <w:lang w:val="en-HK"/>
        </w:rPr>
        <w:t>:</w:t>
      </w:r>
    </w:p>
    <w:p w14:paraId="7486A9D8" w14:textId="77777777" w:rsidR="00B40DAB" w:rsidRPr="00B40DAB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A24974" w:rsidRPr="00A24974">
        <w:rPr>
          <w:rFonts w:ascii="Times New Roman" w:hAnsi="Times New Roman"/>
          <w:lang w:val="en-HK"/>
        </w:rPr>
        <w:t>J.C. Smith criticized the unclear parameters of duty in omissions liability.</w:t>
      </w:r>
    </w:p>
    <w:p w14:paraId="0985A421" w14:textId="3F1A71A5" w:rsidR="00A24974" w:rsidRPr="00A24974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A24974" w:rsidRPr="00A24974">
        <w:rPr>
          <w:rFonts w:ascii="Times New Roman" w:hAnsi="Times New Roman"/>
          <w:lang w:val="en-HK"/>
        </w:rPr>
        <w:t>The absence of clarity risks inconsistent application across cases.</w:t>
      </w:r>
    </w:p>
    <w:p w14:paraId="33BEC7DA" w14:textId="77777777" w:rsidR="00A24974" w:rsidRPr="00A24974" w:rsidRDefault="00320BBB" w:rsidP="00B40DAB">
      <w:pPr>
        <w:spacing w:after="240" w:line="360" w:lineRule="auto"/>
        <w:rPr>
          <w:rFonts w:ascii="Times New Roman" w:hAnsi="Times New Roman"/>
          <w:lang w:val="en-HK"/>
        </w:rPr>
      </w:pPr>
      <w:r w:rsidRPr="00320BBB">
        <w:rPr>
          <w:rFonts w:ascii="Times New Roman" w:hAnsi="Times New Roman"/>
          <w:noProof/>
          <w:lang w:val="en-HK"/>
          <w14:ligatures w14:val="standardContextual"/>
        </w:rPr>
        <w:pict w14:anchorId="1F76FA8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72D256C" w14:textId="77777777" w:rsidR="002518F7" w:rsidRPr="002518F7" w:rsidRDefault="002518F7" w:rsidP="00B40DA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Townsend and Evans</w:t>
      </w:r>
    </w:p>
    <w:p w14:paraId="7A019771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Facts</w:t>
      </w:r>
    </w:p>
    <w:p w14:paraId="2A1BC9E1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Carly Townsend (16) overdosed on heroin at her mother’s home.</w:t>
      </w:r>
    </w:p>
    <w:p w14:paraId="071C91F0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Andrea Townsend (mother) and Gemma Evans (half-sister) were charged with gross negligence manslaughter.</w:t>
      </w:r>
    </w:p>
    <w:p w14:paraId="6E174574" w14:textId="34BC7EC0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Andrea received two years' imprisonment.</w:t>
      </w:r>
    </w:p>
    <w:p w14:paraId="0DD065DC" w14:textId="3A3D1F64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Gemma received four years due to her role in facilitating drug procurement from Andrew Taylor, the supplier.</w:t>
      </w:r>
    </w:p>
    <w:p w14:paraId="0EE05FFF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Crown Court Findings</w:t>
      </w:r>
    </w:p>
    <w:p w14:paraId="50CF8085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Judge Lloyd-Jones</w:t>
      </w:r>
      <w:r w:rsidRPr="002518F7">
        <w:rPr>
          <w:rFonts w:ascii="Times New Roman" w:hAnsi="Times New Roman"/>
          <w:lang w:val="en-HK"/>
        </w:rPr>
        <w:t>:</w:t>
      </w:r>
    </w:p>
    <w:p w14:paraId="438241B6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Andrea Townsend</w:t>
      </w:r>
      <w:r w:rsidRPr="002518F7">
        <w:rPr>
          <w:rFonts w:ascii="Times New Roman" w:hAnsi="Times New Roman"/>
          <w:lang w:val="en-HK"/>
        </w:rPr>
        <w:t>:</w:t>
      </w:r>
    </w:p>
    <w:p w14:paraId="771FC352" w14:textId="0E3F360B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A parental duty of care is well-established at common law (</w:t>
      </w:r>
      <w:r w:rsidR="002518F7" w:rsidRPr="002518F7">
        <w:rPr>
          <w:rFonts w:ascii="Times New Roman" w:hAnsi="Times New Roman"/>
          <w:i/>
          <w:iCs/>
          <w:lang w:val="en-HK"/>
        </w:rPr>
        <w:t>Stone and Dobinson</w:t>
      </w:r>
      <w:r w:rsidR="002518F7" w:rsidRPr="002518F7">
        <w:rPr>
          <w:rFonts w:ascii="Times New Roman" w:hAnsi="Times New Roman"/>
          <w:lang w:val="en-HK"/>
        </w:rPr>
        <w:t xml:space="preserve"> [1977]; </w:t>
      </w:r>
      <w:proofErr w:type="spellStart"/>
      <w:r w:rsidR="002518F7" w:rsidRPr="002518F7">
        <w:rPr>
          <w:rFonts w:ascii="Times New Roman" w:hAnsi="Times New Roman"/>
          <w:i/>
          <w:iCs/>
          <w:lang w:val="en-HK"/>
        </w:rPr>
        <w:t>Ruffell</w:t>
      </w:r>
      <w:proofErr w:type="spellEnd"/>
      <w:r w:rsidR="002518F7" w:rsidRPr="002518F7">
        <w:rPr>
          <w:rFonts w:ascii="Times New Roman" w:hAnsi="Times New Roman"/>
          <w:lang w:val="en-HK"/>
        </w:rPr>
        <w:t xml:space="preserve"> [2003]).</w:t>
      </w:r>
    </w:p>
    <w:p w14:paraId="189529B0" w14:textId="334A42CE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b/>
          <w:bCs/>
          <w:lang w:val="en-HK"/>
        </w:rPr>
        <w:lastRenderedPageBreak/>
        <w:t xml:space="preserve">- </w:t>
      </w:r>
      <w:r w:rsidR="002518F7" w:rsidRPr="002518F7">
        <w:rPr>
          <w:rFonts w:ascii="Times New Roman" w:hAnsi="Times New Roman"/>
          <w:b/>
          <w:bCs/>
          <w:lang w:val="en-HK"/>
        </w:rPr>
        <w:t>Gemma Evans</w:t>
      </w:r>
      <w:r w:rsidR="002518F7" w:rsidRPr="002518F7">
        <w:rPr>
          <w:rFonts w:ascii="Times New Roman" w:hAnsi="Times New Roman"/>
          <w:lang w:val="en-HK"/>
        </w:rPr>
        <w:t>:</w:t>
      </w:r>
    </w:p>
    <w:p w14:paraId="2D6CF305" w14:textId="4BEAB955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The sibling relationship does not inherently impose a duty.</w:t>
      </w:r>
    </w:p>
    <w:p w14:paraId="47B3D57E" w14:textId="2C53269F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She had not assumed responsibility for Carly's care but acted as an intermediary in procuring drugs.</w:t>
      </w:r>
    </w:p>
    <w:p w14:paraId="591211F9" w14:textId="70FD7153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 xml:space="preserve">This intermediary role was deemed "capable of giving rise to a duty of care," supported by </w:t>
      </w:r>
      <w:r w:rsidR="002518F7" w:rsidRPr="002518F7">
        <w:rPr>
          <w:rFonts w:ascii="Times New Roman" w:hAnsi="Times New Roman"/>
          <w:i/>
          <w:iCs/>
          <w:lang w:val="en-HK"/>
        </w:rPr>
        <w:t>Khan</w:t>
      </w:r>
      <w:r w:rsidR="002518F7" w:rsidRPr="002518F7">
        <w:rPr>
          <w:rFonts w:ascii="Times New Roman" w:hAnsi="Times New Roman"/>
          <w:lang w:val="en-HK"/>
        </w:rPr>
        <w:t xml:space="preserve"> [1998] and </w:t>
      </w:r>
      <w:r w:rsidR="002518F7" w:rsidRPr="002518F7">
        <w:rPr>
          <w:rFonts w:ascii="Times New Roman" w:hAnsi="Times New Roman"/>
          <w:i/>
          <w:iCs/>
          <w:lang w:val="en-HK"/>
        </w:rPr>
        <w:t>Sinclair, Johnson, and Smith</w:t>
      </w:r>
      <w:r w:rsidR="002518F7" w:rsidRPr="002518F7">
        <w:rPr>
          <w:rFonts w:ascii="Times New Roman" w:hAnsi="Times New Roman"/>
          <w:lang w:val="en-HK"/>
        </w:rPr>
        <w:t xml:space="preserve"> [1998].</w:t>
      </w:r>
    </w:p>
    <w:p w14:paraId="25485713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Judicial Reasoning</w:t>
      </w:r>
    </w:p>
    <w:p w14:paraId="634130AB" w14:textId="4D10DF3C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A supplier's involvement in drug procurement could create a duty of care if their</w:t>
      </w:r>
      <w:r w:rsidRPr="00B40DAB">
        <w:rPr>
          <w:rFonts w:ascii="Times New Roman" w:hAnsi="Times New Roman"/>
          <w:lang w:val="en-HK"/>
        </w:rPr>
        <w:t xml:space="preserve"> </w:t>
      </w:r>
      <w:r w:rsidR="002518F7" w:rsidRPr="002518F7">
        <w:rPr>
          <w:rFonts w:ascii="Times New Roman" w:hAnsi="Times New Roman"/>
          <w:lang w:val="en-HK"/>
        </w:rPr>
        <w:t>actions directly placed the victim in peril.</w:t>
      </w:r>
    </w:p>
    <w:p w14:paraId="56F4F5DF" w14:textId="36DE8D7C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 xml:space="preserve">The role of the jury was emphasized to decide whether Gemma's actions constituted such a duty under the </w:t>
      </w:r>
      <w:r w:rsidR="002518F7" w:rsidRPr="002518F7">
        <w:rPr>
          <w:rFonts w:ascii="Times New Roman" w:hAnsi="Times New Roman"/>
          <w:i/>
          <w:iCs/>
          <w:lang w:val="en-HK"/>
        </w:rPr>
        <w:t>Adomako</w:t>
      </w:r>
      <w:r w:rsidR="002518F7" w:rsidRPr="002518F7">
        <w:rPr>
          <w:rFonts w:ascii="Times New Roman" w:hAnsi="Times New Roman"/>
          <w:lang w:val="en-HK"/>
        </w:rPr>
        <w:t xml:space="preserve"> criteria.</w:t>
      </w:r>
    </w:p>
    <w:p w14:paraId="0E895F7B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Scholarly Commentary</w:t>
      </w:r>
    </w:p>
    <w:p w14:paraId="4720A1A3" w14:textId="35DD5FF9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Critics like Glenys Williams noted the inconsistency of extending duties to intermediary roles.</w:t>
      </w:r>
    </w:p>
    <w:p w14:paraId="49E5CDA5" w14:textId="099FACDD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proofErr w:type="spellStart"/>
      <w:r w:rsidR="002518F7" w:rsidRPr="002518F7">
        <w:rPr>
          <w:rFonts w:ascii="Times New Roman" w:hAnsi="Times New Roman"/>
          <w:lang w:val="en-HK"/>
        </w:rPr>
        <w:t>O’Doherty</w:t>
      </w:r>
      <w:proofErr w:type="spellEnd"/>
      <w:r w:rsidR="002518F7" w:rsidRPr="002518F7">
        <w:rPr>
          <w:rFonts w:ascii="Times New Roman" w:hAnsi="Times New Roman"/>
          <w:lang w:val="en-HK"/>
        </w:rPr>
        <w:t xml:space="preserve"> highlighted the lack of clear legal principles for such extensions and warned against judicial overreach in defining new duties.</w:t>
      </w:r>
    </w:p>
    <w:p w14:paraId="100F0E35" w14:textId="77777777" w:rsidR="002518F7" w:rsidRPr="002518F7" w:rsidRDefault="00320BBB" w:rsidP="00B40DAB">
      <w:pPr>
        <w:spacing w:after="240" w:line="360" w:lineRule="auto"/>
        <w:rPr>
          <w:rFonts w:ascii="Times New Roman" w:hAnsi="Times New Roman"/>
          <w:lang w:val="en-HK"/>
        </w:rPr>
      </w:pPr>
      <w:r w:rsidRPr="00320BBB">
        <w:rPr>
          <w:rFonts w:ascii="Times New Roman" w:hAnsi="Times New Roman"/>
          <w:noProof/>
          <w:lang w:val="en-HK"/>
          <w14:ligatures w14:val="standardContextual"/>
        </w:rPr>
        <w:pict w14:anchorId="3E706DC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CA0C3DF" w14:textId="77777777" w:rsidR="002518F7" w:rsidRPr="002518F7" w:rsidRDefault="002518F7" w:rsidP="00B40DA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Khan and Sinclair</w:t>
      </w:r>
    </w:p>
    <w:p w14:paraId="2E8719D4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Khan [1998]</w:t>
      </w:r>
    </w:p>
    <w:p w14:paraId="0FF6AF5D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Facts</w:t>
      </w:r>
      <w:r w:rsidRPr="002518F7">
        <w:rPr>
          <w:rFonts w:ascii="Times New Roman" w:hAnsi="Times New Roman"/>
          <w:lang w:val="en-HK"/>
        </w:rPr>
        <w:t>:</w:t>
      </w:r>
    </w:p>
    <w:p w14:paraId="05B231FE" w14:textId="04B8145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Defendants sold heroin to a 15-year-old novice user who overdosed after consuming a lethal dose. They failed to call for help, leaving her to die.</w:t>
      </w:r>
    </w:p>
    <w:p w14:paraId="2034A163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Judgment</w:t>
      </w:r>
      <w:r w:rsidRPr="002518F7">
        <w:rPr>
          <w:rFonts w:ascii="Times New Roman" w:hAnsi="Times New Roman"/>
          <w:lang w:val="en-HK"/>
        </w:rPr>
        <w:t>:</w:t>
      </w:r>
    </w:p>
    <w:p w14:paraId="1E200AB7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lastRenderedPageBreak/>
        <w:t>The Court of Appeal overturned convictions for gross negligence manslaughter because the jury was not properly directed on the existence of a duty of care.</w:t>
      </w:r>
    </w:p>
    <w:p w14:paraId="4E47C75A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Swinton Thomas LJ</w:t>
      </w:r>
      <w:r w:rsidRPr="002518F7">
        <w:rPr>
          <w:rFonts w:ascii="Times New Roman" w:hAnsi="Times New Roman"/>
          <w:lang w:val="en-HK"/>
        </w:rPr>
        <w:t xml:space="preserve"> (obiter):</w:t>
      </w:r>
    </w:p>
    <w:p w14:paraId="32B79C5E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Suggested that extending duty to drug suppliers would enlarge established categories and must be cautiously approached.</w:t>
      </w:r>
    </w:p>
    <w:p w14:paraId="48F67F5D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Sinclair, Johnson, and Smith [1998]</w:t>
      </w:r>
    </w:p>
    <w:p w14:paraId="3380FBFC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Facts</w:t>
      </w:r>
      <w:r w:rsidRPr="002518F7">
        <w:rPr>
          <w:rFonts w:ascii="Times New Roman" w:hAnsi="Times New Roman"/>
          <w:lang w:val="en-HK"/>
        </w:rPr>
        <w:t>:</w:t>
      </w:r>
    </w:p>
    <w:p w14:paraId="764FCD48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Victim (Coleman) overdosed on methadone while at a flat owned by Johnson. Sinclair, a close friend, was present but delayed calling for help until it was too late.</w:t>
      </w:r>
    </w:p>
    <w:p w14:paraId="6E834215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Judgment</w:t>
      </w:r>
      <w:r w:rsidRPr="002518F7">
        <w:rPr>
          <w:rFonts w:ascii="Times New Roman" w:hAnsi="Times New Roman"/>
          <w:lang w:val="en-HK"/>
        </w:rPr>
        <w:t>:</w:t>
      </w:r>
    </w:p>
    <w:p w14:paraId="3C8B144B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Sinclair</w:t>
      </w:r>
      <w:r w:rsidRPr="002518F7">
        <w:rPr>
          <w:rFonts w:ascii="Times New Roman" w:hAnsi="Times New Roman"/>
          <w:lang w:val="en-HK"/>
        </w:rPr>
        <w:t>:</w:t>
      </w:r>
    </w:p>
    <w:p w14:paraId="3E96540B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The court acknowledged that a duty might arise based on a close relationship akin to siblings.</w:t>
      </w:r>
    </w:p>
    <w:p w14:paraId="2822F8D3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Johnson</w:t>
      </w:r>
      <w:r w:rsidRPr="002518F7">
        <w:rPr>
          <w:rFonts w:ascii="Times New Roman" w:hAnsi="Times New Roman"/>
          <w:lang w:val="en-HK"/>
        </w:rPr>
        <w:t>:</w:t>
      </w:r>
    </w:p>
    <w:p w14:paraId="60B06D6C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No duty of care existed due to the lack of a close relationship or assumption of responsibility.</w:t>
      </w:r>
    </w:p>
    <w:p w14:paraId="6B62BFF8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Lord Justice Rose</w:t>
      </w:r>
      <w:r w:rsidRPr="002518F7">
        <w:rPr>
          <w:rFonts w:ascii="Times New Roman" w:hAnsi="Times New Roman"/>
          <w:lang w:val="en-HK"/>
        </w:rPr>
        <w:t xml:space="preserve"> (obiter):</w:t>
      </w:r>
    </w:p>
    <w:p w14:paraId="466B70F9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A duty might exist if based on assumed responsibility, but the jury was not properly directed on this.</w:t>
      </w:r>
    </w:p>
    <w:p w14:paraId="22D9DF3E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Implications</w:t>
      </w:r>
    </w:p>
    <w:p w14:paraId="1B561EC0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Both cases illustrate judicial hesitancy to impose duties on drug suppliers but left room for the possibility in specific scenarios.</w:t>
      </w:r>
    </w:p>
    <w:p w14:paraId="51E65B54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Scholarly Perspectives</w:t>
      </w:r>
    </w:p>
    <w:p w14:paraId="0D4A8C78" w14:textId="2D6C01D4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proofErr w:type="spellStart"/>
      <w:r w:rsidR="002518F7" w:rsidRPr="002518F7">
        <w:rPr>
          <w:rFonts w:ascii="Times New Roman" w:hAnsi="Times New Roman"/>
          <w:lang w:val="en-HK"/>
        </w:rPr>
        <w:t>O'Doherty</w:t>
      </w:r>
      <w:proofErr w:type="spellEnd"/>
      <w:r w:rsidR="002518F7" w:rsidRPr="002518F7">
        <w:rPr>
          <w:rFonts w:ascii="Times New Roman" w:hAnsi="Times New Roman"/>
          <w:lang w:val="en-HK"/>
        </w:rPr>
        <w:t xml:space="preserve"> criticized the lack of definitive guidance on duties in such cases, emphasizing the risk of arbitrary extensions.</w:t>
      </w:r>
    </w:p>
    <w:p w14:paraId="7FFBA118" w14:textId="3AC92720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lastRenderedPageBreak/>
        <w:t xml:space="preserve">- </w:t>
      </w:r>
      <w:r w:rsidR="002518F7" w:rsidRPr="002518F7">
        <w:rPr>
          <w:rFonts w:ascii="Times New Roman" w:hAnsi="Times New Roman"/>
          <w:lang w:val="en-HK"/>
        </w:rPr>
        <w:t>Glenys Williams highlighted the difficulty of applying civil law principles like "assumed responsibility" in criminal contexts.</w:t>
      </w:r>
    </w:p>
    <w:p w14:paraId="73601D30" w14:textId="77777777" w:rsidR="002518F7" w:rsidRPr="002518F7" w:rsidRDefault="00320BBB" w:rsidP="00B40DAB">
      <w:pPr>
        <w:spacing w:after="240" w:line="360" w:lineRule="auto"/>
        <w:rPr>
          <w:rFonts w:ascii="Times New Roman" w:hAnsi="Times New Roman"/>
          <w:lang w:val="en-HK"/>
        </w:rPr>
      </w:pPr>
      <w:r w:rsidRPr="00320BBB">
        <w:rPr>
          <w:rFonts w:ascii="Times New Roman" w:hAnsi="Times New Roman"/>
          <w:noProof/>
          <w:lang w:val="en-HK"/>
          <w14:ligatures w14:val="standardContextual"/>
        </w:rPr>
        <w:pict w14:anchorId="7A317A4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94CA3DD" w14:textId="77777777" w:rsidR="002518F7" w:rsidRPr="002518F7" w:rsidRDefault="002518F7" w:rsidP="00B40DA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Evans: The Court of Appeal Decision</w:t>
      </w:r>
    </w:p>
    <w:p w14:paraId="1C371EA4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Judgment</w:t>
      </w:r>
    </w:p>
    <w:p w14:paraId="099F4CC1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Lord Judge CJ</w:t>
      </w:r>
      <w:r w:rsidRPr="002518F7">
        <w:rPr>
          <w:rFonts w:ascii="Times New Roman" w:hAnsi="Times New Roman"/>
          <w:lang w:val="en-HK"/>
        </w:rPr>
        <w:t>:</w:t>
      </w:r>
    </w:p>
    <w:p w14:paraId="3F502D0E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Upheld Gemma Evans’s conviction, emphasizing that her intermediary role created a "plain and obvious" duty to provide assistance.</w:t>
      </w:r>
    </w:p>
    <w:p w14:paraId="01DD3A9F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Relied on:</w:t>
      </w:r>
    </w:p>
    <w:p w14:paraId="1F1E92A5" w14:textId="77777777" w:rsidR="002518F7" w:rsidRPr="002518F7" w:rsidRDefault="002518F7" w:rsidP="00B40DAB">
      <w:pPr>
        <w:numPr>
          <w:ilvl w:val="2"/>
          <w:numId w:val="3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i/>
          <w:iCs/>
          <w:lang w:val="en-HK"/>
        </w:rPr>
        <w:t>Miller</w:t>
      </w:r>
      <w:r w:rsidRPr="002518F7">
        <w:rPr>
          <w:rFonts w:ascii="Times New Roman" w:hAnsi="Times New Roman"/>
          <w:lang w:val="en-HK"/>
        </w:rPr>
        <w:t xml:space="preserve"> [1983]: Duty arises from creating a danger.</w:t>
      </w:r>
    </w:p>
    <w:p w14:paraId="72EC9636" w14:textId="77777777" w:rsidR="002518F7" w:rsidRPr="002518F7" w:rsidRDefault="002518F7" w:rsidP="00B40DAB">
      <w:pPr>
        <w:numPr>
          <w:ilvl w:val="2"/>
          <w:numId w:val="3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i/>
          <w:iCs/>
          <w:lang w:val="en-HK"/>
        </w:rPr>
        <w:t>Willoughby</w:t>
      </w:r>
      <w:r w:rsidRPr="002518F7">
        <w:rPr>
          <w:rFonts w:ascii="Times New Roman" w:hAnsi="Times New Roman"/>
          <w:lang w:val="en-HK"/>
        </w:rPr>
        <w:t xml:space="preserve"> [2004]: Additional facts can establish a duty in conjunction with other circumstances.</w:t>
      </w:r>
    </w:p>
    <w:p w14:paraId="7A01B669" w14:textId="77777777" w:rsidR="00B40DAB" w:rsidRPr="00B40DAB" w:rsidRDefault="002518F7" w:rsidP="00B40DAB">
      <w:pPr>
        <w:numPr>
          <w:ilvl w:val="2"/>
          <w:numId w:val="3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Civil law analogies (</w:t>
      </w:r>
      <w:r w:rsidRPr="002518F7">
        <w:rPr>
          <w:rFonts w:ascii="Times New Roman" w:hAnsi="Times New Roman"/>
          <w:i/>
          <w:iCs/>
          <w:lang w:val="en-HK"/>
        </w:rPr>
        <w:t>Mitchell v Glasgow City Council</w:t>
      </w:r>
      <w:r w:rsidRPr="002518F7">
        <w:rPr>
          <w:rFonts w:ascii="Times New Roman" w:hAnsi="Times New Roman"/>
          <w:lang w:val="en-HK"/>
        </w:rPr>
        <w:t xml:space="preserve"> [2009]; </w:t>
      </w:r>
      <w:r w:rsidRPr="002518F7">
        <w:rPr>
          <w:rFonts w:ascii="Times New Roman" w:hAnsi="Times New Roman"/>
          <w:i/>
          <w:iCs/>
          <w:lang w:val="en-HK"/>
        </w:rPr>
        <w:t>Smith v Littlewoods Organisation</w:t>
      </w:r>
      <w:r w:rsidRPr="002518F7">
        <w:rPr>
          <w:rFonts w:ascii="Times New Roman" w:hAnsi="Times New Roman"/>
          <w:lang w:val="en-HK"/>
        </w:rPr>
        <w:t xml:space="preserve"> [1987]) to illustrate omissions liability.</w:t>
      </w:r>
    </w:p>
    <w:p w14:paraId="63FBC83E" w14:textId="0EAA36CB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Dismissed concerns regarding misdirection on duty, citing the adequacy of trial directions.</w:t>
      </w:r>
    </w:p>
    <w:p w14:paraId="4D3DE889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Causation Issues</w:t>
      </w:r>
    </w:p>
    <w:p w14:paraId="5B0EACD4" w14:textId="48C3478A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Addressed the potential complication of voluntary ingestion breaking causation:</w:t>
      </w:r>
    </w:p>
    <w:p w14:paraId="5D0931C8" w14:textId="350B58EF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Held that Gemma's actions in supplying drugs and remaining present constituted sufficient involvement to negate any chain-break argument.</w:t>
      </w:r>
    </w:p>
    <w:p w14:paraId="44C7ADA8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Critique of Jury’s Role</w:t>
      </w:r>
    </w:p>
    <w:p w14:paraId="3B5DE45E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The Court acknowledged that determining the existence of a duty is a judicial task but deemed the jury’s decision non-fatal to the case.</w:t>
      </w:r>
    </w:p>
    <w:p w14:paraId="1C0EB7ED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Scholarly Concerns</w:t>
      </w:r>
    </w:p>
    <w:p w14:paraId="7BB2C766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lastRenderedPageBreak/>
        <w:t>Ormerod and Fortson:</w:t>
      </w:r>
    </w:p>
    <w:p w14:paraId="14989F20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 xml:space="preserve">Critiqued the reliance on </w:t>
      </w:r>
      <w:r w:rsidRPr="002518F7">
        <w:rPr>
          <w:rFonts w:ascii="Times New Roman" w:hAnsi="Times New Roman"/>
          <w:i/>
          <w:iCs/>
          <w:lang w:val="en-HK"/>
        </w:rPr>
        <w:t>Miller</w:t>
      </w:r>
      <w:r w:rsidRPr="002518F7">
        <w:rPr>
          <w:rFonts w:ascii="Times New Roman" w:hAnsi="Times New Roman"/>
          <w:lang w:val="en-HK"/>
        </w:rPr>
        <w:t xml:space="preserve"> without properly addressing the issue of causation or clarifying when duties arise.</w:t>
      </w:r>
    </w:p>
    <w:p w14:paraId="3E1D46E6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Virgo:</w:t>
      </w:r>
    </w:p>
    <w:p w14:paraId="0435A8D8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Warned against conflating civil and criminal principles, emphasizing the need for clearer guidelines.</w:t>
      </w:r>
    </w:p>
    <w:p w14:paraId="23A5EAEE" w14:textId="77777777" w:rsidR="00A24974" w:rsidRPr="00A24974" w:rsidRDefault="00320BBB" w:rsidP="00B40DAB">
      <w:pPr>
        <w:spacing w:after="240" w:line="360" w:lineRule="auto"/>
        <w:rPr>
          <w:rFonts w:ascii="Times New Roman" w:hAnsi="Times New Roman"/>
          <w:lang w:val="en-HK"/>
        </w:rPr>
      </w:pPr>
      <w:r w:rsidRPr="00320BBB">
        <w:rPr>
          <w:rFonts w:ascii="Times New Roman" w:hAnsi="Times New Roman"/>
          <w:noProof/>
          <w:lang w:val="en-HK"/>
          <w14:ligatures w14:val="standardContextual"/>
        </w:rPr>
        <w:pict w14:anchorId="07445FC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2C4C53A" w14:textId="77777777" w:rsidR="002518F7" w:rsidRPr="002518F7" w:rsidRDefault="002518F7" w:rsidP="00B40DA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Criticisms of the Judgment</w:t>
      </w:r>
    </w:p>
    <w:p w14:paraId="11CF219B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Key Concerns:</w:t>
      </w:r>
    </w:p>
    <w:p w14:paraId="5249017D" w14:textId="77777777" w:rsidR="002518F7" w:rsidRPr="002518F7" w:rsidRDefault="002518F7" w:rsidP="00B40DAB">
      <w:pPr>
        <w:numPr>
          <w:ilvl w:val="0"/>
          <w:numId w:val="3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 xml:space="preserve">Application of </w:t>
      </w:r>
      <w:r w:rsidRPr="002518F7">
        <w:rPr>
          <w:rFonts w:ascii="Times New Roman" w:hAnsi="Times New Roman"/>
          <w:b/>
          <w:bCs/>
          <w:i/>
          <w:iCs/>
          <w:lang w:val="en-HK"/>
        </w:rPr>
        <w:t>Miller</w:t>
      </w:r>
      <w:r w:rsidRPr="002518F7">
        <w:rPr>
          <w:rFonts w:ascii="Times New Roman" w:hAnsi="Times New Roman"/>
          <w:b/>
          <w:bCs/>
          <w:lang w:val="en-HK"/>
        </w:rPr>
        <w:t xml:space="preserve"> to Drug Homicides</w:t>
      </w:r>
      <w:r w:rsidRPr="002518F7">
        <w:rPr>
          <w:rFonts w:ascii="Times New Roman" w:hAnsi="Times New Roman"/>
          <w:lang w:val="en-HK"/>
        </w:rPr>
        <w:t>:</w:t>
      </w:r>
    </w:p>
    <w:p w14:paraId="55CAEB81" w14:textId="372849C0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 xml:space="preserve">The judgment inadequately justified applying the </w:t>
      </w:r>
      <w:r w:rsidR="002518F7" w:rsidRPr="002518F7">
        <w:rPr>
          <w:rFonts w:ascii="Times New Roman" w:hAnsi="Times New Roman"/>
          <w:i/>
          <w:iCs/>
          <w:lang w:val="en-HK"/>
        </w:rPr>
        <w:t>Miller</w:t>
      </w:r>
      <w:r w:rsidR="002518F7" w:rsidRPr="002518F7">
        <w:rPr>
          <w:rFonts w:ascii="Times New Roman" w:hAnsi="Times New Roman"/>
          <w:lang w:val="en-HK"/>
        </w:rPr>
        <w:t xml:space="preserve"> principle (creation of danger) to drug homicide cases, a context significantly different from the original case (criminal damage).</w:t>
      </w:r>
    </w:p>
    <w:p w14:paraId="64B99E8F" w14:textId="2BBE56E1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 xml:space="preserve">Lord Judge CJ avoided fully addressing whether the </w:t>
      </w:r>
      <w:proofErr w:type="spellStart"/>
      <w:r w:rsidR="002518F7" w:rsidRPr="002518F7">
        <w:rPr>
          <w:rFonts w:ascii="Times New Roman" w:hAnsi="Times New Roman"/>
          <w:lang w:val="en-HK"/>
        </w:rPr>
        <w:t>mens</w:t>
      </w:r>
      <w:proofErr w:type="spellEnd"/>
      <w:r w:rsidR="002518F7" w:rsidRPr="002518F7">
        <w:rPr>
          <w:rFonts w:ascii="Times New Roman" w:hAnsi="Times New Roman"/>
          <w:lang w:val="en-HK"/>
        </w:rPr>
        <w:t xml:space="preserve"> rea standard of </w:t>
      </w:r>
      <w:r w:rsidR="002518F7" w:rsidRPr="002518F7">
        <w:rPr>
          <w:rFonts w:ascii="Times New Roman" w:hAnsi="Times New Roman"/>
          <w:i/>
          <w:iCs/>
          <w:lang w:val="en-HK"/>
        </w:rPr>
        <w:t>Miller</w:t>
      </w:r>
      <w:r w:rsidR="002518F7" w:rsidRPr="002518F7">
        <w:rPr>
          <w:rFonts w:ascii="Times New Roman" w:hAnsi="Times New Roman"/>
          <w:lang w:val="en-HK"/>
        </w:rPr>
        <w:t xml:space="preserve"> (recklessness) was appropriate for manslaughter.</w:t>
      </w:r>
    </w:p>
    <w:p w14:paraId="4004C6F7" w14:textId="77777777" w:rsidR="002518F7" w:rsidRPr="002518F7" w:rsidRDefault="002518F7" w:rsidP="00B40DAB">
      <w:pPr>
        <w:numPr>
          <w:ilvl w:val="0"/>
          <w:numId w:val="3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Voluntary Ingestion and Causation</w:t>
      </w:r>
      <w:r w:rsidRPr="002518F7">
        <w:rPr>
          <w:rFonts w:ascii="Times New Roman" w:hAnsi="Times New Roman"/>
          <w:lang w:val="en-HK"/>
        </w:rPr>
        <w:t>:</w:t>
      </w:r>
    </w:p>
    <w:p w14:paraId="1251C49B" w14:textId="08AA7A6E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The voluntary self-administration of drugs by the victim was underexplored as a</w:t>
      </w:r>
      <w:r w:rsidRPr="00B40DAB">
        <w:rPr>
          <w:rFonts w:ascii="Times New Roman" w:hAnsi="Times New Roman"/>
          <w:lang w:val="en-HK"/>
        </w:rPr>
        <w:t xml:space="preserve"> </w:t>
      </w:r>
      <w:r w:rsidR="002518F7" w:rsidRPr="002518F7">
        <w:rPr>
          <w:rFonts w:ascii="Times New Roman" w:hAnsi="Times New Roman"/>
          <w:lang w:val="en-HK"/>
        </w:rPr>
        <w:t>potential intervening act breaking the chain of causation.</w:t>
      </w:r>
    </w:p>
    <w:p w14:paraId="65F01DBC" w14:textId="791EFD0C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 xml:space="preserve">The causation chain in drug cases is complex because, unlike </w:t>
      </w:r>
      <w:r w:rsidR="002518F7" w:rsidRPr="002518F7">
        <w:rPr>
          <w:rFonts w:ascii="Times New Roman" w:hAnsi="Times New Roman"/>
          <w:i/>
          <w:iCs/>
          <w:lang w:val="en-HK"/>
        </w:rPr>
        <w:t>Miller</w:t>
      </w:r>
      <w:r w:rsidR="002518F7" w:rsidRPr="002518F7">
        <w:rPr>
          <w:rFonts w:ascii="Times New Roman" w:hAnsi="Times New Roman"/>
          <w:lang w:val="en-HK"/>
        </w:rPr>
        <w:t>, a third-party action (voluntary drug use) intervenes between the defendant's act and the harm.</w:t>
      </w:r>
    </w:p>
    <w:p w14:paraId="47B1B4AD" w14:textId="77777777" w:rsidR="002518F7" w:rsidRPr="002518F7" w:rsidRDefault="002518F7" w:rsidP="00B40DAB">
      <w:pPr>
        <w:numPr>
          <w:ilvl w:val="0"/>
          <w:numId w:val="34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Blurring Civil and Criminal Law Principles</w:t>
      </w:r>
      <w:r w:rsidRPr="002518F7">
        <w:rPr>
          <w:rFonts w:ascii="Times New Roman" w:hAnsi="Times New Roman"/>
          <w:lang w:val="en-HK"/>
        </w:rPr>
        <w:t>:</w:t>
      </w:r>
    </w:p>
    <w:p w14:paraId="076D2299" w14:textId="5D4479F0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 xml:space="preserve">The court's use of civil cases like </w:t>
      </w:r>
      <w:r w:rsidR="002518F7" w:rsidRPr="002518F7">
        <w:rPr>
          <w:rFonts w:ascii="Times New Roman" w:hAnsi="Times New Roman"/>
          <w:i/>
          <w:iCs/>
          <w:lang w:val="en-HK"/>
        </w:rPr>
        <w:t>Smith v Littlewoods</w:t>
      </w:r>
      <w:r w:rsidR="002518F7" w:rsidRPr="002518F7">
        <w:rPr>
          <w:rFonts w:ascii="Times New Roman" w:hAnsi="Times New Roman"/>
          <w:lang w:val="en-HK"/>
        </w:rPr>
        <w:t xml:space="preserve"> [1987] and </w:t>
      </w:r>
      <w:r w:rsidR="002518F7" w:rsidRPr="002518F7">
        <w:rPr>
          <w:rFonts w:ascii="Times New Roman" w:hAnsi="Times New Roman"/>
          <w:i/>
          <w:iCs/>
          <w:lang w:val="en-HK"/>
        </w:rPr>
        <w:t>Mitchell v Glasgow City Council</w:t>
      </w:r>
      <w:r w:rsidR="002518F7" w:rsidRPr="002518F7">
        <w:rPr>
          <w:rFonts w:ascii="Times New Roman" w:hAnsi="Times New Roman"/>
          <w:lang w:val="en-HK"/>
        </w:rPr>
        <w:t xml:space="preserve"> [2009] created confusion.</w:t>
      </w:r>
    </w:p>
    <w:p w14:paraId="00D50195" w14:textId="4ECFF3B3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i/>
          <w:iCs/>
          <w:lang w:val="en-HK"/>
        </w:rPr>
        <w:lastRenderedPageBreak/>
        <w:t xml:space="preserve">- </w:t>
      </w:r>
      <w:r w:rsidR="002518F7" w:rsidRPr="002518F7">
        <w:rPr>
          <w:rFonts w:ascii="Times New Roman" w:hAnsi="Times New Roman"/>
          <w:i/>
          <w:iCs/>
          <w:lang w:val="en-HK"/>
        </w:rPr>
        <w:t>Wacker</w:t>
      </w:r>
      <w:r w:rsidR="002518F7" w:rsidRPr="002518F7">
        <w:rPr>
          <w:rFonts w:ascii="Times New Roman" w:hAnsi="Times New Roman"/>
          <w:lang w:val="en-HK"/>
        </w:rPr>
        <w:t xml:space="preserve"> [2002]: Warned against mixing tortious and criminal law standards in manslaughter cases.</w:t>
      </w:r>
    </w:p>
    <w:p w14:paraId="06AA54E0" w14:textId="110E7A59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Virgo (1995): Criticized the inappropriate reliance on tortious duties in criminal law, highlighting their different objectives and consequences.</w:t>
      </w:r>
    </w:p>
    <w:p w14:paraId="4F86BB24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Scholarly Opinions:</w:t>
      </w:r>
    </w:p>
    <w:p w14:paraId="7EC62808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Ormerod</w:t>
      </w:r>
      <w:r w:rsidRPr="002518F7">
        <w:rPr>
          <w:rFonts w:ascii="Times New Roman" w:hAnsi="Times New Roman"/>
          <w:lang w:val="en-HK"/>
        </w:rPr>
        <w:t>:</w:t>
      </w:r>
    </w:p>
    <w:p w14:paraId="12FABC3C" w14:textId="6E60A399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 xml:space="preserve">Supported extending </w:t>
      </w:r>
      <w:r w:rsidR="002518F7" w:rsidRPr="002518F7">
        <w:rPr>
          <w:rFonts w:ascii="Times New Roman" w:hAnsi="Times New Roman"/>
          <w:i/>
          <w:iCs/>
          <w:lang w:val="en-HK"/>
        </w:rPr>
        <w:t>Miller</w:t>
      </w:r>
      <w:r w:rsidR="002518F7" w:rsidRPr="002518F7">
        <w:rPr>
          <w:rFonts w:ascii="Times New Roman" w:hAnsi="Times New Roman"/>
          <w:lang w:val="en-HK"/>
        </w:rPr>
        <w:t xml:space="preserve"> to drugs cases but emphasized the need for clear causation reasoning.</w:t>
      </w:r>
    </w:p>
    <w:p w14:paraId="381410E8" w14:textId="68DFA452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Previously argued that causation might be more flexible in gross negligence than in unlawful act manslaughter (</w:t>
      </w:r>
      <w:r w:rsidR="002518F7" w:rsidRPr="002518F7">
        <w:rPr>
          <w:rFonts w:ascii="Times New Roman" w:hAnsi="Times New Roman"/>
          <w:i/>
          <w:iCs/>
          <w:lang w:val="en-HK"/>
        </w:rPr>
        <w:t>Smith and Hogan, Criminal Law</w:t>
      </w:r>
      <w:r w:rsidR="002518F7" w:rsidRPr="002518F7">
        <w:rPr>
          <w:rFonts w:ascii="Times New Roman" w:hAnsi="Times New Roman"/>
          <w:lang w:val="en-HK"/>
        </w:rPr>
        <w:t>).</w:t>
      </w:r>
    </w:p>
    <w:p w14:paraId="74D95637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Virgo</w:t>
      </w:r>
      <w:r w:rsidRPr="002518F7">
        <w:rPr>
          <w:rFonts w:ascii="Times New Roman" w:hAnsi="Times New Roman"/>
          <w:lang w:val="en-HK"/>
        </w:rPr>
        <w:t>:</w:t>
      </w:r>
    </w:p>
    <w:p w14:paraId="50CD7630" w14:textId="0054F3F2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Strongly opposed the merger of tortious and criminal duties, arguing that tort principles are unsuitable for criminal contexts where liberty is at stake.</w:t>
      </w:r>
    </w:p>
    <w:p w14:paraId="753BF32A" w14:textId="07E5B14A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Called for distinct approaches to duty and causation in criminal cases.</w:t>
      </w:r>
    </w:p>
    <w:p w14:paraId="17EC8966" w14:textId="77777777" w:rsidR="002518F7" w:rsidRPr="002518F7" w:rsidRDefault="00320BBB" w:rsidP="00B40DAB">
      <w:pPr>
        <w:spacing w:after="240" w:line="360" w:lineRule="auto"/>
        <w:rPr>
          <w:rFonts w:ascii="Times New Roman" w:hAnsi="Times New Roman"/>
          <w:lang w:val="en-HK"/>
        </w:rPr>
      </w:pPr>
      <w:r w:rsidRPr="00320BBB">
        <w:rPr>
          <w:rFonts w:ascii="Times New Roman" w:hAnsi="Times New Roman"/>
          <w:noProof/>
          <w:lang w:val="en-HK"/>
          <w14:ligatures w14:val="standardContextual"/>
        </w:rPr>
        <w:pict w14:anchorId="49E99E9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5FBA2F" w14:textId="77777777" w:rsidR="002518F7" w:rsidRPr="002518F7" w:rsidRDefault="002518F7" w:rsidP="00B40DA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Moral Responsibility and Expectation</w:t>
      </w:r>
    </w:p>
    <w:p w14:paraId="3B769CC1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Philosophical Context:</w:t>
      </w:r>
    </w:p>
    <w:p w14:paraId="50685F5F" w14:textId="77777777" w:rsidR="002518F7" w:rsidRPr="002518F7" w:rsidRDefault="002518F7" w:rsidP="00B40DAB">
      <w:pPr>
        <w:numPr>
          <w:ilvl w:val="0"/>
          <w:numId w:val="3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Moral Responsibility and Omissions</w:t>
      </w:r>
      <w:r w:rsidRPr="002518F7">
        <w:rPr>
          <w:rFonts w:ascii="Times New Roman" w:hAnsi="Times New Roman"/>
          <w:lang w:val="en-HK"/>
        </w:rPr>
        <w:t>:</w:t>
      </w:r>
    </w:p>
    <w:p w14:paraId="4F1F8F62" w14:textId="30AF97F7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b/>
          <w:bCs/>
          <w:lang w:val="en-HK"/>
        </w:rPr>
        <w:t xml:space="preserve">- </w:t>
      </w:r>
      <w:proofErr w:type="spellStart"/>
      <w:r w:rsidR="002518F7" w:rsidRPr="002518F7">
        <w:rPr>
          <w:rFonts w:ascii="Times New Roman" w:hAnsi="Times New Roman"/>
          <w:b/>
          <w:bCs/>
          <w:lang w:val="en-HK"/>
        </w:rPr>
        <w:t>Simester</w:t>
      </w:r>
      <w:proofErr w:type="spellEnd"/>
      <w:r w:rsidR="002518F7" w:rsidRPr="002518F7">
        <w:rPr>
          <w:rFonts w:ascii="Times New Roman" w:hAnsi="Times New Roman"/>
          <w:lang w:val="en-HK"/>
        </w:rPr>
        <w:t>: Liability for omissions should reflect moral responsibility. Omissions liability should be limited to cases where intervention is morally and practically obligatory.</w:t>
      </w:r>
    </w:p>
    <w:p w14:paraId="08CC9492" w14:textId="671359F8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b/>
          <w:bCs/>
          <w:lang w:val="en-HK"/>
        </w:rPr>
        <w:t xml:space="preserve">- </w:t>
      </w:r>
      <w:proofErr w:type="spellStart"/>
      <w:r w:rsidR="002518F7" w:rsidRPr="002518F7">
        <w:rPr>
          <w:rFonts w:ascii="Times New Roman" w:hAnsi="Times New Roman"/>
          <w:b/>
          <w:bCs/>
          <w:lang w:val="en-HK"/>
        </w:rPr>
        <w:t>Honore</w:t>
      </w:r>
      <w:proofErr w:type="spellEnd"/>
      <w:r w:rsidR="002518F7" w:rsidRPr="002518F7">
        <w:rPr>
          <w:rFonts w:ascii="Times New Roman" w:hAnsi="Times New Roman"/>
          <w:b/>
          <w:bCs/>
          <w:lang w:val="en-HK"/>
        </w:rPr>
        <w:t>́</w:t>
      </w:r>
      <w:r w:rsidR="002518F7" w:rsidRPr="002518F7">
        <w:rPr>
          <w:rFonts w:ascii="Times New Roman" w:hAnsi="Times New Roman"/>
          <w:lang w:val="en-HK"/>
        </w:rPr>
        <w:t>: Duties arise when one is uniquely positioned to prevent harm, such as in cases where a defendant has contributed to creating risk.</w:t>
      </w:r>
    </w:p>
    <w:p w14:paraId="2B6C6315" w14:textId="0A84EE87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b/>
          <w:bCs/>
          <w:lang w:val="en-HK"/>
        </w:rPr>
        <w:t xml:space="preserve">- </w:t>
      </w:r>
      <w:r w:rsidR="002518F7" w:rsidRPr="002518F7">
        <w:rPr>
          <w:rFonts w:ascii="Times New Roman" w:hAnsi="Times New Roman"/>
          <w:b/>
          <w:bCs/>
          <w:lang w:val="en-HK"/>
        </w:rPr>
        <w:t>Freeman</w:t>
      </w:r>
      <w:r w:rsidR="002518F7" w:rsidRPr="002518F7">
        <w:rPr>
          <w:rFonts w:ascii="Times New Roman" w:hAnsi="Times New Roman"/>
          <w:lang w:val="en-HK"/>
        </w:rPr>
        <w:t>: Advocated enforcing duties when intervention involves minimal cost, risk, or inconvenience, aligning with basic moral expectations.</w:t>
      </w:r>
    </w:p>
    <w:p w14:paraId="7821DF63" w14:textId="77777777" w:rsidR="002518F7" w:rsidRPr="002518F7" w:rsidRDefault="002518F7" w:rsidP="00B40DAB">
      <w:pPr>
        <w:numPr>
          <w:ilvl w:val="0"/>
          <w:numId w:val="36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lastRenderedPageBreak/>
        <w:t>Social Expectations</w:t>
      </w:r>
      <w:r w:rsidRPr="002518F7">
        <w:rPr>
          <w:rFonts w:ascii="Times New Roman" w:hAnsi="Times New Roman"/>
          <w:lang w:val="en-HK"/>
        </w:rPr>
        <w:t>:</w:t>
      </w:r>
    </w:p>
    <w:p w14:paraId="4683D319" w14:textId="542C3535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b/>
          <w:bCs/>
          <w:lang w:val="en-HK"/>
        </w:rPr>
        <w:t xml:space="preserve">- </w:t>
      </w:r>
      <w:r w:rsidR="002518F7" w:rsidRPr="002518F7">
        <w:rPr>
          <w:rFonts w:ascii="Times New Roman" w:hAnsi="Times New Roman"/>
          <w:b/>
          <w:bCs/>
          <w:lang w:val="en-HK"/>
        </w:rPr>
        <w:t>Smith</w:t>
      </w:r>
      <w:r w:rsidR="002518F7" w:rsidRPr="002518F7">
        <w:rPr>
          <w:rFonts w:ascii="Times New Roman" w:hAnsi="Times New Roman"/>
          <w:lang w:val="en-HK"/>
        </w:rPr>
        <w:t>: Suggested that duties should focus on clear, immediate needs, like rescuing someone in evident peril when no one else is available to help.</w:t>
      </w:r>
    </w:p>
    <w:p w14:paraId="4A4642C5" w14:textId="4F03AA75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The law should recognize and enforce duties in narrowly defined circumstances to uphold societal standards of decency.</w:t>
      </w:r>
    </w:p>
    <w:p w14:paraId="047C4D7F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Scholarly Insights:</w:t>
      </w:r>
    </w:p>
    <w:p w14:paraId="2FB5B104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Ashworth</w:t>
      </w:r>
      <w:r w:rsidRPr="002518F7">
        <w:rPr>
          <w:rFonts w:ascii="Times New Roman" w:hAnsi="Times New Roman"/>
          <w:lang w:val="en-HK"/>
        </w:rPr>
        <w:t>: Warned against overreach in imposing duties, suggesting that the law should respect autonomy while enforcing minimal, essential interventions.</w:t>
      </w:r>
    </w:p>
    <w:p w14:paraId="6854C2EA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Gross</w:t>
      </w:r>
      <w:r w:rsidRPr="002518F7">
        <w:rPr>
          <w:rFonts w:ascii="Times New Roman" w:hAnsi="Times New Roman"/>
          <w:lang w:val="en-HK"/>
        </w:rPr>
        <w:t>: Advocated a framework for omissions liability based on specific prior acts creating risk, opposing liability for "pure" omissions.</w:t>
      </w:r>
    </w:p>
    <w:p w14:paraId="16C66A65" w14:textId="77777777" w:rsidR="002518F7" w:rsidRPr="002518F7" w:rsidRDefault="00320BBB" w:rsidP="00B40DAB">
      <w:pPr>
        <w:spacing w:after="240" w:line="360" w:lineRule="auto"/>
        <w:rPr>
          <w:rFonts w:ascii="Times New Roman" w:hAnsi="Times New Roman"/>
          <w:lang w:val="en-HK"/>
        </w:rPr>
      </w:pPr>
      <w:r w:rsidRPr="00320BBB">
        <w:rPr>
          <w:rFonts w:ascii="Times New Roman" w:hAnsi="Times New Roman"/>
          <w:noProof/>
          <w:lang w:val="en-HK"/>
          <w14:ligatures w14:val="standardContextual"/>
        </w:rPr>
        <w:pict w14:anchorId="2276403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4EC60EF" w14:textId="77777777" w:rsidR="002518F7" w:rsidRPr="002518F7" w:rsidRDefault="002518F7" w:rsidP="00B40DA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Policy Considerations</w:t>
      </w:r>
    </w:p>
    <w:p w14:paraId="0B4F8C2A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Judicial Observations:</w:t>
      </w:r>
    </w:p>
    <w:p w14:paraId="05C0EAD9" w14:textId="77777777" w:rsidR="002518F7" w:rsidRPr="002518F7" w:rsidRDefault="002518F7" w:rsidP="00B40DAB">
      <w:pPr>
        <w:numPr>
          <w:ilvl w:val="0"/>
          <w:numId w:val="3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Policy Motivation</w:t>
      </w:r>
      <w:r w:rsidRPr="002518F7">
        <w:rPr>
          <w:rFonts w:ascii="Times New Roman" w:hAnsi="Times New Roman"/>
          <w:lang w:val="en-HK"/>
        </w:rPr>
        <w:t>:</w:t>
      </w:r>
    </w:p>
    <w:p w14:paraId="54FE342A" w14:textId="4A9E40E8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Courts often act under pressure to punish drug-related negligence, sometimes prioritizing public policy over settled legal principles.</w:t>
      </w:r>
    </w:p>
    <w:p w14:paraId="372404FA" w14:textId="361616AC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 xml:space="preserve">Example: The </w:t>
      </w:r>
      <w:r w:rsidR="002518F7" w:rsidRPr="002518F7">
        <w:rPr>
          <w:rFonts w:ascii="Times New Roman" w:hAnsi="Times New Roman"/>
          <w:i/>
          <w:iCs/>
          <w:lang w:val="en-HK"/>
        </w:rPr>
        <w:t>Kennedy</w:t>
      </w:r>
      <w:r w:rsidR="002518F7" w:rsidRPr="002518F7">
        <w:rPr>
          <w:rFonts w:ascii="Times New Roman" w:hAnsi="Times New Roman"/>
          <w:lang w:val="en-HK"/>
        </w:rPr>
        <w:t xml:space="preserve"> appeals ([1995], [1999]) demonstrated courts’ willingness to adjust legal reasoning to address drug misuse.</w:t>
      </w:r>
    </w:p>
    <w:p w14:paraId="7BDFBCDD" w14:textId="77777777" w:rsidR="002518F7" w:rsidRPr="002518F7" w:rsidRDefault="002518F7" w:rsidP="00B40DAB">
      <w:pPr>
        <w:numPr>
          <w:ilvl w:val="0"/>
          <w:numId w:val="38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Balancing Act</w:t>
      </w:r>
      <w:r w:rsidRPr="002518F7">
        <w:rPr>
          <w:rFonts w:ascii="Times New Roman" w:hAnsi="Times New Roman"/>
          <w:lang w:val="en-HK"/>
        </w:rPr>
        <w:t>:</w:t>
      </w:r>
    </w:p>
    <w:p w14:paraId="515D6684" w14:textId="5FD071DA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 xml:space="preserve">Lord Judge CJ acknowledged the influence of public policy in </w:t>
      </w:r>
      <w:r w:rsidR="002518F7" w:rsidRPr="002518F7">
        <w:rPr>
          <w:rFonts w:ascii="Times New Roman" w:hAnsi="Times New Roman"/>
          <w:i/>
          <w:iCs/>
          <w:lang w:val="en-HK"/>
        </w:rPr>
        <w:t>Evans</w:t>
      </w:r>
      <w:r w:rsidR="002518F7" w:rsidRPr="002518F7">
        <w:rPr>
          <w:rFonts w:ascii="Times New Roman" w:hAnsi="Times New Roman"/>
          <w:lang w:val="en-HK"/>
        </w:rPr>
        <w:t xml:space="preserve"> but emphasized caution against creating duties solely based on policy without legislative support.</w:t>
      </w:r>
    </w:p>
    <w:p w14:paraId="0732B5F1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Guidelines for Future Cases:</w:t>
      </w:r>
    </w:p>
    <w:p w14:paraId="3F7A85D0" w14:textId="77777777" w:rsidR="002518F7" w:rsidRPr="002518F7" w:rsidRDefault="002518F7" w:rsidP="00B40DAB">
      <w:pPr>
        <w:numPr>
          <w:ilvl w:val="0"/>
          <w:numId w:val="3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Ensure public policy does not override established legal principles.</w:t>
      </w:r>
    </w:p>
    <w:p w14:paraId="5A6C5D4B" w14:textId="77777777" w:rsidR="002518F7" w:rsidRPr="002518F7" w:rsidRDefault="002518F7" w:rsidP="00B40DAB">
      <w:pPr>
        <w:numPr>
          <w:ilvl w:val="0"/>
          <w:numId w:val="3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lastRenderedPageBreak/>
        <w:t>Clearly articulate reasons for imposing duties, maintaining consistency with broader criminal law aims.</w:t>
      </w:r>
    </w:p>
    <w:p w14:paraId="0A43F332" w14:textId="77777777" w:rsidR="002518F7" w:rsidRPr="002518F7" w:rsidRDefault="002518F7" w:rsidP="00B40DAB">
      <w:pPr>
        <w:numPr>
          <w:ilvl w:val="0"/>
          <w:numId w:val="39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 xml:space="preserve">Avoid using criminal law to enforce morality or “good </w:t>
      </w:r>
      <w:proofErr w:type="spellStart"/>
      <w:r w:rsidRPr="002518F7">
        <w:rPr>
          <w:rFonts w:ascii="Times New Roman" w:hAnsi="Times New Roman"/>
          <w:lang w:val="en-HK"/>
        </w:rPr>
        <w:t>behavior</w:t>
      </w:r>
      <w:proofErr w:type="spellEnd"/>
      <w:r w:rsidRPr="002518F7">
        <w:rPr>
          <w:rFonts w:ascii="Times New Roman" w:hAnsi="Times New Roman"/>
          <w:lang w:val="en-HK"/>
        </w:rPr>
        <w:t>.”</w:t>
      </w:r>
    </w:p>
    <w:p w14:paraId="6BD57CAF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Cases and Scholarly Opinions:</w:t>
      </w:r>
    </w:p>
    <w:p w14:paraId="4F00C6C1" w14:textId="77777777" w:rsidR="00B40DAB" w:rsidRPr="00B40DAB" w:rsidRDefault="002518F7" w:rsidP="00B40DAB">
      <w:pPr>
        <w:numPr>
          <w:ilvl w:val="0"/>
          <w:numId w:val="4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Wacker</w:t>
      </w:r>
      <w:r w:rsidRPr="002518F7">
        <w:rPr>
          <w:rFonts w:ascii="Times New Roman" w:hAnsi="Times New Roman"/>
          <w:lang w:val="en-HK"/>
        </w:rPr>
        <w:t xml:space="preserve"> [2002]:</w:t>
      </w:r>
    </w:p>
    <w:p w14:paraId="13B7AFBD" w14:textId="542C9FF1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Highlighted the role of public policy in defining duties but warned against its dominance.</w:t>
      </w:r>
    </w:p>
    <w:p w14:paraId="0B2C3414" w14:textId="77777777" w:rsidR="00B40DAB" w:rsidRPr="00B40DAB" w:rsidRDefault="002518F7" w:rsidP="00B40DAB">
      <w:pPr>
        <w:numPr>
          <w:ilvl w:val="0"/>
          <w:numId w:val="4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Norrie</w:t>
      </w:r>
      <w:r w:rsidRPr="002518F7">
        <w:rPr>
          <w:rFonts w:ascii="Times New Roman" w:hAnsi="Times New Roman"/>
          <w:lang w:val="en-HK"/>
        </w:rPr>
        <w:t>:</w:t>
      </w:r>
    </w:p>
    <w:p w14:paraId="39961663" w14:textId="042B4615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Critiqued judicial reliance on policy, arguing it undermines legal consistency.</w:t>
      </w:r>
    </w:p>
    <w:p w14:paraId="1A15501D" w14:textId="77777777" w:rsidR="00B40DAB" w:rsidRPr="00B40DAB" w:rsidRDefault="002518F7" w:rsidP="00B40DAB">
      <w:pPr>
        <w:numPr>
          <w:ilvl w:val="0"/>
          <w:numId w:val="40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proofErr w:type="spellStart"/>
      <w:r w:rsidRPr="002518F7">
        <w:rPr>
          <w:rFonts w:ascii="Times New Roman" w:hAnsi="Times New Roman"/>
          <w:b/>
          <w:bCs/>
          <w:lang w:val="en-HK"/>
        </w:rPr>
        <w:t>O’Doherty</w:t>
      </w:r>
      <w:r w:rsidRPr="002518F7">
        <w:rPr>
          <w:rFonts w:ascii="Times New Roman" w:hAnsi="Times New Roman"/>
          <w:lang w:val="en-HK"/>
        </w:rPr>
        <w:t>:</w:t>
      </w:r>
      <w:proofErr w:type="spellEnd"/>
    </w:p>
    <w:p w14:paraId="7C91E8CD" w14:textId="699F29D9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Suggested shifting focus to victim accountability in voluntary risk-taking cases.</w:t>
      </w:r>
    </w:p>
    <w:p w14:paraId="049D0014" w14:textId="77777777" w:rsidR="002518F7" w:rsidRPr="002518F7" w:rsidRDefault="00320BBB" w:rsidP="00B40DAB">
      <w:pPr>
        <w:spacing w:after="240" w:line="360" w:lineRule="auto"/>
        <w:rPr>
          <w:rFonts w:ascii="Times New Roman" w:hAnsi="Times New Roman"/>
          <w:lang w:val="en-HK"/>
        </w:rPr>
      </w:pPr>
      <w:r w:rsidRPr="00320BBB">
        <w:rPr>
          <w:rFonts w:ascii="Times New Roman" w:hAnsi="Times New Roman"/>
          <w:noProof/>
          <w:lang w:val="en-HK"/>
          <w14:ligatures w14:val="standardContextual"/>
        </w:rPr>
        <w:pict w14:anchorId="2D8AD97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18BFA2" w14:textId="77777777" w:rsidR="002518F7" w:rsidRPr="002518F7" w:rsidRDefault="002518F7" w:rsidP="00B40DAB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Conclusion</w:t>
      </w:r>
    </w:p>
    <w:p w14:paraId="4E7C5E73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 xml:space="preserve">Implications of </w:t>
      </w:r>
      <w:r w:rsidRPr="002518F7">
        <w:rPr>
          <w:rFonts w:ascii="Times New Roman" w:hAnsi="Times New Roman"/>
          <w:b/>
          <w:bCs/>
          <w:i/>
          <w:iCs/>
          <w:lang w:val="en-HK"/>
        </w:rPr>
        <w:t>Evans</w:t>
      </w:r>
      <w:r w:rsidRPr="002518F7">
        <w:rPr>
          <w:rFonts w:ascii="Times New Roman" w:hAnsi="Times New Roman"/>
          <w:b/>
          <w:bCs/>
          <w:lang w:val="en-HK"/>
        </w:rPr>
        <w:t>:</w:t>
      </w:r>
    </w:p>
    <w:p w14:paraId="14404F40" w14:textId="77777777" w:rsidR="002518F7" w:rsidRPr="002518F7" w:rsidRDefault="002518F7" w:rsidP="00B40DAB">
      <w:pPr>
        <w:numPr>
          <w:ilvl w:val="0"/>
          <w:numId w:val="4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Expansion of Duty</w:t>
      </w:r>
      <w:r w:rsidRPr="002518F7">
        <w:rPr>
          <w:rFonts w:ascii="Times New Roman" w:hAnsi="Times New Roman"/>
          <w:lang w:val="en-HK"/>
        </w:rPr>
        <w:t>:</w:t>
      </w:r>
    </w:p>
    <w:p w14:paraId="022D0C31" w14:textId="1253EBED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Established potential liability for drug suppliers in gross negligence manslaughter.</w:t>
      </w:r>
    </w:p>
    <w:p w14:paraId="15396149" w14:textId="52FDD272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Risk of broadening duties to all suppliers, blurring lines between criminal and civil liability.</w:t>
      </w:r>
    </w:p>
    <w:p w14:paraId="5555EAD0" w14:textId="77777777" w:rsidR="002518F7" w:rsidRPr="002518F7" w:rsidRDefault="002518F7" w:rsidP="00B40DAB">
      <w:pPr>
        <w:numPr>
          <w:ilvl w:val="0"/>
          <w:numId w:val="41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Unresolved Issues</w:t>
      </w:r>
      <w:r w:rsidRPr="002518F7">
        <w:rPr>
          <w:rFonts w:ascii="Times New Roman" w:hAnsi="Times New Roman"/>
          <w:lang w:val="en-HK"/>
        </w:rPr>
        <w:t>:</w:t>
      </w:r>
    </w:p>
    <w:p w14:paraId="5C1E0E5E" w14:textId="783826C5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>Left key questions about causation, duty boundaries, and voluntary risk unexplored.</w:t>
      </w:r>
    </w:p>
    <w:p w14:paraId="081A2011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Reform Proposals:</w:t>
      </w:r>
    </w:p>
    <w:p w14:paraId="6D4CDF93" w14:textId="77777777" w:rsidR="002518F7" w:rsidRPr="002518F7" w:rsidRDefault="002518F7" w:rsidP="00B40DAB">
      <w:pPr>
        <w:numPr>
          <w:ilvl w:val="0"/>
          <w:numId w:val="4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Law Commission (2006)</w:t>
      </w:r>
      <w:r w:rsidRPr="002518F7">
        <w:rPr>
          <w:rFonts w:ascii="Times New Roman" w:hAnsi="Times New Roman"/>
          <w:lang w:val="en-HK"/>
        </w:rPr>
        <w:t>:</w:t>
      </w:r>
    </w:p>
    <w:p w14:paraId="3929FB78" w14:textId="09213303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lastRenderedPageBreak/>
        <w:t xml:space="preserve">- </w:t>
      </w:r>
      <w:r w:rsidR="002518F7" w:rsidRPr="002518F7">
        <w:rPr>
          <w:rFonts w:ascii="Times New Roman" w:hAnsi="Times New Roman"/>
          <w:lang w:val="en-HK"/>
        </w:rPr>
        <w:t>Recommended replacing duty-based liability with a causation-focused foreseeability test, simplifying legal standards.</w:t>
      </w:r>
    </w:p>
    <w:p w14:paraId="1AA1082F" w14:textId="77777777" w:rsidR="002518F7" w:rsidRPr="002518F7" w:rsidRDefault="002518F7" w:rsidP="00B40DAB">
      <w:pPr>
        <w:numPr>
          <w:ilvl w:val="0"/>
          <w:numId w:val="42"/>
        </w:num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Scholarly Proposals</w:t>
      </w:r>
      <w:r w:rsidRPr="002518F7">
        <w:rPr>
          <w:rFonts w:ascii="Times New Roman" w:hAnsi="Times New Roman"/>
          <w:lang w:val="en-HK"/>
        </w:rPr>
        <w:t>:</w:t>
      </w:r>
    </w:p>
    <w:p w14:paraId="2EC3A188" w14:textId="1EA6F571" w:rsidR="002518F7" w:rsidRPr="002518F7" w:rsidRDefault="00B40DAB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B40DAB">
        <w:rPr>
          <w:rFonts w:ascii="Times New Roman" w:hAnsi="Times New Roman"/>
          <w:lang w:val="en-HK"/>
        </w:rPr>
        <w:t xml:space="preserve">- </w:t>
      </w:r>
      <w:r w:rsidR="002518F7" w:rsidRPr="002518F7">
        <w:rPr>
          <w:rFonts w:ascii="Times New Roman" w:hAnsi="Times New Roman"/>
          <w:lang w:val="en-HK"/>
        </w:rPr>
        <w:t>Leavens: Advocated abolishing the act/omission distinction, focusing solely on causation—a controversial suggestion given its evidentiary challenges.</w:t>
      </w:r>
    </w:p>
    <w:p w14:paraId="2218A990" w14:textId="77777777" w:rsidR="002518F7" w:rsidRPr="002518F7" w:rsidRDefault="002518F7" w:rsidP="00B40DAB">
      <w:pPr>
        <w:spacing w:before="100" w:beforeAutospacing="1"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2518F7">
        <w:rPr>
          <w:rFonts w:ascii="Times New Roman" w:hAnsi="Times New Roman"/>
          <w:b/>
          <w:bCs/>
          <w:lang w:val="en-HK"/>
        </w:rPr>
        <w:t>Final Remarks:</w:t>
      </w:r>
    </w:p>
    <w:p w14:paraId="272DB3E9" w14:textId="77777777" w:rsidR="002518F7" w:rsidRPr="002518F7" w:rsidRDefault="002518F7" w:rsidP="00B40DAB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2518F7">
        <w:rPr>
          <w:rFonts w:ascii="Times New Roman" w:hAnsi="Times New Roman"/>
          <w:lang w:val="en-HK"/>
        </w:rPr>
        <w:t xml:space="preserve">The </w:t>
      </w:r>
      <w:r w:rsidRPr="002518F7">
        <w:rPr>
          <w:rFonts w:ascii="Times New Roman" w:hAnsi="Times New Roman"/>
          <w:i/>
          <w:iCs/>
          <w:lang w:val="en-HK"/>
        </w:rPr>
        <w:t>Evans</w:t>
      </w:r>
      <w:r w:rsidRPr="002518F7">
        <w:rPr>
          <w:rFonts w:ascii="Times New Roman" w:hAnsi="Times New Roman"/>
          <w:lang w:val="en-HK"/>
        </w:rPr>
        <w:t xml:space="preserve"> case highlights tensions between moral expectations, public policy, and legal principles, underscoring the need for clearer legislative and judicial guidance.</w:t>
      </w:r>
    </w:p>
    <w:p w14:paraId="6DBCE911" w14:textId="77777777" w:rsidR="00CD39F1" w:rsidRPr="00B40DAB" w:rsidRDefault="00CD39F1" w:rsidP="00B40DAB">
      <w:pPr>
        <w:spacing w:after="240" w:line="360" w:lineRule="auto"/>
      </w:pPr>
    </w:p>
    <w:sectPr w:rsidR="00CD39F1" w:rsidRPr="00B40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740E0"/>
    <w:multiLevelType w:val="multilevel"/>
    <w:tmpl w:val="059225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9937625"/>
    <w:multiLevelType w:val="multilevel"/>
    <w:tmpl w:val="70A2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C437E"/>
    <w:multiLevelType w:val="multilevel"/>
    <w:tmpl w:val="55EA6E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24D28"/>
    <w:multiLevelType w:val="multilevel"/>
    <w:tmpl w:val="725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71DA1"/>
    <w:multiLevelType w:val="multilevel"/>
    <w:tmpl w:val="9C1E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25522"/>
    <w:multiLevelType w:val="multilevel"/>
    <w:tmpl w:val="7E1E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BD0056"/>
    <w:multiLevelType w:val="multilevel"/>
    <w:tmpl w:val="1A6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737EF"/>
    <w:multiLevelType w:val="multilevel"/>
    <w:tmpl w:val="F72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B7AE7"/>
    <w:multiLevelType w:val="multilevel"/>
    <w:tmpl w:val="AB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941CF"/>
    <w:multiLevelType w:val="multilevel"/>
    <w:tmpl w:val="51409E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14506"/>
    <w:multiLevelType w:val="multilevel"/>
    <w:tmpl w:val="54F8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F7E60"/>
    <w:multiLevelType w:val="multilevel"/>
    <w:tmpl w:val="EDC8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670C9"/>
    <w:multiLevelType w:val="multilevel"/>
    <w:tmpl w:val="301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F47AE"/>
    <w:multiLevelType w:val="multilevel"/>
    <w:tmpl w:val="220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E2B83"/>
    <w:multiLevelType w:val="multilevel"/>
    <w:tmpl w:val="55EA6E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805D7"/>
    <w:multiLevelType w:val="multilevel"/>
    <w:tmpl w:val="657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350DE"/>
    <w:multiLevelType w:val="multilevel"/>
    <w:tmpl w:val="1D4C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694E52"/>
    <w:multiLevelType w:val="multilevel"/>
    <w:tmpl w:val="DC02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A40CA1"/>
    <w:multiLevelType w:val="multilevel"/>
    <w:tmpl w:val="468CEE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C554FC3"/>
    <w:multiLevelType w:val="multilevel"/>
    <w:tmpl w:val="4340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81E90"/>
    <w:multiLevelType w:val="multilevel"/>
    <w:tmpl w:val="7B42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74DE8"/>
    <w:multiLevelType w:val="multilevel"/>
    <w:tmpl w:val="2B6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B621D"/>
    <w:multiLevelType w:val="multilevel"/>
    <w:tmpl w:val="7B9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44473"/>
    <w:multiLevelType w:val="multilevel"/>
    <w:tmpl w:val="604C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A092C"/>
    <w:multiLevelType w:val="multilevel"/>
    <w:tmpl w:val="39EE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4A3AEA"/>
    <w:multiLevelType w:val="multilevel"/>
    <w:tmpl w:val="B9AC82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51D94B42"/>
    <w:multiLevelType w:val="multilevel"/>
    <w:tmpl w:val="AE5C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20CE2"/>
    <w:multiLevelType w:val="multilevel"/>
    <w:tmpl w:val="ED2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978CC"/>
    <w:multiLevelType w:val="multilevel"/>
    <w:tmpl w:val="DC9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277ED"/>
    <w:multiLevelType w:val="multilevel"/>
    <w:tmpl w:val="1886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B22BA7"/>
    <w:multiLevelType w:val="multilevel"/>
    <w:tmpl w:val="A33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080B75"/>
    <w:multiLevelType w:val="multilevel"/>
    <w:tmpl w:val="4E32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003DD9"/>
    <w:multiLevelType w:val="multilevel"/>
    <w:tmpl w:val="EE00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12310"/>
    <w:multiLevelType w:val="multilevel"/>
    <w:tmpl w:val="C7F8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6D6E45"/>
    <w:multiLevelType w:val="multilevel"/>
    <w:tmpl w:val="57D29C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65AB2570"/>
    <w:multiLevelType w:val="multilevel"/>
    <w:tmpl w:val="0254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F6D86"/>
    <w:multiLevelType w:val="multilevel"/>
    <w:tmpl w:val="0FA8DE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692D2669"/>
    <w:multiLevelType w:val="multilevel"/>
    <w:tmpl w:val="6B38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8723BF"/>
    <w:multiLevelType w:val="multilevel"/>
    <w:tmpl w:val="387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5062A"/>
    <w:multiLevelType w:val="multilevel"/>
    <w:tmpl w:val="372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B3863"/>
    <w:multiLevelType w:val="multilevel"/>
    <w:tmpl w:val="55EA6E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66554856">
    <w:abstractNumId w:val="11"/>
  </w:num>
  <w:num w:numId="2" w16cid:durableId="1343043194">
    <w:abstractNumId w:val="31"/>
  </w:num>
  <w:num w:numId="3" w16cid:durableId="306133309">
    <w:abstractNumId w:val="16"/>
  </w:num>
  <w:num w:numId="4" w16cid:durableId="1612736007">
    <w:abstractNumId w:val="5"/>
  </w:num>
  <w:num w:numId="5" w16cid:durableId="626087805">
    <w:abstractNumId w:val="32"/>
  </w:num>
  <w:num w:numId="6" w16cid:durableId="1126964787">
    <w:abstractNumId w:val="8"/>
  </w:num>
  <w:num w:numId="7" w16cid:durableId="1215964196">
    <w:abstractNumId w:val="27"/>
  </w:num>
  <w:num w:numId="8" w16cid:durableId="283998681">
    <w:abstractNumId w:val="19"/>
  </w:num>
  <w:num w:numId="9" w16cid:durableId="1115557647">
    <w:abstractNumId w:val="13"/>
  </w:num>
  <w:num w:numId="10" w16cid:durableId="77556620">
    <w:abstractNumId w:val="38"/>
  </w:num>
  <w:num w:numId="11" w16cid:durableId="1387070944">
    <w:abstractNumId w:val="30"/>
  </w:num>
  <w:num w:numId="12" w16cid:durableId="2091536702">
    <w:abstractNumId w:val="10"/>
  </w:num>
  <w:num w:numId="13" w16cid:durableId="94643516">
    <w:abstractNumId w:val="21"/>
  </w:num>
  <w:num w:numId="14" w16cid:durableId="2099280447">
    <w:abstractNumId w:val="29"/>
  </w:num>
  <w:num w:numId="15" w16cid:durableId="1825972854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959336783">
    <w:abstractNumId w:val="39"/>
  </w:num>
  <w:num w:numId="17" w16cid:durableId="1039208774">
    <w:abstractNumId w:val="7"/>
  </w:num>
  <w:num w:numId="18" w16cid:durableId="652416126">
    <w:abstractNumId w:val="9"/>
  </w:num>
  <w:num w:numId="19" w16cid:durableId="491064465">
    <w:abstractNumId w:val="9"/>
    <w:lvlOverride w:ilvl="1">
      <w:lvl w:ilvl="1">
        <w:numFmt w:val="decimal"/>
        <w:lvlText w:val="%2."/>
        <w:lvlJc w:val="left"/>
      </w:lvl>
    </w:lvlOverride>
  </w:num>
  <w:num w:numId="20" w16cid:durableId="1052582493">
    <w:abstractNumId w:val="24"/>
  </w:num>
  <w:num w:numId="21" w16cid:durableId="1800225648">
    <w:abstractNumId w:val="4"/>
  </w:num>
  <w:num w:numId="22" w16cid:durableId="184172329">
    <w:abstractNumId w:val="20"/>
  </w:num>
  <w:num w:numId="23" w16cid:durableId="1684475756">
    <w:abstractNumId w:val="26"/>
  </w:num>
  <w:num w:numId="24" w16cid:durableId="889458254">
    <w:abstractNumId w:val="28"/>
  </w:num>
  <w:num w:numId="25" w16cid:durableId="1603223217">
    <w:abstractNumId w:val="37"/>
  </w:num>
  <w:num w:numId="26" w16cid:durableId="1430127706">
    <w:abstractNumId w:val="22"/>
  </w:num>
  <w:num w:numId="27" w16cid:durableId="1345522080">
    <w:abstractNumId w:val="6"/>
  </w:num>
  <w:num w:numId="28" w16cid:durableId="1204558924">
    <w:abstractNumId w:val="35"/>
  </w:num>
  <w:num w:numId="29" w16cid:durableId="2096584099">
    <w:abstractNumId w:val="17"/>
  </w:num>
  <w:num w:numId="30" w16cid:durableId="1577982634">
    <w:abstractNumId w:val="2"/>
  </w:num>
  <w:num w:numId="31" w16cid:durableId="2064981407">
    <w:abstractNumId w:val="15"/>
  </w:num>
  <w:num w:numId="32" w16cid:durableId="2057780082">
    <w:abstractNumId w:val="1"/>
  </w:num>
  <w:num w:numId="33" w16cid:durableId="436026589">
    <w:abstractNumId w:val="23"/>
  </w:num>
  <w:num w:numId="34" w16cid:durableId="1969775525">
    <w:abstractNumId w:val="25"/>
  </w:num>
  <w:num w:numId="35" w16cid:durableId="1127509672">
    <w:abstractNumId w:val="3"/>
  </w:num>
  <w:num w:numId="36" w16cid:durableId="665326133">
    <w:abstractNumId w:val="36"/>
  </w:num>
  <w:num w:numId="37" w16cid:durableId="1218471110">
    <w:abstractNumId w:val="12"/>
  </w:num>
  <w:num w:numId="38" w16cid:durableId="1325475716">
    <w:abstractNumId w:val="18"/>
  </w:num>
  <w:num w:numId="39" w16cid:durableId="1573349242">
    <w:abstractNumId w:val="14"/>
  </w:num>
  <w:num w:numId="40" w16cid:durableId="1670988093">
    <w:abstractNumId w:val="40"/>
  </w:num>
  <w:num w:numId="41" w16cid:durableId="1486507625">
    <w:abstractNumId w:val="0"/>
  </w:num>
  <w:num w:numId="42" w16cid:durableId="392629821">
    <w:abstractNumId w:val="34"/>
  </w:num>
  <w:num w:numId="43" w16cid:durableId="213189944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67"/>
    <w:rsid w:val="000147A9"/>
    <w:rsid w:val="00042755"/>
    <w:rsid w:val="0006107D"/>
    <w:rsid w:val="000623A3"/>
    <w:rsid w:val="000719DA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18F7"/>
    <w:rsid w:val="00257540"/>
    <w:rsid w:val="0026510F"/>
    <w:rsid w:val="00291F37"/>
    <w:rsid w:val="00297C6E"/>
    <w:rsid w:val="002D715D"/>
    <w:rsid w:val="002E46F2"/>
    <w:rsid w:val="002F1DB1"/>
    <w:rsid w:val="002F53C9"/>
    <w:rsid w:val="003048A0"/>
    <w:rsid w:val="0031138E"/>
    <w:rsid w:val="0031474F"/>
    <w:rsid w:val="00315815"/>
    <w:rsid w:val="00320BBB"/>
    <w:rsid w:val="003278F5"/>
    <w:rsid w:val="00330665"/>
    <w:rsid w:val="00361975"/>
    <w:rsid w:val="00372ABB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8097D"/>
    <w:rsid w:val="0048175B"/>
    <w:rsid w:val="004845CE"/>
    <w:rsid w:val="004A553E"/>
    <w:rsid w:val="004B1048"/>
    <w:rsid w:val="004D01FE"/>
    <w:rsid w:val="004E458E"/>
    <w:rsid w:val="004F0E12"/>
    <w:rsid w:val="004F5A36"/>
    <w:rsid w:val="00542B57"/>
    <w:rsid w:val="00557B52"/>
    <w:rsid w:val="0058416B"/>
    <w:rsid w:val="00595357"/>
    <w:rsid w:val="005B34ED"/>
    <w:rsid w:val="005C50B3"/>
    <w:rsid w:val="005D57DA"/>
    <w:rsid w:val="005E7702"/>
    <w:rsid w:val="00605F8E"/>
    <w:rsid w:val="00650543"/>
    <w:rsid w:val="00654D8B"/>
    <w:rsid w:val="00661136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B48C2"/>
    <w:rsid w:val="007E1559"/>
    <w:rsid w:val="007F776E"/>
    <w:rsid w:val="00830C88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24974"/>
    <w:rsid w:val="00A37AB0"/>
    <w:rsid w:val="00A4085F"/>
    <w:rsid w:val="00A45953"/>
    <w:rsid w:val="00A93FBA"/>
    <w:rsid w:val="00A95C7E"/>
    <w:rsid w:val="00AB609D"/>
    <w:rsid w:val="00AC0467"/>
    <w:rsid w:val="00AC3AB8"/>
    <w:rsid w:val="00AE4348"/>
    <w:rsid w:val="00AE4BAF"/>
    <w:rsid w:val="00B03D5A"/>
    <w:rsid w:val="00B23297"/>
    <w:rsid w:val="00B360EE"/>
    <w:rsid w:val="00B40DAB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488"/>
    <w:rsid w:val="00DC0040"/>
    <w:rsid w:val="00DC0B7B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95D8D"/>
    <w:rsid w:val="00EA6ED5"/>
    <w:rsid w:val="00EB7051"/>
    <w:rsid w:val="00EC68EB"/>
    <w:rsid w:val="00EC7C43"/>
    <w:rsid w:val="00F012E4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4FB3D"/>
  <w15:chartTrackingRefBased/>
  <w15:docId w15:val="{33EE2948-F8E2-7546-B053-71A8DC45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4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04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6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6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6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6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46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46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C0467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C0467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67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67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67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67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67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C04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6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6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C04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67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AC0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67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C046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249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4974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A249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4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1577</Words>
  <Characters>8995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2024-12-03T16:36:00Z</dcterms:created>
  <dcterms:modified xsi:type="dcterms:W3CDTF">2024-12-03T17:34:00Z</dcterms:modified>
</cp:coreProperties>
</file>