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A2F74" w14:textId="77777777" w:rsidR="00592930" w:rsidRPr="00592930" w:rsidRDefault="00592930" w:rsidP="00BB4100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1. Comparing the Dangerousness of One-Punch Homicides with Other Lesser Fatal Offences</w:t>
      </w:r>
    </w:p>
    <w:p w14:paraId="49EB2B0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t>This section examines how dangerousness is assessed in one-punch homicides compared to other minor fatal offenses. It emphasizes the disproportionate weight placed on outcomes versus actions in such cases.</w:t>
      </w:r>
    </w:p>
    <w:p w14:paraId="5DDE0E6F" w14:textId="77777777" w:rsidR="00592930" w:rsidRPr="0059293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Cases:</w:t>
      </w:r>
    </w:p>
    <w:p w14:paraId="2ADC8F9E" w14:textId="77777777" w:rsidR="00592930" w:rsidRPr="00592930" w:rsidRDefault="00592930" w:rsidP="00BB4100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Mallett [1972] Crim LR 260</w:t>
      </w:r>
      <w:r w:rsidRPr="00592930">
        <w:rPr>
          <w:rFonts w:ascii="Times New Roman" w:hAnsi="Times New Roman"/>
          <w:lang w:val="en-HK"/>
        </w:rPr>
        <w:t>:</w:t>
      </w:r>
    </w:p>
    <w:p w14:paraId="6A7E6B53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Facts</w:t>
      </w:r>
      <w:r w:rsidRPr="00592930">
        <w:rPr>
          <w:rFonts w:ascii="Times New Roman" w:hAnsi="Times New Roman"/>
          <w:lang w:val="en-HK"/>
        </w:rPr>
        <w:t>: D punched V during a quarrel. V fell awkwardly, hitting his head on a paving stone, which caused a fatal injury.</w:t>
      </w:r>
    </w:p>
    <w:p w14:paraId="0EE84192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D was convicted of UDA manslaughter, as the act of punching was unlawful and objectively dangerous.</w:t>
      </w:r>
    </w:p>
    <w:p w14:paraId="7F283F86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Outcome</w:t>
      </w:r>
      <w:r w:rsidRPr="00592930">
        <w:rPr>
          <w:rFonts w:ascii="Times New Roman" w:hAnsi="Times New Roman"/>
          <w:lang w:val="en-HK"/>
        </w:rPr>
        <w:t>: The case established that foreseeability of minor harm was enough for liability, even if death was unforeseen.</w:t>
      </w:r>
    </w:p>
    <w:p w14:paraId="4619EE71" w14:textId="77777777" w:rsidR="00592930" w:rsidRPr="00592930" w:rsidRDefault="00592930" w:rsidP="00BB4100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Williams [1996] 2 Cr App R (S) 72</w:t>
      </w:r>
      <w:r w:rsidRPr="00592930">
        <w:rPr>
          <w:rFonts w:ascii="Times New Roman" w:hAnsi="Times New Roman"/>
          <w:lang w:val="en-HK"/>
        </w:rPr>
        <w:t>:</w:t>
      </w:r>
    </w:p>
    <w:p w14:paraId="6BDD3B2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Facts</w:t>
      </w:r>
      <w:r w:rsidRPr="00592930">
        <w:rPr>
          <w:rFonts w:ascii="Times New Roman" w:hAnsi="Times New Roman"/>
          <w:lang w:val="en-HK"/>
        </w:rPr>
        <w:t>: D slapped and pushed V during an altercation, causing V to fall and strike her head on a heater, leading to death.</w:t>
      </w:r>
    </w:p>
    <w:p w14:paraId="2132C8F8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Convicted of UDA manslaughter, with the court emphasizing the foreseeability of harm, albeit minor.</w:t>
      </w:r>
    </w:p>
    <w:p w14:paraId="3454935B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Outcome</w:t>
      </w:r>
      <w:r w:rsidRPr="00592930">
        <w:rPr>
          <w:rFonts w:ascii="Times New Roman" w:hAnsi="Times New Roman"/>
          <w:lang w:val="en-HK"/>
        </w:rPr>
        <w:t>: Reinforced the broad scope of "dangerousness" under the UDA manslaughter doctrine.</w:t>
      </w:r>
    </w:p>
    <w:p w14:paraId="2BA5EBEB" w14:textId="77777777" w:rsidR="00592930" w:rsidRPr="00592930" w:rsidRDefault="00592930" w:rsidP="00BB4100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Church [1966] 1 QB 59</w:t>
      </w:r>
      <w:r w:rsidRPr="00592930">
        <w:rPr>
          <w:rFonts w:ascii="Times New Roman" w:hAnsi="Times New Roman"/>
          <w:lang w:val="en-HK"/>
        </w:rPr>
        <w:t>:</w:t>
      </w:r>
    </w:p>
    <w:p w14:paraId="1758526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Facts</w:t>
      </w:r>
      <w:r w:rsidRPr="00592930">
        <w:rPr>
          <w:rFonts w:ascii="Times New Roman" w:hAnsi="Times New Roman"/>
          <w:lang w:val="en-HK"/>
        </w:rPr>
        <w:t>: D knocked V unconscious during a fight and, thinking V was dead, disposed of her body in a river, where she drowned.</w:t>
      </w:r>
    </w:p>
    <w:p w14:paraId="325D8CC3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The act was objectively dangerous, as determined by a sober and reasonable person’s perspective.</w:t>
      </w:r>
    </w:p>
    <w:p w14:paraId="49EDE4CA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lastRenderedPageBreak/>
        <w:t>Outcome</w:t>
      </w:r>
      <w:r w:rsidRPr="00592930">
        <w:rPr>
          <w:rFonts w:ascii="Times New Roman" w:hAnsi="Times New Roman"/>
          <w:lang w:val="en-HK"/>
        </w:rPr>
        <w:t>: Set a precedent for the objective test of dangerousness in UDA manslaughter.</w:t>
      </w:r>
    </w:p>
    <w:p w14:paraId="466EEBF4" w14:textId="77777777" w:rsidR="00592930" w:rsidRPr="00BB410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Scholarly Opinion:</w:t>
      </w:r>
    </w:p>
    <w:p w14:paraId="655A6FF0" w14:textId="05039010" w:rsidR="00BB4100" w:rsidRPr="00592930" w:rsidRDefault="00BB4100" w:rsidP="00BB4100">
      <w:pPr>
        <w:pStyle w:val="NormalWeb"/>
        <w:spacing w:after="240" w:afterAutospacing="0" w:line="360" w:lineRule="auto"/>
      </w:pPr>
      <w:r w:rsidRPr="00BB4100">
        <w:t>A</w:t>
      </w:r>
      <w:r w:rsidRPr="00BB4100">
        <w:t xml:space="preserve"> common minimum level of moral culpability for all forms of criminal homicide</w:t>
      </w:r>
      <w:r w:rsidRPr="00BB4100">
        <w:t>.</w:t>
      </w:r>
      <w:r w:rsidRPr="00BB4100">
        <w:rPr>
          <w:rStyle w:val="FootnoteReference"/>
        </w:rPr>
        <w:footnoteReference w:id="1"/>
      </w:r>
      <w:r w:rsidRPr="00BB4100">
        <w:t xml:space="preserve"> </w:t>
      </w:r>
    </w:p>
    <w:p w14:paraId="585B7A3B" w14:textId="77777777" w:rsidR="00592930" w:rsidRPr="00592930" w:rsidRDefault="00937E2F" w:rsidP="00BB4100">
      <w:pPr>
        <w:spacing w:after="240" w:line="360" w:lineRule="auto"/>
        <w:rPr>
          <w:rFonts w:ascii="Times New Roman" w:hAnsi="Times New Roman"/>
          <w:lang w:val="en-HK"/>
        </w:rPr>
      </w:pPr>
      <w:r w:rsidRPr="00937E2F">
        <w:rPr>
          <w:rFonts w:ascii="Times New Roman" w:hAnsi="Times New Roman"/>
          <w:noProof/>
          <w:lang w:val="en-HK"/>
          <w14:ligatures w14:val="standardContextual"/>
        </w:rPr>
        <w:pict w14:anchorId="05571F3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6D200B" w14:textId="77777777" w:rsidR="00592930" w:rsidRPr="00592930" w:rsidRDefault="00592930" w:rsidP="00BB4100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2. Moral Luck and the Scope of Moral Culpability</w:t>
      </w:r>
    </w:p>
    <w:p w14:paraId="1D733471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t>This section critiques the moral culpability assigned to defendants in one-punch homicide cases, emphasizing the disproportionate weight of unforeseen outcomes.</w:t>
      </w:r>
    </w:p>
    <w:p w14:paraId="67AFA2D9" w14:textId="77777777" w:rsidR="00592930" w:rsidRPr="0059293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Cases:</w:t>
      </w:r>
    </w:p>
    <w:p w14:paraId="580749D4" w14:textId="77777777" w:rsidR="00592930" w:rsidRPr="00592930" w:rsidRDefault="00592930" w:rsidP="00BB4100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Mitchell (1983) 76 Cr App R 293</w:t>
      </w:r>
      <w:r w:rsidRPr="00592930">
        <w:rPr>
          <w:rFonts w:ascii="Times New Roman" w:hAnsi="Times New Roman"/>
          <w:lang w:val="en-HK"/>
        </w:rPr>
        <w:t>:</w:t>
      </w:r>
    </w:p>
    <w:p w14:paraId="2AA8328B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Facts</w:t>
      </w:r>
      <w:r w:rsidRPr="00592930">
        <w:rPr>
          <w:rFonts w:ascii="Times New Roman" w:hAnsi="Times New Roman"/>
          <w:lang w:val="en-HK"/>
        </w:rPr>
        <w:t>: D pushed an elderly man, who fell onto a woman. The woman sustained injuries leading to her death.</w:t>
      </w:r>
    </w:p>
    <w:p w14:paraId="11A7C0E3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Convicted of UDA manslaughter, as the act of pushing was dangerous, especially given the victim's frailty.</w:t>
      </w:r>
    </w:p>
    <w:p w14:paraId="6B9F756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Outcome</w:t>
      </w:r>
      <w:r w:rsidRPr="00592930">
        <w:rPr>
          <w:rFonts w:ascii="Times New Roman" w:hAnsi="Times New Roman"/>
          <w:lang w:val="en-HK"/>
        </w:rPr>
        <w:t>: Demonstrated the significance of victim vulnerability in determining culpability.</w:t>
      </w:r>
    </w:p>
    <w:p w14:paraId="5F676E9E" w14:textId="77777777" w:rsidR="00592930" w:rsidRPr="00592930" w:rsidRDefault="00592930" w:rsidP="00BB4100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Watson [1989] 2 All ER 865</w:t>
      </w:r>
      <w:r w:rsidRPr="00592930">
        <w:rPr>
          <w:rFonts w:ascii="Times New Roman" w:hAnsi="Times New Roman"/>
          <w:lang w:val="en-HK"/>
        </w:rPr>
        <w:t>:</w:t>
      </w:r>
    </w:p>
    <w:p w14:paraId="1E0B95D1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Facts</w:t>
      </w:r>
      <w:r w:rsidRPr="00592930">
        <w:rPr>
          <w:rFonts w:ascii="Times New Roman" w:hAnsi="Times New Roman"/>
          <w:lang w:val="en-HK"/>
        </w:rPr>
        <w:t>: D burglarized an elderly man's home, causing him to suffer a fatal heart attack due to stress.</w:t>
      </w:r>
    </w:p>
    <w:p w14:paraId="3D7F346A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Convicted as the victim’s frailty was apparent, making D's actions dangerous.</w:t>
      </w:r>
    </w:p>
    <w:p w14:paraId="540A96E8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Outcome</w:t>
      </w:r>
      <w:r w:rsidRPr="00592930">
        <w:rPr>
          <w:rFonts w:ascii="Times New Roman" w:hAnsi="Times New Roman"/>
          <w:lang w:val="en-HK"/>
        </w:rPr>
        <w:t>: Highlighted how foreseeability of harm is influenced by victim characteristics.</w:t>
      </w:r>
    </w:p>
    <w:p w14:paraId="354C184D" w14:textId="77777777" w:rsidR="00592930" w:rsidRPr="00592930" w:rsidRDefault="00592930" w:rsidP="00BB4100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R v Dawson (1985) 81 Cr App R 150</w:t>
      </w:r>
      <w:r w:rsidRPr="00592930">
        <w:rPr>
          <w:rFonts w:ascii="Times New Roman" w:hAnsi="Times New Roman"/>
          <w:lang w:val="en-HK"/>
        </w:rPr>
        <w:t>:</w:t>
      </w:r>
    </w:p>
    <w:p w14:paraId="434D0988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lastRenderedPageBreak/>
        <w:t>Facts</w:t>
      </w:r>
      <w:r w:rsidRPr="00592930">
        <w:rPr>
          <w:rFonts w:ascii="Times New Roman" w:hAnsi="Times New Roman"/>
          <w:lang w:val="en-HK"/>
        </w:rPr>
        <w:t>: D committed robbery but was unaware of the victim’s heart condition. The victim suffered a fatal heart attack.</w:t>
      </w:r>
    </w:p>
    <w:p w14:paraId="7D736BC9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Held</w:t>
      </w:r>
      <w:r w:rsidRPr="00592930">
        <w:rPr>
          <w:rFonts w:ascii="Times New Roman" w:hAnsi="Times New Roman"/>
          <w:lang w:val="en-HK"/>
        </w:rPr>
        <w:t>: Not guilty, as the risk of harm was not apparent to a reasonable person.</w:t>
      </w:r>
    </w:p>
    <w:p w14:paraId="4FFB05DD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Outcome</w:t>
      </w:r>
      <w:r w:rsidRPr="00592930">
        <w:rPr>
          <w:rFonts w:ascii="Times New Roman" w:hAnsi="Times New Roman"/>
          <w:lang w:val="en-HK"/>
        </w:rPr>
        <w:t>: Limited liability to cases where risk was foreseeable.</w:t>
      </w:r>
    </w:p>
    <w:p w14:paraId="5EBBCF70" w14:textId="77777777" w:rsidR="00BB4100" w:rsidRPr="00BB410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Scholarly Opinion:</w:t>
      </w:r>
    </w:p>
    <w:p w14:paraId="3901D5E7" w14:textId="38251981" w:rsidR="00BB4100" w:rsidRPr="00BB4100" w:rsidRDefault="00BB4100" w:rsidP="00BB4100">
      <w:pPr>
        <w:pStyle w:val="NormalWeb"/>
        <w:spacing w:after="240" w:afterAutospacing="0" w:line="360" w:lineRule="auto"/>
      </w:pPr>
      <w:r w:rsidRPr="00BB4100">
        <w:t xml:space="preserve">- </w:t>
      </w:r>
      <w:r w:rsidRPr="00BB4100">
        <w:t xml:space="preserve">Jeremy </w:t>
      </w:r>
      <w:proofErr w:type="spellStart"/>
      <w:r w:rsidRPr="00BB4100">
        <w:t>Horder</w:t>
      </w:r>
      <w:proofErr w:type="spellEnd"/>
      <w:r w:rsidRPr="00BB4100">
        <w:t xml:space="preserve"> has argued that the courts have applied a principle that the harm for which D is criminally liable must not be disproportionate to that which he intended or foresaw</w:t>
      </w:r>
      <w:r w:rsidRPr="00BB4100">
        <w:rPr>
          <w:rStyle w:val="FootnoteReference"/>
        </w:rPr>
        <w:footnoteReference w:id="2"/>
      </w:r>
    </w:p>
    <w:p w14:paraId="59A5FAC2" w14:textId="166C548F" w:rsidR="00BB4100" w:rsidRPr="00BB4100" w:rsidRDefault="00BB4100" w:rsidP="00BB4100">
      <w:pPr>
        <w:pStyle w:val="NormalWeb"/>
        <w:shd w:val="clear" w:color="auto" w:fill="FFFFFF"/>
        <w:spacing w:after="240" w:afterAutospacing="0" w:line="360" w:lineRule="auto"/>
      </w:pPr>
      <w:r w:rsidRPr="00BB4100">
        <w:t xml:space="preserve">- </w:t>
      </w:r>
      <w:r w:rsidRPr="00BB4100">
        <w:t xml:space="preserve">Unfortunately, as Ashworth has very recently shown, it seems that the problem of closing the gap and maintaining a sense of proportionality continues to be ignored or overlooked, not only in causing death by dangerous driving (where "dangerous' requires a risk of personal injury or substantial damage to property) but also in the new offence of corporate manslaughter which is completely silent on the nature of the risk </w:t>
      </w:r>
    </w:p>
    <w:p w14:paraId="705A1949" w14:textId="4CC28D84" w:rsidR="00592930" w:rsidRPr="00592930" w:rsidRDefault="00937E2F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937E2F">
        <w:rPr>
          <w:rFonts w:ascii="Times New Roman" w:hAnsi="Times New Roman"/>
          <w:noProof/>
          <w:lang w:val="en-HK"/>
          <w14:ligatures w14:val="standardContextual"/>
        </w:rPr>
        <w:pict w14:anchorId="7A54BA6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88EA13" w14:textId="77777777" w:rsidR="00592930" w:rsidRPr="00592930" w:rsidRDefault="00592930" w:rsidP="00BB4100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3. The Importance of Consequences</w:t>
      </w:r>
    </w:p>
    <w:p w14:paraId="5E88AB99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t>This section argues for considering the outcomes of actions in determining liability, balancing moral culpability and societal perceptions.</w:t>
      </w:r>
    </w:p>
    <w:p w14:paraId="3C2BFE79" w14:textId="77777777" w:rsidR="00592930" w:rsidRPr="0059293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Key Theories:</w:t>
      </w:r>
    </w:p>
    <w:p w14:paraId="7ECE456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592930">
        <w:rPr>
          <w:rFonts w:ascii="Times New Roman" w:hAnsi="Times New Roman"/>
          <w:b/>
          <w:bCs/>
          <w:lang w:val="en-HK"/>
        </w:rPr>
        <w:t>Honore's</w:t>
      </w:r>
      <w:proofErr w:type="spellEnd"/>
      <w:r w:rsidRPr="00592930">
        <w:rPr>
          <w:rFonts w:ascii="Times New Roman" w:hAnsi="Times New Roman"/>
          <w:b/>
          <w:bCs/>
          <w:lang w:val="en-HK"/>
        </w:rPr>
        <w:t xml:space="preserve"> "Betting Argument"</w:t>
      </w:r>
      <w:r w:rsidRPr="00592930">
        <w:rPr>
          <w:rFonts w:ascii="Times New Roman" w:hAnsi="Times New Roman"/>
          <w:lang w:val="en-HK"/>
        </w:rPr>
        <w:t>:</w:t>
      </w:r>
    </w:p>
    <w:p w14:paraId="4A48FA93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t>Suggests that accepting risks is inherent in daily life, and individuals must be judged by the consequences of their actions, as these define their agency.</w:t>
      </w:r>
    </w:p>
    <w:p w14:paraId="6CC1ACCC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Public Perception</w:t>
      </w:r>
      <w:r w:rsidRPr="00592930">
        <w:rPr>
          <w:rFonts w:ascii="Times New Roman" w:hAnsi="Times New Roman"/>
          <w:lang w:val="en-HK"/>
        </w:rPr>
        <w:t>:</w:t>
      </w:r>
    </w:p>
    <w:p w14:paraId="5D0EEE51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lastRenderedPageBreak/>
        <w:t>Surveys reveal public reluctance to convict defendants for unforeseeable fatal outcomes unless the link between the act and death is narrow (e.g., the thin-skull scenario).</w:t>
      </w:r>
    </w:p>
    <w:p w14:paraId="20D97BF5" w14:textId="77777777" w:rsidR="00592930" w:rsidRPr="00592930" w:rsidRDefault="00937E2F" w:rsidP="00BB4100">
      <w:pPr>
        <w:spacing w:after="240" w:line="360" w:lineRule="auto"/>
        <w:rPr>
          <w:rFonts w:ascii="Times New Roman" w:hAnsi="Times New Roman"/>
          <w:lang w:val="en-HK"/>
        </w:rPr>
      </w:pPr>
      <w:r w:rsidRPr="00937E2F">
        <w:rPr>
          <w:rFonts w:ascii="Times New Roman" w:hAnsi="Times New Roman"/>
          <w:noProof/>
          <w:lang w:val="en-HK"/>
          <w14:ligatures w14:val="standardContextual"/>
        </w:rPr>
        <w:pict w14:anchorId="1F7FB0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753A5F" w14:textId="77777777" w:rsidR="00592930" w:rsidRPr="00592930" w:rsidRDefault="00592930" w:rsidP="00BB4100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4. An Irish Compromise Solution</w:t>
      </w:r>
    </w:p>
    <w:p w14:paraId="764D3C94" w14:textId="77777777" w:rsidR="00592930" w:rsidRPr="00592930" w:rsidRDefault="0059293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592930">
        <w:rPr>
          <w:rFonts w:ascii="Times New Roman" w:hAnsi="Times New Roman"/>
          <w:lang w:val="en-HK"/>
        </w:rPr>
        <w:t>The Law Reform Commission of Ireland (LRC) proposes creating a new offense, "assault causing death," for minor assaults resulting in unforeseeable fatalities. This would be placed below involuntary manslaughter on the hierarchy.</w:t>
      </w:r>
    </w:p>
    <w:p w14:paraId="0C19F374" w14:textId="77777777" w:rsidR="00592930" w:rsidRPr="00592930" w:rsidRDefault="00592930" w:rsidP="00BB4100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Scholarly Criticism:</w:t>
      </w:r>
    </w:p>
    <w:p w14:paraId="5A9D5C04" w14:textId="116F47D0" w:rsidR="00592930" w:rsidRPr="00592930" w:rsidRDefault="00BB410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B4100">
        <w:rPr>
          <w:rFonts w:ascii="Times New Roman" w:hAnsi="Times New Roman"/>
          <w:lang w:val="en-HK"/>
        </w:rPr>
        <w:t xml:space="preserve">- </w:t>
      </w:r>
      <w:r w:rsidR="00592930" w:rsidRPr="00592930">
        <w:rPr>
          <w:rFonts w:ascii="Times New Roman" w:hAnsi="Times New Roman"/>
          <w:lang w:val="en-HK"/>
        </w:rPr>
        <w:t>The LRC's proposal fails to provide a clear rationale for distinguishing between offenses based on moral culpability.</w:t>
      </w:r>
    </w:p>
    <w:p w14:paraId="61DFEC1A" w14:textId="13DA93A8" w:rsidR="00592930" w:rsidRPr="00592930" w:rsidRDefault="00BB410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B4100">
        <w:rPr>
          <w:rFonts w:ascii="Times New Roman" w:hAnsi="Times New Roman"/>
          <w:lang w:val="en-HK"/>
        </w:rPr>
        <w:t xml:space="preserve">- </w:t>
      </w:r>
      <w:r w:rsidR="00592930" w:rsidRPr="00592930">
        <w:rPr>
          <w:rFonts w:ascii="Times New Roman" w:hAnsi="Times New Roman"/>
          <w:lang w:val="en-HK"/>
        </w:rPr>
        <w:t>While the proposal acknowledges victim family trauma, it does not justify the inclusion of unforeseen outcomes in criminal liability.</w:t>
      </w:r>
    </w:p>
    <w:p w14:paraId="66719BCD" w14:textId="77777777" w:rsidR="00592930" w:rsidRPr="00592930" w:rsidRDefault="00937E2F" w:rsidP="00BB4100">
      <w:pPr>
        <w:spacing w:after="240" w:line="360" w:lineRule="auto"/>
        <w:rPr>
          <w:rFonts w:ascii="Times New Roman" w:hAnsi="Times New Roman"/>
          <w:lang w:val="en-HK"/>
        </w:rPr>
      </w:pPr>
      <w:r w:rsidRPr="00937E2F">
        <w:rPr>
          <w:rFonts w:ascii="Times New Roman" w:hAnsi="Times New Roman"/>
          <w:noProof/>
          <w:lang w:val="en-HK"/>
          <w14:ligatures w14:val="standardContextual"/>
        </w:rPr>
        <w:pict w14:anchorId="00B04D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40A407" w14:textId="62B1466E" w:rsidR="00592930" w:rsidRPr="00592930" w:rsidRDefault="00592930" w:rsidP="00BB4100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92930">
        <w:rPr>
          <w:rFonts w:ascii="Times New Roman" w:hAnsi="Times New Roman"/>
          <w:b/>
          <w:bCs/>
          <w:lang w:val="en-HK"/>
        </w:rPr>
        <w:t>5. Final Argument:</w:t>
      </w:r>
    </w:p>
    <w:p w14:paraId="0DE17271" w14:textId="38304472" w:rsidR="00592930" w:rsidRPr="00592930" w:rsidRDefault="00BB410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B4100">
        <w:rPr>
          <w:rFonts w:ascii="Times New Roman" w:hAnsi="Times New Roman"/>
          <w:lang w:val="en-HK"/>
        </w:rPr>
        <w:t xml:space="preserve">- </w:t>
      </w:r>
      <w:r w:rsidR="00592930" w:rsidRPr="00592930">
        <w:rPr>
          <w:rFonts w:ascii="Times New Roman" w:hAnsi="Times New Roman"/>
          <w:lang w:val="en-HK"/>
        </w:rPr>
        <w:t>Liability should reflect the inherent dangerousness of the activity and the foreseeability of harm.</w:t>
      </w:r>
    </w:p>
    <w:p w14:paraId="1CF020FC" w14:textId="5F22CD78" w:rsidR="00592930" w:rsidRPr="00592930" w:rsidRDefault="00BB4100" w:rsidP="00BB4100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B4100">
        <w:rPr>
          <w:rFonts w:ascii="Times New Roman" w:hAnsi="Times New Roman"/>
          <w:lang w:val="en-HK"/>
        </w:rPr>
        <w:t xml:space="preserve">- </w:t>
      </w:r>
      <w:r w:rsidR="00592930" w:rsidRPr="00592930">
        <w:rPr>
          <w:rFonts w:ascii="Times New Roman" w:hAnsi="Times New Roman"/>
          <w:lang w:val="en-HK"/>
        </w:rPr>
        <w:t>Current laws fail to achieve proportionality, necessitating a narrower definition of UDA manslaughter.</w:t>
      </w:r>
    </w:p>
    <w:p w14:paraId="20002534" w14:textId="77777777" w:rsidR="00CD39F1" w:rsidRPr="00BB4100" w:rsidRDefault="00CD39F1" w:rsidP="00BB4100">
      <w:pPr>
        <w:spacing w:after="240" w:line="360" w:lineRule="auto"/>
        <w:rPr>
          <w:rFonts w:ascii="Times New Roman" w:hAnsi="Times New Roman"/>
        </w:rPr>
      </w:pPr>
    </w:p>
    <w:sectPr w:rsidR="00CD39F1" w:rsidRPr="00BB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99111" w14:textId="77777777" w:rsidR="00937E2F" w:rsidRDefault="00937E2F" w:rsidP="00BB4100">
      <w:r>
        <w:separator/>
      </w:r>
    </w:p>
  </w:endnote>
  <w:endnote w:type="continuationSeparator" w:id="0">
    <w:p w14:paraId="7D1E69F9" w14:textId="77777777" w:rsidR="00937E2F" w:rsidRDefault="00937E2F" w:rsidP="00BB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AEC6F" w14:textId="77777777" w:rsidR="00937E2F" w:rsidRDefault="00937E2F" w:rsidP="00BB4100">
      <w:r>
        <w:separator/>
      </w:r>
    </w:p>
  </w:footnote>
  <w:footnote w:type="continuationSeparator" w:id="0">
    <w:p w14:paraId="7892ACE9" w14:textId="77777777" w:rsidR="00937E2F" w:rsidRDefault="00937E2F" w:rsidP="00BB4100">
      <w:r>
        <w:continuationSeparator/>
      </w:r>
    </w:p>
  </w:footnote>
  <w:footnote w:id="1">
    <w:p w14:paraId="0042AD73" w14:textId="54F4B90E" w:rsidR="00BB4100" w:rsidRPr="00BB4100" w:rsidRDefault="00BB4100" w:rsidP="00BB4100">
      <w:pPr>
        <w:pStyle w:val="NormalWeb"/>
        <w:shd w:val="clear" w:color="auto" w:fill="FFFFFF"/>
        <w:spacing w:before="0" w:beforeAutospacing="0" w:after="0" w:afterAutospacing="0" w:line="360" w:lineRule="auto"/>
        <w:rPr>
          <w:vertAlign w:val="superscript"/>
        </w:rPr>
      </w:pPr>
      <w:r w:rsidRPr="00BB4100">
        <w:rPr>
          <w:rStyle w:val="FootnoteReference"/>
        </w:rPr>
        <w:footnoteRef/>
      </w:r>
      <w:r w:rsidRPr="00BB4100">
        <w:rPr>
          <w:vertAlign w:val="superscript"/>
        </w:rPr>
        <w:t xml:space="preserve"> </w:t>
      </w:r>
      <w:r w:rsidRPr="00BB4100">
        <w:rPr>
          <w:vertAlign w:val="superscript"/>
        </w:rPr>
        <w:t xml:space="preserve">A. Ashworth, "Manslaughter: Generic or Nominate Offences?' in C. M. V. Clarkson and S. Cunningham (eds), </w:t>
      </w:r>
      <w:r w:rsidRPr="00BB4100">
        <w:rPr>
          <w:i/>
          <w:iCs/>
          <w:vertAlign w:val="superscript"/>
        </w:rPr>
        <w:t xml:space="preserve">Criminal Liability for Non-aggressive Death </w:t>
      </w:r>
      <w:r w:rsidRPr="00BB4100">
        <w:rPr>
          <w:vertAlign w:val="superscript"/>
        </w:rPr>
        <w:t xml:space="preserve">(Ashgate Publishing: Aldershot, 2008) 236-9. </w:t>
      </w:r>
    </w:p>
  </w:footnote>
  <w:footnote w:id="2">
    <w:p w14:paraId="680772C7" w14:textId="26BD42DB" w:rsidR="00BB4100" w:rsidRPr="00BB4100" w:rsidRDefault="00BB4100" w:rsidP="00BB4100">
      <w:pPr>
        <w:pStyle w:val="NormalWeb"/>
        <w:shd w:val="clear" w:color="auto" w:fill="FFFFFF"/>
        <w:spacing w:before="0" w:beforeAutospacing="0" w:after="0" w:afterAutospacing="0" w:line="360" w:lineRule="auto"/>
        <w:rPr>
          <w:vertAlign w:val="superscript"/>
        </w:rPr>
      </w:pPr>
      <w:r w:rsidRPr="00BB4100">
        <w:rPr>
          <w:rStyle w:val="FootnoteReference"/>
        </w:rPr>
        <w:footnoteRef/>
      </w:r>
      <w:r w:rsidRPr="00BB4100">
        <w:rPr>
          <w:vertAlign w:val="superscript"/>
        </w:rPr>
        <w:t xml:space="preserve"> </w:t>
      </w:r>
      <w:r w:rsidRPr="00BB4100">
        <w:rPr>
          <w:vertAlign w:val="superscript"/>
        </w:rPr>
        <w:t xml:space="preserve">J. </w:t>
      </w:r>
      <w:proofErr w:type="spellStart"/>
      <w:r w:rsidRPr="00BB4100">
        <w:rPr>
          <w:vertAlign w:val="superscript"/>
        </w:rPr>
        <w:t>Horder</w:t>
      </w:r>
      <w:proofErr w:type="spellEnd"/>
      <w:r w:rsidRPr="00BB4100">
        <w:rPr>
          <w:vertAlign w:val="superscript"/>
        </w:rPr>
        <w:t xml:space="preserve">, "Two Histories and Four Hidden Principles of </w:t>
      </w:r>
      <w:proofErr w:type="spellStart"/>
      <w:r w:rsidRPr="00BB4100">
        <w:rPr>
          <w:i/>
          <w:iCs/>
          <w:vertAlign w:val="superscript"/>
        </w:rPr>
        <w:t>Mens</w:t>
      </w:r>
      <w:proofErr w:type="spellEnd"/>
      <w:r w:rsidRPr="00BB4100">
        <w:rPr>
          <w:i/>
          <w:iCs/>
          <w:vertAlign w:val="superscript"/>
        </w:rPr>
        <w:t xml:space="preserve"> Rea' </w:t>
      </w:r>
      <w:r w:rsidRPr="00BB4100">
        <w:rPr>
          <w:vertAlign w:val="superscript"/>
        </w:rPr>
        <w:t xml:space="preserve">(1997) 113 LQR 95 at 96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17A1A"/>
    <w:multiLevelType w:val="multilevel"/>
    <w:tmpl w:val="09DC7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EAA6716"/>
    <w:multiLevelType w:val="multilevel"/>
    <w:tmpl w:val="1EC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80478"/>
    <w:multiLevelType w:val="multilevel"/>
    <w:tmpl w:val="529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2463"/>
    <w:multiLevelType w:val="multilevel"/>
    <w:tmpl w:val="44C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F13D1"/>
    <w:multiLevelType w:val="hybridMultilevel"/>
    <w:tmpl w:val="ED50D5A2"/>
    <w:lvl w:ilvl="0" w:tplc="24F075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A5C6C"/>
    <w:multiLevelType w:val="multilevel"/>
    <w:tmpl w:val="BF0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D4F17"/>
    <w:multiLevelType w:val="multilevel"/>
    <w:tmpl w:val="C96A7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A5344E6"/>
    <w:multiLevelType w:val="hybridMultilevel"/>
    <w:tmpl w:val="9EC80CD4"/>
    <w:lvl w:ilvl="0" w:tplc="F1C00A76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F46C2"/>
    <w:multiLevelType w:val="multilevel"/>
    <w:tmpl w:val="916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920743">
    <w:abstractNumId w:val="6"/>
  </w:num>
  <w:num w:numId="2" w16cid:durableId="690186697">
    <w:abstractNumId w:val="1"/>
  </w:num>
  <w:num w:numId="3" w16cid:durableId="2139955193">
    <w:abstractNumId w:val="0"/>
  </w:num>
  <w:num w:numId="4" w16cid:durableId="1603107015">
    <w:abstractNumId w:val="2"/>
  </w:num>
  <w:num w:numId="5" w16cid:durableId="1700470668">
    <w:abstractNumId w:val="3"/>
  </w:num>
  <w:num w:numId="6" w16cid:durableId="1113943926">
    <w:abstractNumId w:val="8"/>
  </w:num>
  <w:num w:numId="7" w16cid:durableId="821311716">
    <w:abstractNumId w:val="5"/>
  </w:num>
  <w:num w:numId="8" w16cid:durableId="1251499761">
    <w:abstractNumId w:val="4"/>
  </w:num>
  <w:num w:numId="9" w16cid:durableId="1134830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F3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9F3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E458E"/>
    <w:rsid w:val="004F0E12"/>
    <w:rsid w:val="004F5A36"/>
    <w:rsid w:val="00542B57"/>
    <w:rsid w:val="00557B52"/>
    <w:rsid w:val="0058416B"/>
    <w:rsid w:val="00592930"/>
    <w:rsid w:val="00595357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DDB"/>
    <w:rsid w:val="008F4EA7"/>
    <w:rsid w:val="008F5A10"/>
    <w:rsid w:val="00905ED0"/>
    <w:rsid w:val="0093405B"/>
    <w:rsid w:val="00937E2F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B4100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32C0"/>
  <w15:chartTrackingRefBased/>
  <w15:docId w15:val="{B833588A-16A5-C642-88BA-17967902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9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59F3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A59F3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F3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F3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F3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F3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F3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5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F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F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5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F3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A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F3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59F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2930"/>
    <w:rPr>
      <w:b/>
      <w:bCs/>
    </w:rPr>
  </w:style>
  <w:style w:type="paragraph" w:styleId="NormalWeb">
    <w:name w:val="Normal (Web)"/>
    <w:basedOn w:val="Normal"/>
    <w:uiPriority w:val="99"/>
    <w:unhideWhenUsed/>
    <w:rsid w:val="00592930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410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4100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41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1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0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6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9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026CBB-DE34-884B-8CA7-97F3C8049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2024-12-03T09:16:00Z</dcterms:created>
  <dcterms:modified xsi:type="dcterms:W3CDTF">2024-12-03T10:24:00Z</dcterms:modified>
</cp:coreProperties>
</file>