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7EC864" w14:textId="77777777" w:rsidR="003250E9" w:rsidRPr="003250E9" w:rsidRDefault="003250E9" w:rsidP="003250E9">
      <w:pPr>
        <w:spacing w:before="100" w:beforeAutospacing="1" w:after="240" w:line="360" w:lineRule="auto"/>
        <w:outlineLvl w:val="2"/>
        <w:rPr>
          <w:rFonts w:ascii="Times New Roman" w:hAnsi="Times New Roman"/>
          <w:b/>
          <w:bCs/>
          <w:lang w:val="en-HK"/>
        </w:rPr>
      </w:pPr>
      <w:r w:rsidRPr="003250E9">
        <w:rPr>
          <w:rFonts w:ascii="Times New Roman" w:hAnsi="Times New Roman"/>
          <w:b/>
          <w:bCs/>
          <w:lang w:val="en-HK"/>
        </w:rPr>
        <w:t>1. Introduction</w:t>
      </w:r>
    </w:p>
    <w:p w14:paraId="45DA7E2B" w14:textId="77777777" w:rsidR="003250E9" w:rsidRPr="003250E9" w:rsidRDefault="003250E9" w:rsidP="003250E9">
      <w:pPr>
        <w:spacing w:before="100" w:beforeAutospacing="1" w:after="240" w:line="360" w:lineRule="auto"/>
        <w:rPr>
          <w:rFonts w:ascii="Times New Roman" w:hAnsi="Times New Roman"/>
          <w:lang w:val="en-HK"/>
        </w:rPr>
      </w:pPr>
      <w:r w:rsidRPr="003250E9">
        <w:rPr>
          <w:rFonts w:ascii="Times New Roman" w:hAnsi="Times New Roman"/>
          <w:b/>
          <w:bCs/>
          <w:lang w:val="en-HK"/>
        </w:rPr>
        <w:t>Core Argument</w:t>
      </w:r>
      <w:r w:rsidRPr="003250E9">
        <w:rPr>
          <w:rFonts w:ascii="Times New Roman" w:hAnsi="Times New Roman"/>
          <w:lang w:val="en-HK"/>
        </w:rPr>
        <w:t>:</w:t>
      </w:r>
    </w:p>
    <w:p w14:paraId="6A27094A" w14:textId="5CABD235" w:rsidR="003250E9" w:rsidRPr="003250E9" w:rsidRDefault="003250E9" w:rsidP="003250E9">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3250E9">
        <w:rPr>
          <w:rFonts w:ascii="Times New Roman" w:hAnsi="Times New Roman"/>
          <w:lang w:val="en-HK"/>
        </w:rPr>
        <w:t xml:space="preserve">Involuntary manslaughter in English law consists of two recognized categories: </w:t>
      </w:r>
      <w:r w:rsidRPr="003250E9">
        <w:rPr>
          <w:rFonts w:ascii="Times New Roman" w:hAnsi="Times New Roman"/>
          <w:b/>
          <w:bCs/>
          <w:lang w:val="en-HK"/>
        </w:rPr>
        <w:t>Unlawful Act Manslaughter (UAM)</w:t>
      </w:r>
      <w:r w:rsidRPr="003250E9">
        <w:rPr>
          <w:rFonts w:ascii="Times New Roman" w:hAnsi="Times New Roman"/>
          <w:lang w:val="en-HK"/>
        </w:rPr>
        <w:t xml:space="preserve"> and </w:t>
      </w:r>
      <w:r w:rsidRPr="003250E9">
        <w:rPr>
          <w:rFonts w:ascii="Times New Roman" w:hAnsi="Times New Roman"/>
          <w:b/>
          <w:bCs/>
          <w:lang w:val="en-HK"/>
        </w:rPr>
        <w:t>Gross Negligence Manslaughter (GNM)</w:t>
      </w:r>
      <w:r w:rsidRPr="003250E9">
        <w:rPr>
          <w:rFonts w:ascii="Times New Roman" w:hAnsi="Times New Roman"/>
          <w:lang w:val="en-HK"/>
        </w:rPr>
        <w:t>.</w:t>
      </w:r>
    </w:p>
    <w:p w14:paraId="769C5BA2" w14:textId="51FCF38A" w:rsidR="003250E9" w:rsidRPr="003250E9" w:rsidRDefault="003250E9" w:rsidP="003250E9">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3250E9">
        <w:rPr>
          <w:rFonts w:ascii="Times New Roman" w:hAnsi="Times New Roman"/>
          <w:lang w:val="en-HK"/>
        </w:rPr>
        <w:t xml:space="preserve">The article questions the necessity of a third category, </w:t>
      </w:r>
      <w:r w:rsidRPr="003250E9">
        <w:rPr>
          <w:rFonts w:ascii="Times New Roman" w:hAnsi="Times New Roman"/>
          <w:b/>
          <w:bCs/>
          <w:lang w:val="en-HK"/>
        </w:rPr>
        <w:t>reckless manslaughter</w:t>
      </w:r>
      <w:r w:rsidRPr="003250E9">
        <w:rPr>
          <w:rFonts w:ascii="Times New Roman" w:hAnsi="Times New Roman"/>
          <w:lang w:val="en-HK"/>
        </w:rPr>
        <w:t>, proposed to address gaps in liability for omissions.</w:t>
      </w:r>
    </w:p>
    <w:p w14:paraId="67744A70" w14:textId="5B04A84B" w:rsidR="003250E9" w:rsidRPr="003250E9" w:rsidRDefault="003250E9" w:rsidP="003250E9">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3250E9">
        <w:rPr>
          <w:rFonts w:ascii="Times New Roman" w:hAnsi="Times New Roman"/>
          <w:lang w:val="en-HK"/>
        </w:rPr>
        <w:t>Richard Taylor asserts that there is no such gap and argues that omissions can fall within UAM when case law is interpreted correctly.</w:t>
      </w:r>
    </w:p>
    <w:p w14:paraId="73589CCD" w14:textId="77777777" w:rsidR="003250E9" w:rsidRPr="003250E9" w:rsidRDefault="003250E9" w:rsidP="003250E9">
      <w:pPr>
        <w:spacing w:before="100" w:beforeAutospacing="1" w:after="240" w:line="360" w:lineRule="auto"/>
        <w:rPr>
          <w:rFonts w:ascii="Times New Roman" w:hAnsi="Times New Roman"/>
          <w:lang w:val="en-HK"/>
        </w:rPr>
      </w:pPr>
      <w:r w:rsidRPr="003250E9">
        <w:rPr>
          <w:rFonts w:ascii="Times New Roman" w:hAnsi="Times New Roman"/>
          <w:b/>
          <w:bCs/>
          <w:lang w:val="en-HK"/>
        </w:rPr>
        <w:t>Context</w:t>
      </w:r>
      <w:r w:rsidRPr="003250E9">
        <w:rPr>
          <w:rFonts w:ascii="Times New Roman" w:hAnsi="Times New Roman"/>
          <w:lang w:val="en-HK"/>
        </w:rPr>
        <w:t>:</w:t>
      </w:r>
    </w:p>
    <w:p w14:paraId="298456D1" w14:textId="6EB64FD3" w:rsidR="003250E9" w:rsidRPr="003250E9" w:rsidRDefault="003250E9" w:rsidP="003250E9">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3250E9">
        <w:rPr>
          <w:rFonts w:ascii="Times New Roman" w:hAnsi="Times New Roman"/>
          <w:lang w:val="en-HK"/>
        </w:rPr>
        <w:t>The article builds on Findlay Stark’s analysis, which dismisses the need for reckless manslaughter.</w:t>
      </w:r>
    </w:p>
    <w:p w14:paraId="55034A72" w14:textId="09B3CBF3" w:rsidR="003250E9" w:rsidRPr="003250E9" w:rsidRDefault="003250E9" w:rsidP="003250E9">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3250E9">
        <w:rPr>
          <w:rFonts w:ascii="Times New Roman" w:hAnsi="Times New Roman"/>
          <w:lang w:val="en-HK"/>
        </w:rPr>
        <w:t>Taylor focuses on clarifying how omissions can already be addressed under UAM.</w:t>
      </w:r>
    </w:p>
    <w:p w14:paraId="7A4BCBEE" w14:textId="77777777" w:rsidR="003250E9" w:rsidRPr="003250E9" w:rsidRDefault="006971DC" w:rsidP="003250E9">
      <w:pPr>
        <w:spacing w:after="240" w:line="360" w:lineRule="auto"/>
        <w:rPr>
          <w:rFonts w:ascii="Times New Roman" w:hAnsi="Times New Roman"/>
          <w:lang w:val="en-HK"/>
        </w:rPr>
      </w:pPr>
      <w:r w:rsidRPr="006971DC">
        <w:rPr>
          <w:rFonts w:ascii="Times New Roman" w:hAnsi="Times New Roman"/>
          <w:noProof/>
          <w:lang w:val="en-HK"/>
          <w14:ligatures w14:val="standardContextual"/>
        </w:rPr>
        <w:pict w14:anchorId="6A127D0E">
          <v:rect id="_x0000_i1028" alt="" style="width:451.3pt;height:.05pt;mso-width-percent:0;mso-height-percent:0;mso-width-percent:0;mso-height-percent:0" o:hralign="center" o:hrstd="t" o:hr="t" fillcolor="#a0a0a0" stroked="f"/>
        </w:pict>
      </w:r>
    </w:p>
    <w:p w14:paraId="48DB6578" w14:textId="77777777" w:rsidR="003250E9" w:rsidRPr="003250E9" w:rsidRDefault="003250E9" w:rsidP="003250E9">
      <w:pPr>
        <w:spacing w:before="100" w:beforeAutospacing="1" w:after="240" w:line="360" w:lineRule="auto"/>
        <w:outlineLvl w:val="2"/>
        <w:rPr>
          <w:rFonts w:ascii="Times New Roman" w:hAnsi="Times New Roman"/>
          <w:b/>
          <w:bCs/>
          <w:lang w:val="en-HK"/>
        </w:rPr>
      </w:pPr>
      <w:r w:rsidRPr="003250E9">
        <w:rPr>
          <w:rFonts w:ascii="Times New Roman" w:hAnsi="Times New Roman"/>
          <w:b/>
          <w:bCs/>
          <w:lang w:val="en-HK"/>
        </w:rPr>
        <w:t>2. The Lack of Any Gap for Reckless Manslaughter</w:t>
      </w:r>
    </w:p>
    <w:p w14:paraId="23D077C0" w14:textId="77777777" w:rsidR="003250E9" w:rsidRPr="003250E9" w:rsidRDefault="003250E9" w:rsidP="003250E9">
      <w:pPr>
        <w:spacing w:before="100" w:beforeAutospacing="1" w:after="240" w:line="360" w:lineRule="auto"/>
        <w:rPr>
          <w:rFonts w:ascii="Times New Roman" w:hAnsi="Times New Roman"/>
          <w:lang w:val="en-HK"/>
        </w:rPr>
      </w:pPr>
      <w:r w:rsidRPr="003250E9">
        <w:rPr>
          <w:rFonts w:ascii="Times New Roman" w:hAnsi="Times New Roman"/>
          <w:b/>
          <w:bCs/>
          <w:lang w:val="en-HK"/>
        </w:rPr>
        <w:t>Key Points</w:t>
      </w:r>
      <w:r w:rsidRPr="003250E9">
        <w:rPr>
          <w:rFonts w:ascii="Times New Roman" w:hAnsi="Times New Roman"/>
          <w:lang w:val="en-HK"/>
        </w:rPr>
        <w:t>:</w:t>
      </w:r>
    </w:p>
    <w:p w14:paraId="0F8EBB59" w14:textId="17AEBA66" w:rsidR="003250E9" w:rsidRPr="003250E9" w:rsidRDefault="003250E9" w:rsidP="003250E9">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3250E9">
        <w:rPr>
          <w:rFonts w:ascii="Times New Roman" w:hAnsi="Times New Roman"/>
          <w:lang w:val="en-HK"/>
        </w:rPr>
        <w:t>Stark’s analysis demonstrates that reckless manslaughter does not exist as a separate category in English law. Most cases where manslaughter might be an appropriate verdict can be addressed under UAM or GNM.</w:t>
      </w:r>
    </w:p>
    <w:p w14:paraId="71B5FA74" w14:textId="4B4A3A16" w:rsidR="003250E9" w:rsidRPr="003250E9" w:rsidRDefault="003250E9" w:rsidP="003250E9">
      <w:pPr>
        <w:spacing w:before="100" w:beforeAutospacing="1" w:after="240" w:line="360" w:lineRule="auto"/>
        <w:rPr>
          <w:rFonts w:ascii="Times New Roman" w:hAnsi="Times New Roman"/>
          <w:lang w:val="en-HK"/>
        </w:rPr>
      </w:pPr>
      <w:r w:rsidRPr="003250E9">
        <w:rPr>
          <w:rFonts w:ascii="Times New Roman" w:hAnsi="Times New Roman"/>
          <w:b/>
          <w:bCs/>
          <w:lang w:val="en-HK"/>
        </w:rPr>
        <w:t>The "School Dinner" hypothetical example</w:t>
      </w:r>
      <w:r w:rsidRPr="003250E9">
        <w:rPr>
          <w:rFonts w:ascii="Times New Roman" w:hAnsi="Times New Roman"/>
          <w:lang w:val="en-HK"/>
        </w:rPr>
        <w:t>:</w:t>
      </w:r>
    </w:p>
    <w:p w14:paraId="6D562C06" w14:textId="7BE4298B" w:rsidR="003250E9" w:rsidRPr="003250E9" w:rsidRDefault="003250E9" w:rsidP="003250E9">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Pr="003250E9">
        <w:rPr>
          <w:rFonts w:ascii="Times New Roman" w:hAnsi="Times New Roman"/>
          <w:b/>
          <w:bCs/>
          <w:lang w:val="en-HK"/>
        </w:rPr>
        <w:t>Facts</w:t>
      </w:r>
      <w:r w:rsidRPr="003250E9">
        <w:rPr>
          <w:rFonts w:ascii="Times New Roman" w:hAnsi="Times New Roman"/>
          <w:lang w:val="en-HK"/>
        </w:rPr>
        <w:t>: D, a meal provider, allows V, a student with a known allergy to pine nuts, to consume a sandwich containing them. D foresees serious injury but not death. V dies from a severe allergic reaction.</w:t>
      </w:r>
    </w:p>
    <w:p w14:paraId="1DE3D400" w14:textId="076DA35D" w:rsidR="003250E9" w:rsidRPr="003250E9" w:rsidRDefault="003250E9" w:rsidP="003250E9">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Pr="003250E9">
        <w:rPr>
          <w:rFonts w:ascii="Times New Roman" w:hAnsi="Times New Roman"/>
          <w:b/>
          <w:bCs/>
          <w:lang w:val="en-HK"/>
        </w:rPr>
        <w:t>Implications</w:t>
      </w:r>
      <w:r w:rsidRPr="003250E9">
        <w:rPr>
          <w:rFonts w:ascii="Times New Roman" w:hAnsi="Times New Roman"/>
          <w:lang w:val="en-HK"/>
        </w:rPr>
        <w:t>: While this case does not fit GNM (the risk of death is not obvious), Stark suggests that fairness demands its inclusion in manslaughter liability.</w:t>
      </w:r>
    </w:p>
    <w:p w14:paraId="4848B42E" w14:textId="77777777" w:rsidR="003250E9" w:rsidRPr="003250E9" w:rsidRDefault="003250E9" w:rsidP="00C779D5">
      <w:pPr>
        <w:spacing w:before="100" w:beforeAutospacing="1" w:after="240" w:line="360" w:lineRule="auto"/>
        <w:rPr>
          <w:rFonts w:ascii="Times New Roman" w:hAnsi="Times New Roman"/>
          <w:lang w:val="en-HK"/>
        </w:rPr>
      </w:pPr>
      <w:r w:rsidRPr="003250E9">
        <w:rPr>
          <w:rFonts w:ascii="Times New Roman" w:hAnsi="Times New Roman"/>
          <w:b/>
          <w:bCs/>
          <w:lang w:val="en-HK"/>
        </w:rPr>
        <w:lastRenderedPageBreak/>
        <w:t>Key Case Referenced</w:t>
      </w:r>
      <w:r w:rsidRPr="003250E9">
        <w:rPr>
          <w:rFonts w:ascii="Times New Roman" w:hAnsi="Times New Roman"/>
          <w:lang w:val="en-HK"/>
        </w:rPr>
        <w:t>:</w:t>
      </w:r>
    </w:p>
    <w:p w14:paraId="28351AAF" w14:textId="1691693F" w:rsidR="003250E9" w:rsidRPr="003250E9" w:rsidRDefault="00C779D5" w:rsidP="00C779D5">
      <w:pPr>
        <w:spacing w:before="100" w:beforeAutospacing="1" w:after="240" w:line="360" w:lineRule="auto"/>
        <w:rPr>
          <w:rFonts w:ascii="Times New Roman" w:hAnsi="Times New Roman"/>
          <w:lang w:val="en-HK"/>
        </w:rPr>
      </w:pPr>
      <w:r>
        <w:rPr>
          <w:rFonts w:ascii="Times New Roman" w:hAnsi="Times New Roman"/>
          <w:b/>
          <w:bCs/>
          <w:lang w:val="en-HK"/>
        </w:rPr>
        <w:t xml:space="preserve">1. </w:t>
      </w:r>
      <w:r w:rsidR="003250E9" w:rsidRPr="003250E9">
        <w:rPr>
          <w:rFonts w:ascii="Times New Roman" w:hAnsi="Times New Roman"/>
          <w:b/>
          <w:bCs/>
          <w:lang w:val="en-HK"/>
        </w:rPr>
        <w:t>R v Lowe [1973] QB 702</w:t>
      </w:r>
      <w:r w:rsidR="003250E9" w:rsidRPr="003250E9">
        <w:rPr>
          <w:rFonts w:ascii="Times New Roman" w:hAnsi="Times New Roman"/>
          <w:lang w:val="en-HK"/>
        </w:rPr>
        <w:t>:</w:t>
      </w:r>
    </w:p>
    <w:p w14:paraId="184D7A7A" w14:textId="77777777" w:rsidR="003250E9" w:rsidRPr="003250E9" w:rsidRDefault="003250E9" w:rsidP="00C779D5">
      <w:pPr>
        <w:spacing w:before="100" w:beforeAutospacing="1" w:after="240" w:line="360" w:lineRule="auto"/>
        <w:rPr>
          <w:rFonts w:ascii="Times New Roman" w:hAnsi="Times New Roman"/>
          <w:lang w:val="en-HK"/>
        </w:rPr>
      </w:pPr>
      <w:r w:rsidRPr="003250E9">
        <w:rPr>
          <w:rFonts w:ascii="Times New Roman" w:hAnsi="Times New Roman"/>
          <w:b/>
          <w:bCs/>
          <w:lang w:val="en-HK"/>
        </w:rPr>
        <w:t>Facts</w:t>
      </w:r>
      <w:r w:rsidRPr="003250E9">
        <w:rPr>
          <w:rFonts w:ascii="Times New Roman" w:hAnsi="Times New Roman"/>
          <w:lang w:val="en-HK"/>
        </w:rPr>
        <w:t>: D, of limited intelligence, failed to seek medical attention for his child, resulting in the child’s death. D was convicted of manslaughter based on "wilful neglect" under the Children and Young Persons Act 1933.</w:t>
      </w:r>
    </w:p>
    <w:p w14:paraId="6F60580F" w14:textId="77777777" w:rsidR="003250E9" w:rsidRPr="003250E9" w:rsidRDefault="003250E9" w:rsidP="00C779D5">
      <w:pPr>
        <w:spacing w:before="100" w:beforeAutospacing="1" w:after="240" w:line="360" w:lineRule="auto"/>
        <w:rPr>
          <w:rFonts w:ascii="Times New Roman" w:hAnsi="Times New Roman"/>
          <w:lang w:val="en-HK"/>
        </w:rPr>
      </w:pPr>
      <w:r w:rsidRPr="003250E9">
        <w:rPr>
          <w:rFonts w:ascii="Times New Roman" w:hAnsi="Times New Roman"/>
          <w:b/>
          <w:bCs/>
          <w:lang w:val="en-HK"/>
        </w:rPr>
        <w:t>Held</w:t>
      </w:r>
      <w:r w:rsidRPr="003250E9">
        <w:rPr>
          <w:rFonts w:ascii="Times New Roman" w:hAnsi="Times New Roman"/>
          <w:lang w:val="en-HK"/>
        </w:rPr>
        <w:t>: The Court of Appeal quashed the manslaughter conviction, ruling that "wilful neglect" alone was insufficient for UAM. The court emphasized that omissions could not generally form the basis for UAM but noted this as obiter dicta.</w:t>
      </w:r>
    </w:p>
    <w:p w14:paraId="5E1F2B10" w14:textId="77777777" w:rsidR="003250E9" w:rsidRPr="003250E9" w:rsidRDefault="003250E9" w:rsidP="00C779D5">
      <w:pPr>
        <w:spacing w:before="100" w:beforeAutospacing="1" w:after="240" w:line="360" w:lineRule="auto"/>
        <w:rPr>
          <w:rFonts w:ascii="Times New Roman" w:hAnsi="Times New Roman"/>
          <w:lang w:val="en-HK"/>
        </w:rPr>
      </w:pPr>
      <w:r w:rsidRPr="003250E9">
        <w:rPr>
          <w:rFonts w:ascii="Times New Roman" w:hAnsi="Times New Roman"/>
          <w:b/>
          <w:bCs/>
          <w:lang w:val="en-HK"/>
        </w:rPr>
        <w:t>Scholarly Opinion</w:t>
      </w:r>
      <w:r w:rsidRPr="003250E9">
        <w:rPr>
          <w:rFonts w:ascii="Times New Roman" w:hAnsi="Times New Roman"/>
          <w:lang w:val="en-HK"/>
        </w:rPr>
        <w:t>:</w:t>
      </w:r>
    </w:p>
    <w:p w14:paraId="6CC3E924" w14:textId="77777777" w:rsidR="003250E9" w:rsidRPr="003250E9" w:rsidRDefault="003250E9" w:rsidP="00C779D5">
      <w:pPr>
        <w:spacing w:before="100" w:beforeAutospacing="1" w:after="240" w:line="360" w:lineRule="auto"/>
        <w:rPr>
          <w:rFonts w:ascii="Times New Roman" w:hAnsi="Times New Roman"/>
          <w:lang w:val="en-HK"/>
        </w:rPr>
      </w:pPr>
      <w:r w:rsidRPr="003250E9">
        <w:rPr>
          <w:rFonts w:ascii="Times New Roman" w:hAnsi="Times New Roman"/>
          <w:lang w:val="en-HK"/>
        </w:rPr>
        <w:t>Stark argues that:</w:t>
      </w:r>
    </w:p>
    <w:p w14:paraId="64FB29E5" w14:textId="77777777" w:rsidR="00C779D5" w:rsidRDefault="00C779D5" w:rsidP="00C779D5">
      <w:pPr>
        <w:spacing w:before="100" w:beforeAutospacing="1" w:after="240" w:line="360" w:lineRule="auto"/>
        <w:rPr>
          <w:rFonts w:ascii="Times New Roman" w:hAnsi="Times New Roman"/>
          <w:lang w:val="en-HK"/>
        </w:rPr>
      </w:pPr>
      <w:r>
        <w:rPr>
          <w:rFonts w:ascii="Times New Roman" w:hAnsi="Times New Roman"/>
          <w:lang w:val="en-HK"/>
        </w:rPr>
        <w:t xml:space="preserve">1. </w:t>
      </w:r>
      <w:r w:rsidR="003250E9" w:rsidRPr="003250E9">
        <w:rPr>
          <w:rFonts w:ascii="Times New Roman" w:hAnsi="Times New Roman"/>
          <w:lang w:val="en-HK"/>
        </w:rPr>
        <w:t>Fairness requires culpable omissions, like the "School Dinner" case, to be prosecuted appropriately.</w:t>
      </w:r>
    </w:p>
    <w:p w14:paraId="071A91B1" w14:textId="57176A90" w:rsidR="003250E9" w:rsidRPr="003250E9" w:rsidRDefault="00C779D5" w:rsidP="00C779D5">
      <w:pPr>
        <w:spacing w:before="100" w:beforeAutospacing="1" w:after="240" w:line="360" w:lineRule="auto"/>
        <w:rPr>
          <w:rFonts w:ascii="Times New Roman" w:hAnsi="Times New Roman"/>
          <w:lang w:val="en-HK"/>
        </w:rPr>
      </w:pPr>
      <w:r>
        <w:rPr>
          <w:rFonts w:ascii="Times New Roman" w:hAnsi="Times New Roman"/>
          <w:lang w:val="en-HK"/>
        </w:rPr>
        <w:t xml:space="preserve">2. </w:t>
      </w:r>
      <w:r w:rsidR="003250E9" w:rsidRPr="003250E9">
        <w:rPr>
          <w:rFonts w:ascii="Times New Roman" w:hAnsi="Times New Roman"/>
          <w:lang w:val="en-HK"/>
        </w:rPr>
        <w:t>UAM can already address omissions where there is a duty to act and where the omission breaches elements of an unlawful act (e.g., s.20 Offenses Against the Person Act 1861, causing serious harm).</w:t>
      </w:r>
    </w:p>
    <w:p w14:paraId="2153E940" w14:textId="0EAEA67C" w:rsidR="003250E9" w:rsidRPr="003250E9" w:rsidRDefault="00C779D5" w:rsidP="00C779D5">
      <w:pPr>
        <w:spacing w:before="100" w:beforeAutospacing="1" w:after="240" w:line="360" w:lineRule="auto"/>
        <w:rPr>
          <w:rFonts w:ascii="Times New Roman" w:hAnsi="Times New Roman"/>
          <w:lang w:val="en-HK"/>
        </w:rPr>
      </w:pPr>
      <w:r>
        <w:rPr>
          <w:rFonts w:ascii="Times New Roman" w:hAnsi="Times New Roman"/>
          <w:lang w:val="en-HK"/>
        </w:rPr>
        <w:t xml:space="preserve">3. </w:t>
      </w:r>
      <w:r w:rsidR="003250E9" w:rsidRPr="003250E9">
        <w:rPr>
          <w:rFonts w:ascii="Times New Roman" w:hAnsi="Times New Roman"/>
          <w:lang w:val="en-HK"/>
        </w:rPr>
        <w:t>GNM applies to omissions where the risk of death is obvious, and the failure to act amounts to gross negligence.</w:t>
      </w:r>
    </w:p>
    <w:p w14:paraId="2B280DB3" w14:textId="77777777" w:rsidR="003250E9" w:rsidRPr="003250E9" w:rsidRDefault="006971DC" w:rsidP="003250E9">
      <w:pPr>
        <w:spacing w:after="240" w:line="360" w:lineRule="auto"/>
        <w:rPr>
          <w:rFonts w:ascii="Times New Roman" w:hAnsi="Times New Roman"/>
          <w:lang w:val="en-HK"/>
        </w:rPr>
      </w:pPr>
      <w:r w:rsidRPr="006971DC">
        <w:rPr>
          <w:rFonts w:ascii="Times New Roman" w:hAnsi="Times New Roman"/>
          <w:noProof/>
          <w:lang w:val="en-HK"/>
          <w14:ligatures w14:val="standardContextual"/>
        </w:rPr>
        <w:pict w14:anchorId="62546B22">
          <v:rect id="_x0000_i1027" alt="" style="width:451.3pt;height:.05pt;mso-width-percent:0;mso-height-percent:0;mso-width-percent:0;mso-height-percent:0" o:hralign="center" o:hrstd="t" o:hr="t" fillcolor="#a0a0a0" stroked="f"/>
        </w:pict>
      </w:r>
    </w:p>
    <w:p w14:paraId="3AA25083" w14:textId="77777777" w:rsidR="003250E9" w:rsidRPr="003250E9" w:rsidRDefault="003250E9" w:rsidP="003250E9">
      <w:pPr>
        <w:spacing w:before="100" w:beforeAutospacing="1" w:after="240" w:line="360" w:lineRule="auto"/>
        <w:outlineLvl w:val="2"/>
        <w:rPr>
          <w:rFonts w:ascii="Times New Roman" w:hAnsi="Times New Roman"/>
          <w:b/>
          <w:bCs/>
          <w:lang w:val="en-HK"/>
        </w:rPr>
      </w:pPr>
      <w:r w:rsidRPr="003250E9">
        <w:rPr>
          <w:rFonts w:ascii="Times New Roman" w:hAnsi="Times New Roman"/>
          <w:b/>
          <w:bCs/>
          <w:lang w:val="en-HK"/>
        </w:rPr>
        <w:t>3. Revisiting Lowe</w:t>
      </w:r>
    </w:p>
    <w:p w14:paraId="7FF78C2D" w14:textId="77777777" w:rsidR="003250E9" w:rsidRPr="003250E9" w:rsidRDefault="003250E9" w:rsidP="00C779D5">
      <w:pPr>
        <w:spacing w:before="100" w:beforeAutospacing="1" w:after="240" w:line="360" w:lineRule="auto"/>
        <w:rPr>
          <w:rFonts w:ascii="Times New Roman" w:hAnsi="Times New Roman"/>
          <w:lang w:val="en-HK"/>
        </w:rPr>
      </w:pPr>
      <w:r w:rsidRPr="003250E9">
        <w:rPr>
          <w:rFonts w:ascii="Times New Roman" w:hAnsi="Times New Roman"/>
          <w:b/>
          <w:bCs/>
          <w:lang w:val="en-HK"/>
        </w:rPr>
        <w:t>Key Analysis</w:t>
      </w:r>
      <w:r w:rsidRPr="003250E9">
        <w:rPr>
          <w:rFonts w:ascii="Times New Roman" w:hAnsi="Times New Roman"/>
          <w:lang w:val="en-HK"/>
        </w:rPr>
        <w:t>:</w:t>
      </w:r>
    </w:p>
    <w:p w14:paraId="56C98B57" w14:textId="77777777" w:rsidR="003250E9" w:rsidRPr="003250E9" w:rsidRDefault="003250E9" w:rsidP="00C779D5">
      <w:pPr>
        <w:spacing w:before="100" w:beforeAutospacing="1" w:after="240" w:line="360" w:lineRule="auto"/>
        <w:rPr>
          <w:rFonts w:ascii="Times New Roman" w:hAnsi="Times New Roman"/>
          <w:lang w:val="en-HK"/>
        </w:rPr>
      </w:pPr>
      <w:r w:rsidRPr="003250E9">
        <w:rPr>
          <w:rFonts w:ascii="Times New Roman" w:hAnsi="Times New Roman"/>
          <w:lang w:val="en-HK"/>
        </w:rPr>
        <w:t xml:space="preserve">The judgment in </w:t>
      </w:r>
      <w:r w:rsidRPr="003250E9">
        <w:rPr>
          <w:rFonts w:ascii="Times New Roman" w:hAnsi="Times New Roman"/>
          <w:b/>
          <w:bCs/>
          <w:lang w:val="en-HK"/>
        </w:rPr>
        <w:t>Lowe</w:t>
      </w:r>
      <w:r w:rsidRPr="003250E9">
        <w:rPr>
          <w:rFonts w:ascii="Times New Roman" w:hAnsi="Times New Roman"/>
          <w:lang w:val="en-HK"/>
        </w:rPr>
        <w:t xml:space="preserve"> has been misinterpreted as excluding omissions from UAM entirely. Taylor contends that:</w:t>
      </w:r>
    </w:p>
    <w:p w14:paraId="0CF35F27" w14:textId="7DDF4462" w:rsidR="003250E9" w:rsidRPr="003250E9" w:rsidRDefault="00C71D27" w:rsidP="00C779D5">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Omissions can qualify as UAM if:</w:t>
      </w:r>
    </w:p>
    <w:p w14:paraId="6F9606C6" w14:textId="77777777" w:rsidR="003250E9" w:rsidRPr="003250E9" w:rsidRDefault="003250E9" w:rsidP="003250E9">
      <w:pPr>
        <w:numPr>
          <w:ilvl w:val="3"/>
          <w:numId w:val="26"/>
        </w:numPr>
        <w:spacing w:before="100" w:beforeAutospacing="1" w:after="240" w:line="360" w:lineRule="auto"/>
        <w:rPr>
          <w:rFonts w:ascii="Times New Roman" w:hAnsi="Times New Roman"/>
          <w:lang w:val="en-HK"/>
        </w:rPr>
      </w:pPr>
      <w:r w:rsidRPr="003250E9">
        <w:rPr>
          <w:rFonts w:ascii="Times New Roman" w:hAnsi="Times New Roman"/>
          <w:lang w:val="en-HK"/>
        </w:rPr>
        <w:t xml:space="preserve">There is a </w:t>
      </w:r>
      <w:r w:rsidRPr="003250E9">
        <w:rPr>
          <w:rFonts w:ascii="Times New Roman" w:hAnsi="Times New Roman"/>
          <w:b/>
          <w:bCs/>
          <w:lang w:val="en-HK"/>
        </w:rPr>
        <w:t>duty to act</w:t>
      </w:r>
      <w:r w:rsidRPr="003250E9">
        <w:rPr>
          <w:rFonts w:ascii="Times New Roman" w:hAnsi="Times New Roman"/>
          <w:lang w:val="en-HK"/>
        </w:rPr>
        <w:t xml:space="preserve"> (e.g., parental duties or situations where D creates a danger).</w:t>
      </w:r>
    </w:p>
    <w:p w14:paraId="698ECF31" w14:textId="77777777" w:rsidR="003250E9" w:rsidRPr="003250E9" w:rsidRDefault="003250E9" w:rsidP="003250E9">
      <w:pPr>
        <w:numPr>
          <w:ilvl w:val="3"/>
          <w:numId w:val="26"/>
        </w:numPr>
        <w:spacing w:before="100" w:beforeAutospacing="1" w:after="240" w:line="360" w:lineRule="auto"/>
        <w:rPr>
          <w:rFonts w:ascii="Times New Roman" w:hAnsi="Times New Roman"/>
          <w:lang w:val="en-HK"/>
        </w:rPr>
      </w:pPr>
      <w:r w:rsidRPr="003250E9">
        <w:rPr>
          <w:rFonts w:ascii="Times New Roman" w:hAnsi="Times New Roman"/>
          <w:lang w:val="en-HK"/>
        </w:rPr>
        <w:lastRenderedPageBreak/>
        <w:t>The omission satisfies the criteria of an unlawful act, such as causing harm under s.20 OAPA 1861.</w:t>
      </w:r>
    </w:p>
    <w:p w14:paraId="26AF6EFB" w14:textId="73E5EB15" w:rsidR="003250E9" w:rsidRPr="003250E9" w:rsidRDefault="00C779D5" w:rsidP="00C779D5">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 xml:space="preserve">The reliance on </w:t>
      </w:r>
      <w:r w:rsidR="003250E9" w:rsidRPr="003250E9">
        <w:rPr>
          <w:rFonts w:ascii="Times New Roman" w:hAnsi="Times New Roman"/>
          <w:b/>
          <w:bCs/>
          <w:lang w:val="en-HK"/>
        </w:rPr>
        <w:t>R v Senior [1899]</w:t>
      </w:r>
      <w:r w:rsidR="003250E9" w:rsidRPr="003250E9">
        <w:rPr>
          <w:rFonts w:ascii="Times New Roman" w:hAnsi="Times New Roman"/>
          <w:lang w:val="en-HK"/>
        </w:rPr>
        <w:t xml:space="preserve"> in Lowe was flawed as Senior imposed liability for omissions without requiring gross negligence.</w:t>
      </w:r>
    </w:p>
    <w:p w14:paraId="33416767"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Critique of Lowe</w:t>
      </w:r>
      <w:r w:rsidRPr="003250E9">
        <w:rPr>
          <w:rFonts w:ascii="Times New Roman" w:hAnsi="Times New Roman"/>
          <w:lang w:val="en-HK"/>
        </w:rPr>
        <w:t>:</w:t>
      </w:r>
    </w:p>
    <w:p w14:paraId="6F28BA8C" w14:textId="75C5E6CE"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 xml:space="preserve">The case's reliance on </w:t>
      </w:r>
      <w:r w:rsidR="003250E9" w:rsidRPr="003250E9">
        <w:rPr>
          <w:rFonts w:ascii="Times New Roman" w:hAnsi="Times New Roman"/>
          <w:b/>
          <w:bCs/>
          <w:lang w:val="en-HK"/>
        </w:rPr>
        <w:t>Senior</w:t>
      </w:r>
      <w:r w:rsidR="003250E9" w:rsidRPr="003250E9">
        <w:rPr>
          <w:rFonts w:ascii="Times New Roman" w:hAnsi="Times New Roman"/>
          <w:lang w:val="en-HK"/>
        </w:rPr>
        <w:t xml:space="preserve"> as precedent was criticized for treating wilful neglect as sufficient for manslaughter, akin to strict liability.</w:t>
      </w:r>
    </w:p>
    <w:p w14:paraId="08898ECA" w14:textId="279049AE"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 xml:space="preserve">Later cases, such as </w:t>
      </w:r>
      <w:r w:rsidR="003250E9" w:rsidRPr="003250E9">
        <w:rPr>
          <w:rFonts w:ascii="Times New Roman" w:hAnsi="Times New Roman"/>
          <w:b/>
          <w:bCs/>
          <w:lang w:val="en-HK"/>
        </w:rPr>
        <w:t>Sheppard [1981] AC 394</w:t>
      </w:r>
      <w:r w:rsidR="003250E9" w:rsidRPr="003250E9">
        <w:rPr>
          <w:rFonts w:ascii="Times New Roman" w:hAnsi="Times New Roman"/>
          <w:lang w:val="en-HK"/>
        </w:rPr>
        <w:t>, clarified that gross negligence is required for liability, rejecting the strict liability interpretation from Senior.</w:t>
      </w:r>
    </w:p>
    <w:p w14:paraId="20378D83"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Hypothetical Application</w:t>
      </w:r>
      <w:r w:rsidRPr="003250E9">
        <w:rPr>
          <w:rFonts w:ascii="Times New Roman" w:hAnsi="Times New Roman"/>
          <w:lang w:val="en-HK"/>
        </w:rPr>
        <w:t>:</w:t>
      </w:r>
    </w:p>
    <w:p w14:paraId="0E3CA1ED"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lang w:val="en-HK"/>
        </w:rPr>
        <w:t>In the "School Dinner" example:</w:t>
      </w:r>
    </w:p>
    <w:p w14:paraId="471CB193" w14:textId="47C3C59E"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 xml:space="preserve">D’s duty to act as a meal provider and his awareness of the risk of serious harm could make this case suitable for </w:t>
      </w:r>
      <w:r w:rsidR="003250E9" w:rsidRPr="00E46F22">
        <w:rPr>
          <w:rFonts w:ascii="Times New Roman" w:hAnsi="Times New Roman"/>
          <w:b/>
          <w:bCs/>
          <w:lang w:val="en-HK"/>
        </w:rPr>
        <w:t>UAM under s.20 OAPA 1861</w:t>
      </w:r>
      <w:r w:rsidR="003250E9" w:rsidRPr="003250E9">
        <w:rPr>
          <w:rFonts w:ascii="Times New Roman" w:hAnsi="Times New Roman"/>
          <w:lang w:val="en-HK"/>
        </w:rPr>
        <w:t>.</w:t>
      </w:r>
    </w:p>
    <w:p w14:paraId="32D54240" w14:textId="3EB9D746"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This approach avoids the need for a new reckless manslaughter category.</w:t>
      </w:r>
    </w:p>
    <w:p w14:paraId="3A5B4FAA"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Key Cases Referenced</w:t>
      </w:r>
      <w:r w:rsidRPr="003250E9">
        <w:rPr>
          <w:rFonts w:ascii="Times New Roman" w:hAnsi="Times New Roman"/>
          <w:lang w:val="en-HK"/>
        </w:rPr>
        <w:t>:</w:t>
      </w:r>
    </w:p>
    <w:p w14:paraId="5C0C125C" w14:textId="0587A807"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1. </w:t>
      </w:r>
      <w:r w:rsidR="003250E9" w:rsidRPr="003250E9">
        <w:rPr>
          <w:rFonts w:ascii="Times New Roman" w:hAnsi="Times New Roman"/>
          <w:b/>
          <w:bCs/>
          <w:lang w:val="en-HK"/>
        </w:rPr>
        <w:t>R v Senior [1899] 1 QB 283</w:t>
      </w:r>
      <w:r w:rsidR="003250E9" w:rsidRPr="003250E9">
        <w:rPr>
          <w:rFonts w:ascii="Times New Roman" w:hAnsi="Times New Roman"/>
          <w:lang w:val="en-HK"/>
        </w:rPr>
        <w:t>:</w:t>
      </w:r>
    </w:p>
    <w:p w14:paraId="562938F3"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Facts</w:t>
      </w:r>
      <w:r w:rsidRPr="003250E9">
        <w:rPr>
          <w:rFonts w:ascii="Times New Roman" w:hAnsi="Times New Roman"/>
          <w:lang w:val="en-HK"/>
        </w:rPr>
        <w:t>: Parent failed to provide medical care, leading to a child's death.</w:t>
      </w:r>
    </w:p>
    <w:p w14:paraId="067AA0D7"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Held</w:t>
      </w:r>
      <w:r w:rsidRPr="003250E9">
        <w:rPr>
          <w:rFonts w:ascii="Times New Roman" w:hAnsi="Times New Roman"/>
          <w:lang w:val="en-HK"/>
        </w:rPr>
        <w:t>: Conviction upheld based on strict liability for omissions.</w:t>
      </w:r>
    </w:p>
    <w:p w14:paraId="2979146D"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Implications</w:t>
      </w:r>
      <w:r w:rsidRPr="003250E9">
        <w:rPr>
          <w:rFonts w:ascii="Times New Roman" w:hAnsi="Times New Roman"/>
          <w:lang w:val="en-HK"/>
        </w:rPr>
        <w:t>: Later criticized for its lack of gross negligence requirement.</w:t>
      </w:r>
    </w:p>
    <w:p w14:paraId="2511558B" w14:textId="6A8849BE"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2. </w:t>
      </w:r>
      <w:r w:rsidR="003250E9" w:rsidRPr="003250E9">
        <w:rPr>
          <w:rFonts w:ascii="Times New Roman" w:hAnsi="Times New Roman"/>
          <w:b/>
          <w:bCs/>
          <w:lang w:val="en-HK"/>
        </w:rPr>
        <w:t>Sheppard [1981] AC 394</w:t>
      </w:r>
      <w:r w:rsidR="003250E9" w:rsidRPr="003250E9">
        <w:rPr>
          <w:rFonts w:ascii="Times New Roman" w:hAnsi="Times New Roman"/>
          <w:lang w:val="en-HK"/>
        </w:rPr>
        <w:t>:</w:t>
      </w:r>
    </w:p>
    <w:p w14:paraId="250B74F6"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Held</w:t>
      </w:r>
      <w:r w:rsidRPr="003250E9">
        <w:rPr>
          <w:rFonts w:ascii="Times New Roman" w:hAnsi="Times New Roman"/>
          <w:lang w:val="en-HK"/>
        </w:rPr>
        <w:t>: Gross negligence is required for liability, rejecting strict liability interpretations like Senior.</w:t>
      </w:r>
    </w:p>
    <w:p w14:paraId="4392D570" w14:textId="0D214D0E"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3. </w:t>
      </w:r>
      <w:r w:rsidR="003250E9" w:rsidRPr="003250E9">
        <w:rPr>
          <w:rFonts w:ascii="Times New Roman" w:hAnsi="Times New Roman"/>
          <w:b/>
          <w:bCs/>
          <w:lang w:val="en-HK"/>
        </w:rPr>
        <w:t>R v Miller [1983] 2 AC 161</w:t>
      </w:r>
      <w:r w:rsidR="003250E9" w:rsidRPr="003250E9">
        <w:rPr>
          <w:rFonts w:ascii="Times New Roman" w:hAnsi="Times New Roman"/>
          <w:lang w:val="en-HK"/>
        </w:rPr>
        <w:t>:</w:t>
      </w:r>
    </w:p>
    <w:p w14:paraId="7312FBE2"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lastRenderedPageBreak/>
        <w:t>Facts</w:t>
      </w:r>
      <w:r w:rsidRPr="003250E9">
        <w:rPr>
          <w:rFonts w:ascii="Times New Roman" w:hAnsi="Times New Roman"/>
          <w:lang w:val="en-HK"/>
        </w:rPr>
        <w:t>: D created a danger by starting a fire and failing to act.</w:t>
      </w:r>
    </w:p>
    <w:p w14:paraId="3A55F0E8"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Held</w:t>
      </w:r>
      <w:r w:rsidRPr="003250E9">
        <w:rPr>
          <w:rFonts w:ascii="Times New Roman" w:hAnsi="Times New Roman"/>
          <w:lang w:val="en-HK"/>
        </w:rPr>
        <w:t>: Liability was based on the duty to rectify the danger.</w:t>
      </w:r>
    </w:p>
    <w:p w14:paraId="0E07CC07"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Implications</w:t>
      </w:r>
      <w:r w:rsidRPr="003250E9">
        <w:rPr>
          <w:rFonts w:ascii="Times New Roman" w:hAnsi="Times New Roman"/>
          <w:lang w:val="en-HK"/>
        </w:rPr>
        <w:t>: Reinforces that omissions can create liability when a duty is established.</w:t>
      </w:r>
    </w:p>
    <w:p w14:paraId="5C2AD08E" w14:textId="4F444317"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4. </w:t>
      </w:r>
      <w:r w:rsidR="003250E9" w:rsidRPr="003250E9">
        <w:rPr>
          <w:rFonts w:ascii="Times New Roman" w:hAnsi="Times New Roman"/>
          <w:b/>
          <w:bCs/>
          <w:lang w:val="en-HK"/>
        </w:rPr>
        <w:t>R v Church [1966] 1 QB 59</w:t>
      </w:r>
      <w:r w:rsidR="003250E9" w:rsidRPr="003250E9">
        <w:rPr>
          <w:rFonts w:ascii="Times New Roman" w:hAnsi="Times New Roman"/>
          <w:lang w:val="en-HK"/>
        </w:rPr>
        <w:t>:</w:t>
      </w:r>
    </w:p>
    <w:p w14:paraId="718FB146"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Facts</w:t>
      </w:r>
      <w:r w:rsidRPr="003250E9">
        <w:rPr>
          <w:rFonts w:ascii="Times New Roman" w:hAnsi="Times New Roman"/>
          <w:lang w:val="en-HK"/>
        </w:rPr>
        <w:t>: D knocked V unconscious and disposed of her in a river, leading to her drowning.</w:t>
      </w:r>
    </w:p>
    <w:p w14:paraId="3090B488"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Held</w:t>
      </w:r>
      <w:r w:rsidRPr="003250E9">
        <w:rPr>
          <w:rFonts w:ascii="Times New Roman" w:hAnsi="Times New Roman"/>
          <w:lang w:val="en-HK"/>
        </w:rPr>
        <w:t>: Foreseeability of harm was critical to liability for UAM.</w:t>
      </w:r>
    </w:p>
    <w:p w14:paraId="3A6A80AD" w14:textId="691216C3"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5. </w:t>
      </w:r>
      <w:r w:rsidR="003250E9" w:rsidRPr="003250E9">
        <w:rPr>
          <w:rFonts w:ascii="Times New Roman" w:hAnsi="Times New Roman"/>
          <w:b/>
          <w:bCs/>
          <w:lang w:val="en-HK"/>
        </w:rPr>
        <w:t>R v Lamb [1967] 2 QB 981</w:t>
      </w:r>
      <w:r w:rsidR="003250E9" w:rsidRPr="003250E9">
        <w:rPr>
          <w:rFonts w:ascii="Times New Roman" w:hAnsi="Times New Roman"/>
          <w:lang w:val="en-HK"/>
        </w:rPr>
        <w:t>:</w:t>
      </w:r>
    </w:p>
    <w:p w14:paraId="22D73A53"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Held</w:t>
      </w:r>
      <w:r w:rsidRPr="003250E9">
        <w:rPr>
          <w:rFonts w:ascii="Times New Roman" w:hAnsi="Times New Roman"/>
          <w:lang w:val="en-HK"/>
        </w:rPr>
        <w:t xml:space="preserve">: Highlighted the need for an unlawful act and </w:t>
      </w:r>
      <w:proofErr w:type="spellStart"/>
      <w:r w:rsidRPr="003250E9">
        <w:rPr>
          <w:rFonts w:ascii="Times New Roman" w:hAnsi="Times New Roman"/>
          <w:lang w:val="en-HK"/>
        </w:rPr>
        <w:t>mens</w:t>
      </w:r>
      <w:proofErr w:type="spellEnd"/>
      <w:r w:rsidRPr="003250E9">
        <w:rPr>
          <w:rFonts w:ascii="Times New Roman" w:hAnsi="Times New Roman"/>
          <w:lang w:val="en-HK"/>
        </w:rPr>
        <w:t xml:space="preserve"> rea for UAM.</w:t>
      </w:r>
    </w:p>
    <w:p w14:paraId="35E554F3" w14:textId="77777777" w:rsidR="003250E9" w:rsidRPr="003250E9" w:rsidRDefault="006971DC" w:rsidP="003250E9">
      <w:pPr>
        <w:spacing w:after="240" w:line="360" w:lineRule="auto"/>
        <w:rPr>
          <w:rFonts w:ascii="Times New Roman" w:hAnsi="Times New Roman"/>
          <w:lang w:val="en-HK"/>
        </w:rPr>
      </w:pPr>
      <w:r w:rsidRPr="006971DC">
        <w:rPr>
          <w:rFonts w:ascii="Times New Roman" w:hAnsi="Times New Roman"/>
          <w:noProof/>
          <w:lang w:val="en-HK"/>
          <w14:ligatures w14:val="standardContextual"/>
        </w:rPr>
        <w:pict w14:anchorId="5B9EEA84">
          <v:rect id="_x0000_i1026" alt="" style="width:451.3pt;height:.05pt;mso-width-percent:0;mso-height-percent:0;mso-width-percent:0;mso-height-percent:0" o:hralign="center" o:hrstd="t" o:hr="t" fillcolor="#a0a0a0" stroked="f"/>
        </w:pict>
      </w:r>
    </w:p>
    <w:p w14:paraId="39F8BD1A" w14:textId="77777777" w:rsidR="003250E9" w:rsidRPr="003250E9" w:rsidRDefault="003250E9" w:rsidP="003250E9">
      <w:pPr>
        <w:spacing w:before="100" w:beforeAutospacing="1" w:after="240" w:line="360" w:lineRule="auto"/>
        <w:outlineLvl w:val="2"/>
        <w:rPr>
          <w:rFonts w:ascii="Times New Roman" w:hAnsi="Times New Roman"/>
          <w:b/>
          <w:bCs/>
          <w:lang w:val="en-HK"/>
        </w:rPr>
      </w:pPr>
      <w:r w:rsidRPr="003250E9">
        <w:rPr>
          <w:rFonts w:ascii="Times New Roman" w:hAnsi="Times New Roman"/>
          <w:b/>
          <w:bCs/>
          <w:lang w:val="en-HK"/>
        </w:rPr>
        <w:t>4. Proposals for Reform</w:t>
      </w:r>
    </w:p>
    <w:p w14:paraId="167B6B96"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Reform Proposals</w:t>
      </w:r>
      <w:r w:rsidRPr="003250E9">
        <w:rPr>
          <w:rFonts w:ascii="Times New Roman" w:hAnsi="Times New Roman"/>
          <w:lang w:val="en-HK"/>
        </w:rPr>
        <w:t>:</w:t>
      </w:r>
    </w:p>
    <w:p w14:paraId="17DB0481" w14:textId="7D80DE60"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Some argue that a new category of reckless manslaughter is needed to address deliberate omissions involving foreseeable serious harm, such as the "School Dinner" scenario.</w:t>
      </w:r>
    </w:p>
    <w:p w14:paraId="48488661"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Taylor’s Counterarguments</w:t>
      </w:r>
      <w:r w:rsidRPr="003250E9">
        <w:rPr>
          <w:rFonts w:ascii="Times New Roman" w:hAnsi="Times New Roman"/>
          <w:lang w:val="en-HK"/>
        </w:rPr>
        <w:t>:</w:t>
      </w:r>
    </w:p>
    <w:p w14:paraId="215815F3" w14:textId="4E476687"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1. </w:t>
      </w:r>
      <w:r w:rsidR="003250E9" w:rsidRPr="003250E9">
        <w:rPr>
          <w:rFonts w:ascii="Times New Roman" w:hAnsi="Times New Roman"/>
          <w:lang w:val="en-HK"/>
        </w:rPr>
        <w:t>Omissions can already fit within UAM under current law.</w:t>
      </w:r>
    </w:p>
    <w:p w14:paraId="4B4ED588" w14:textId="47136AF6"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lang w:val="en-HK"/>
        </w:rPr>
        <w:t>For example, an omission could form the basis of UAM if:</w:t>
      </w:r>
    </w:p>
    <w:p w14:paraId="2A629C79" w14:textId="6F0B897A"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It breaches a duty and satisfies the criteria of a recognized offense, such as s.20 OAPA 1861.</w:t>
      </w:r>
    </w:p>
    <w:p w14:paraId="24198E2C" w14:textId="1B952E99"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2. </w:t>
      </w:r>
      <w:r w:rsidR="003250E9" w:rsidRPr="003250E9">
        <w:rPr>
          <w:rFonts w:ascii="Times New Roman" w:hAnsi="Times New Roman"/>
          <w:lang w:val="en-HK"/>
        </w:rPr>
        <w:t xml:space="preserve">A third category would unnecessarily complicate the law, raising issues of jury evaluation, </w:t>
      </w:r>
      <w:proofErr w:type="spellStart"/>
      <w:r w:rsidR="003250E9" w:rsidRPr="003250E9">
        <w:rPr>
          <w:rFonts w:ascii="Times New Roman" w:hAnsi="Times New Roman"/>
          <w:lang w:val="en-HK"/>
        </w:rPr>
        <w:t>labeling</w:t>
      </w:r>
      <w:proofErr w:type="spellEnd"/>
      <w:r w:rsidR="003250E9" w:rsidRPr="003250E9">
        <w:rPr>
          <w:rFonts w:ascii="Times New Roman" w:hAnsi="Times New Roman"/>
          <w:lang w:val="en-HK"/>
        </w:rPr>
        <w:t>, and sentencing.</w:t>
      </w:r>
    </w:p>
    <w:p w14:paraId="036FFB04"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How Liability Should Be Structured</w:t>
      </w:r>
      <w:r w:rsidRPr="003250E9">
        <w:rPr>
          <w:rFonts w:ascii="Times New Roman" w:hAnsi="Times New Roman"/>
          <w:lang w:val="en-HK"/>
        </w:rPr>
        <w:t>:</w:t>
      </w:r>
    </w:p>
    <w:p w14:paraId="79FD7170" w14:textId="0892942B"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lastRenderedPageBreak/>
        <w:t xml:space="preserve">1. </w:t>
      </w:r>
      <w:r w:rsidR="003250E9" w:rsidRPr="003250E9">
        <w:rPr>
          <w:rFonts w:ascii="Times New Roman" w:hAnsi="Times New Roman"/>
          <w:b/>
          <w:bCs/>
          <w:lang w:val="en-HK"/>
        </w:rPr>
        <w:t>Unlawful Act by Omission</w:t>
      </w:r>
      <w:r w:rsidR="003250E9" w:rsidRPr="003250E9">
        <w:rPr>
          <w:rFonts w:ascii="Times New Roman" w:hAnsi="Times New Roman"/>
          <w:lang w:val="en-HK"/>
        </w:rPr>
        <w:t>:</w:t>
      </w:r>
    </w:p>
    <w:p w14:paraId="589416C9" w14:textId="25FD5D82" w:rsidR="00E46F22" w:rsidRDefault="00E46F22" w:rsidP="00C71D27">
      <w:pPr>
        <w:spacing w:before="100" w:beforeAutospacing="1" w:after="240" w:line="360" w:lineRule="auto"/>
        <w:rPr>
          <w:rFonts w:ascii="Times New Roman" w:hAnsi="Times New Roman"/>
          <w:lang w:val="en-HK"/>
        </w:rPr>
      </w:pPr>
      <w:r w:rsidRPr="003250E9">
        <w:rPr>
          <w:rFonts w:ascii="Times New Roman" w:hAnsi="Times New Roman"/>
          <w:lang w:val="en-HK"/>
        </w:rPr>
        <w:t>Liability applies where the risk of death is obvious, and the failure to act is "truly exceptionally bad."</w:t>
      </w:r>
    </w:p>
    <w:p w14:paraId="1069A80D" w14:textId="5A862175" w:rsid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2. </w:t>
      </w:r>
      <w:r w:rsidR="003250E9" w:rsidRPr="003250E9">
        <w:rPr>
          <w:rFonts w:ascii="Times New Roman" w:hAnsi="Times New Roman"/>
          <w:b/>
          <w:bCs/>
          <w:lang w:val="en-HK"/>
        </w:rPr>
        <w:t>Gross Negligence Manslaughter</w:t>
      </w:r>
      <w:r w:rsidR="003250E9" w:rsidRPr="003250E9">
        <w:rPr>
          <w:rFonts w:ascii="Times New Roman" w:hAnsi="Times New Roman"/>
          <w:lang w:val="en-HK"/>
        </w:rPr>
        <w:t>:</w:t>
      </w:r>
    </w:p>
    <w:p w14:paraId="2DBB0175" w14:textId="2AE7CB2E" w:rsidR="00E46F22" w:rsidRPr="00E46F22" w:rsidRDefault="00E46F22" w:rsidP="00C71D27">
      <w:pPr>
        <w:spacing w:before="100" w:beforeAutospacing="1" w:after="240" w:line="360" w:lineRule="auto"/>
        <w:rPr>
          <w:rFonts w:ascii="Times New Roman" w:hAnsi="Times New Roman"/>
          <w:lang w:val="en-HK"/>
        </w:rPr>
      </w:pPr>
      <w:r w:rsidRPr="003250E9">
        <w:rPr>
          <w:rFonts w:ascii="Times New Roman" w:hAnsi="Times New Roman"/>
          <w:lang w:val="en-HK"/>
        </w:rPr>
        <w:t>Liability should depend on whether D’s omission breaches a duty and causes harm that satisfies the requirements of an unlawful act.</w:t>
      </w:r>
    </w:p>
    <w:p w14:paraId="59ED7658" w14:textId="77777777" w:rsidR="003250E9" w:rsidRPr="003250E9" w:rsidRDefault="006971DC" w:rsidP="003250E9">
      <w:pPr>
        <w:spacing w:after="240" w:line="360" w:lineRule="auto"/>
        <w:rPr>
          <w:rFonts w:ascii="Times New Roman" w:hAnsi="Times New Roman"/>
          <w:lang w:val="en-HK"/>
        </w:rPr>
      </w:pPr>
      <w:r w:rsidRPr="006971DC">
        <w:rPr>
          <w:rFonts w:ascii="Times New Roman" w:hAnsi="Times New Roman"/>
          <w:noProof/>
          <w:lang w:val="en-HK"/>
          <w14:ligatures w14:val="standardContextual"/>
        </w:rPr>
        <w:pict w14:anchorId="7A97AAC2">
          <v:rect id="_x0000_i1025" alt="" style="width:451.3pt;height:.05pt;mso-width-percent:0;mso-height-percent:0;mso-width-percent:0;mso-height-percent:0" o:hralign="center" o:hrstd="t" o:hr="t" fillcolor="#a0a0a0" stroked="f"/>
        </w:pict>
      </w:r>
    </w:p>
    <w:p w14:paraId="05E1E171" w14:textId="77777777" w:rsidR="003250E9" w:rsidRPr="003250E9" w:rsidRDefault="003250E9" w:rsidP="003250E9">
      <w:pPr>
        <w:spacing w:before="100" w:beforeAutospacing="1" w:after="240" w:line="360" w:lineRule="auto"/>
        <w:outlineLvl w:val="2"/>
        <w:rPr>
          <w:rFonts w:ascii="Times New Roman" w:hAnsi="Times New Roman"/>
          <w:b/>
          <w:bCs/>
          <w:lang w:val="en-HK"/>
        </w:rPr>
      </w:pPr>
      <w:r w:rsidRPr="003250E9">
        <w:rPr>
          <w:rFonts w:ascii="Times New Roman" w:hAnsi="Times New Roman"/>
          <w:b/>
          <w:bCs/>
          <w:lang w:val="en-HK"/>
        </w:rPr>
        <w:t>5. Conclusions</w:t>
      </w:r>
    </w:p>
    <w:p w14:paraId="45926CDD"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Main Argument</w:t>
      </w:r>
      <w:r w:rsidRPr="003250E9">
        <w:rPr>
          <w:rFonts w:ascii="Times New Roman" w:hAnsi="Times New Roman"/>
          <w:lang w:val="en-HK"/>
        </w:rPr>
        <w:t>:</w:t>
      </w:r>
    </w:p>
    <w:p w14:paraId="1D6738B2" w14:textId="33C09D96"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Omissions can fit within UAM if properly understood and interpreted.</w:t>
      </w:r>
    </w:p>
    <w:p w14:paraId="1BF6D969" w14:textId="2BF0758E"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 xml:space="preserve">Taylor criticizes the strict act-omission distinction in </w:t>
      </w:r>
      <w:r w:rsidR="003250E9" w:rsidRPr="003250E9">
        <w:rPr>
          <w:rFonts w:ascii="Times New Roman" w:hAnsi="Times New Roman"/>
          <w:b/>
          <w:bCs/>
          <w:lang w:val="en-HK"/>
        </w:rPr>
        <w:t>Lowe</w:t>
      </w:r>
      <w:r w:rsidR="003250E9" w:rsidRPr="003250E9">
        <w:rPr>
          <w:rFonts w:ascii="Times New Roman" w:hAnsi="Times New Roman"/>
          <w:lang w:val="en-HK"/>
        </w:rPr>
        <w:t>, arguing that it creates unnecessary confusion in the law.</w:t>
      </w:r>
    </w:p>
    <w:p w14:paraId="67FF5554" w14:textId="77777777" w:rsidR="003250E9" w:rsidRPr="003250E9" w:rsidRDefault="003250E9" w:rsidP="00C71D27">
      <w:pPr>
        <w:spacing w:before="100" w:beforeAutospacing="1" w:after="240" w:line="360" w:lineRule="auto"/>
        <w:rPr>
          <w:rFonts w:ascii="Times New Roman" w:hAnsi="Times New Roman"/>
          <w:lang w:val="en-HK"/>
        </w:rPr>
      </w:pPr>
      <w:r w:rsidRPr="003250E9">
        <w:rPr>
          <w:rFonts w:ascii="Times New Roman" w:hAnsi="Times New Roman"/>
          <w:b/>
          <w:bCs/>
          <w:lang w:val="en-HK"/>
        </w:rPr>
        <w:t>Scholarly Perspectives</w:t>
      </w:r>
      <w:r w:rsidRPr="003250E9">
        <w:rPr>
          <w:rFonts w:ascii="Times New Roman" w:hAnsi="Times New Roman"/>
          <w:lang w:val="en-HK"/>
        </w:rPr>
        <w:t>:</w:t>
      </w:r>
    </w:p>
    <w:p w14:paraId="49795C98" w14:textId="05E99D3A"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1. </w:t>
      </w:r>
      <w:r w:rsidR="003250E9" w:rsidRPr="003250E9">
        <w:rPr>
          <w:rFonts w:ascii="Times New Roman" w:hAnsi="Times New Roman"/>
          <w:b/>
          <w:bCs/>
          <w:lang w:val="en-HK"/>
        </w:rPr>
        <w:t>Findlay Stark</w:t>
      </w:r>
      <w:r w:rsidR="003250E9" w:rsidRPr="003250E9">
        <w:rPr>
          <w:rFonts w:ascii="Times New Roman" w:hAnsi="Times New Roman"/>
          <w:lang w:val="en-HK"/>
        </w:rPr>
        <w:t>:</w:t>
      </w:r>
    </w:p>
    <w:p w14:paraId="4FE20E55" w14:textId="60987412"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Opposes the need for reckless manslaughter.</w:t>
      </w:r>
    </w:p>
    <w:p w14:paraId="2E4CA7ED" w14:textId="32AEEA94"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Advocates for using existing legal categories to address omissions fairly.</w:t>
      </w:r>
    </w:p>
    <w:p w14:paraId="4DD2E8CB" w14:textId="0186A724"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2. </w:t>
      </w:r>
      <w:r w:rsidR="003250E9" w:rsidRPr="003250E9">
        <w:rPr>
          <w:rFonts w:ascii="Times New Roman" w:hAnsi="Times New Roman"/>
          <w:b/>
          <w:bCs/>
          <w:lang w:val="en-HK"/>
        </w:rPr>
        <w:t>Richard Taylor</w:t>
      </w:r>
      <w:r w:rsidR="003250E9" w:rsidRPr="003250E9">
        <w:rPr>
          <w:rFonts w:ascii="Times New Roman" w:hAnsi="Times New Roman"/>
          <w:lang w:val="en-HK"/>
        </w:rPr>
        <w:t>:</w:t>
      </w:r>
    </w:p>
    <w:p w14:paraId="2F398857" w14:textId="575CB855"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Agrees omissions can be included under UAM when case law is correctly interpreted.</w:t>
      </w:r>
    </w:p>
    <w:p w14:paraId="4D304E37" w14:textId="15BF2F13"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Opposes creating a third category of reckless manslaughter.</w:t>
      </w:r>
    </w:p>
    <w:p w14:paraId="5135814D" w14:textId="48FBA8EE"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3. </w:t>
      </w:r>
      <w:r w:rsidR="003250E9" w:rsidRPr="003250E9">
        <w:rPr>
          <w:rFonts w:ascii="Times New Roman" w:hAnsi="Times New Roman"/>
          <w:b/>
          <w:bCs/>
          <w:lang w:val="en-HK"/>
        </w:rPr>
        <w:t>Andrew Ashworth</w:t>
      </w:r>
      <w:r w:rsidR="003250E9" w:rsidRPr="003250E9">
        <w:rPr>
          <w:rFonts w:ascii="Times New Roman" w:hAnsi="Times New Roman"/>
          <w:lang w:val="en-HK"/>
        </w:rPr>
        <w:t>:</w:t>
      </w:r>
    </w:p>
    <w:p w14:paraId="0CAE4157" w14:textId="6D419079"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 xml:space="preserve">Criticizes </w:t>
      </w:r>
      <w:r w:rsidR="003250E9" w:rsidRPr="003250E9">
        <w:rPr>
          <w:rFonts w:ascii="Times New Roman" w:hAnsi="Times New Roman"/>
          <w:b/>
          <w:bCs/>
          <w:lang w:val="en-HK"/>
        </w:rPr>
        <w:t>Lowe</w:t>
      </w:r>
      <w:r w:rsidR="003250E9" w:rsidRPr="003250E9">
        <w:rPr>
          <w:rFonts w:ascii="Times New Roman" w:hAnsi="Times New Roman"/>
          <w:lang w:val="en-HK"/>
        </w:rPr>
        <w:t xml:space="preserve"> for excluding omissions from UAM.</w:t>
      </w:r>
    </w:p>
    <w:p w14:paraId="140D5C55" w14:textId="335DEA79"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lastRenderedPageBreak/>
        <w:t xml:space="preserve">- </w:t>
      </w:r>
      <w:r w:rsidR="003250E9" w:rsidRPr="003250E9">
        <w:rPr>
          <w:rFonts w:ascii="Times New Roman" w:hAnsi="Times New Roman"/>
          <w:lang w:val="en-HK"/>
        </w:rPr>
        <w:t>Supports a broader interpretation of duties related to omissions.</w:t>
      </w:r>
    </w:p>
    <w:p w14:paraId="5F9BE56B" w14:textId="1DA1E7CF"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b/>
          <w:bCs/>
          <w:lang w:val="en-HK"/>
        </w:rPr>
        <w:t xml:space="preserve">4. </w:t>
      </w:r>
      <w:r w:rsidR="003250E9" w:rsidRPr="003250E9">
        <w:rPr>
          <w:rFonts w:ascii="Times New Roman" w:hAnsi="Times New Roman"/>
          <w:b/>
          <w:bCs/>
          <w:lang w:val="en-HK"/>
        </w:rPr>
        <w:t>Issues with Reckless Manslaughter</w:t>
      </w:r>
      <w:r w:rsidR="003250E9" w:rsidRPr="003250E9">
        <w:rPr>
          <w:rFonts w:ascii="Times New Roman" w:hAnsi="Times New Roman"/>
          <w:lang w:val="en-HK"/>
        </w:rPr>
        <w:t>:</w:t>
      </w:r>
    </w:p>
    <w:p w14:paraId="7ABD3114" w14:textId="1DC54138"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It raises practical difficulties, such as jury unanimity and risk evaluation.</w:t>
      </w:r>
    </w:p>
    <w:p w14:paraId="4710CC18" w14:textId="13D1C5D1" w:rsidR="003250E9" w:rsidRPr="003250E9" w:rsidRDefault="00C71D27" w:rsidP="00C71D27">
      <w:pPr>
        <w:spacing w:before="100" w:beforeAutospacing="1" w:after="240" w:line="360" w:lineRule="auto"/>
        <w:rPr>
          <w:rFonts w:ascii="Times New Roman" w:hAnsi="Times New Roman"/>
          <w:lang w:val="en-HK"/>
        </w:rPr>
      </w:pPr>
      <w:r>
        <w:rPr>
          <w:rFonts w:ascii="Times New Roman" w:hAnsi="Times New Roman"/>
          <w:lang w:val="en-HK"/>
        </w:rPr>
        <w:t xml:space="preserve">- </w:t>
      </w:r>
      <w:r w:rsidR="003250E9" w:rsidRPr="003250E9">
        <w:rPr>
          <w:rFonts w:ascii="Times New Roman" w:hAnsi="Times New Roman"/>
          <w:lang w:val="en-HK"/>
        </w:rPr>
        <w:t>Taylor aligns with the Law Commission’s view that the term "reckless" is problematic and unnecessary in the context of homicide law.</w:t>
      </w:r>
    </w:p>
    <w:p w14:paraId="2A610C8A" w14:textId="43AD9FC3" w:rsidR="00CD39F1" w:rsidRPr="003250E9" w:rsidRDefault="00CD39F1" w:rsidP="003250E9">
      <w:pPr>
        <w:spacing w:after="240" w:line="360" w:lineRule="auto"/>
        <w:rPr>
          <w:rFonts w:ascii="Times New Roman" w:hAnsi="Times New Roman"/>
        </w:rPr>
      </w:pPr>
    </w:p>
    <w:sectPr w:rsidR="00CD39F1" w:rsidRPr="00325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3E2FDE"/>
    <w:multiLevelType w:val="multilevel"/>
    <w:tmpl w:val="37C01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0421D"/>
    <w:multiLevelType w:val="multilevel"/>
    <w:tmpl w:val="3E22E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F3214"/>
    <w:multiLevelType w:val="multilevel"/>
    <w:tmpl w:val="EA52D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465AF"/>
    <w:multiLevelType w:val="multilevel"/>
    <w:tmpl w:val="94947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D2180"/>
    <w:multiLevelType w:val="multilevel"/>
    <w:tmpl w:val="C914A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F4FDB"/>
    <w:multiLevelType w:val="multilevel"/>
    <w:tmpl w:val="900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46A54"/>
    <w:multiLevelType w:val="multilevel"/>
    <w:tmpl w:val="D7988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D11A43"/>
    <w:multiLevelType w:val="multilevel"/>
    <w:tmpl w:val="791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D3F1A"/>
    <w:multiLevelType w:val="multilevel"/>
    <w:tmpl w:val="1C646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00E60"/>
    <w:multiLevelType w:val="multilevel"/>
    <w:tmpl w:val="7CAAF4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E3839FD"/>
    <w:multiLevelType w:val="multilevel"/>
    <w:tmpl w:val="AF54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F731B"/>
    <w:multiLevelType w:val="multilevel"/>
    <w:tmpl w:val="4D54E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24DF9"/>
    <w:multiLevelType w:val="multilevel"/>
    <w:tmpl w:val="1D3A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A3E47"/>
    <w:multiLevelType w:val="multilevel"/>
    <w:tmpl w:val="B5260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C25C6"/>
    <w:multiLevelType w:val="multilevel"/>
    <w:tmpl w:val="CFE07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0408F0"/>
    <w:multiLevelType w:val="multilevel"/>
    <w:tmpl w:val="0AC6A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B26C6D"/>
    <w:multiLevelType w:val="multilevel"/>
    <w:tmpl w:val="A96C2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12F7C"/>
    <w:multiLevelType w:val="multilevel"/>
    <w:tmpl w:val="ED5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E2AF6"/>
    <w:multiLevelType w:val="multilevel"/>
    <w:tmpl w:val="B99E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A1DE7"/>
    <w:multiLevelType w:val="multilevel"/>
    <w:tmpl w:val="D45C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15B6F"/>
    <w:multiLevelType w:val="multilevel"/>
    <w:tmpl w:val="044C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3A0D20"/>
    <w:multiLevelType w:val="multilevel"/>
    <w:tmpl w:val="7386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3484B"/>
    <w:multiLevelType w:val="multilevel"/>
    <w:tmpl w:val="6C42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360"/>
        </w:tabs>
        <w:ind w:left="36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D4C08"/>
    <w:multiLevelType w:val="multilevel"/>
    <w:tmpl w:val="01B24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A5B35"/>
    <w:multiLevelType w:val="multilevel"/>
    <w:tmpl w:val="7D220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985A22"/>
    <w:multiLevelType w:val="multilevel"/>
    <w:tmpl w:val="3338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50B89"/>
    <w:multiLevelType w:val="multilevel"/>
    <w:tmpl w:val="87A2E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482204">
    <w:abstractNumId w:val="10"/>
  </w:num>
  <w:num w:numId="2" w16cid:durableId="2015960982">
    <w:abstractNumId w:val="0"/>
  </w:num>
  <w:num w:numId="3" w16cid:durableId="1241253706">
    <w:abstractNumId w:val="24"/>
  </w:num>
  <w:num w:numId="4" w16cid:durableId="517039260">
    <w:abstractNumId w:val="20"/>
  </w:num>
  <w:num w:numId="5" w16cid:durableId="1764911959">
    <w:abstractNumId w:val="3"/>
  </w:num>
  <w:num w:numId="6" w16cid:durableId="894438720">
    <w:abstractNumId w:val="7"/>
  </w:num>
  <w:num w:numId="7" w16cid:durableId="2040356090">
    <w:abstractNumId w:val="15"/>
  </w:num>
  <w:num w:numId="8" w16cid:durableId="1868062760">
    <w:abstractNumId w:val="4"/>
  </w:num>
  <w:num w:numId="9" w16cid:durableId="383260562">
    <w:abstractNumId w:val="2"/>
  </w:num>
  <w:num w:numId="10" w16cid:durableId="1637225568">
    <w:abstractNumId w:val="12"/>
  </w:num>
  <w:num w:numId="11" w16cid:durableId="893732767">
    <w:abstractNumId w:val="19"/>
  </w:num>
  <w:num w:numId="12" w16cid:durableId="739250144">
    <w:abstractNumId w:val="13"/>
  </w:num>
  <w:num w:numId="13" w16cid:durableId="441195940">
    <w:abstractNumId w:val="6"/>
  </w:num>
  <w:num w:numId="14" w16cid:durableId="53354946">
    <w:abstractNumId w:val="11"/>
  </w:num>
  <w:num w:numId="15" w16cid:durableId="1693260896">
    <w:abstractNumId w:val="8"/>
  </w:num>
  <w:num w:numId="16" w16cid:durableId="1982464313">
    <w:abstractNumId w:val="14"/>
  </w:num>
  <w:num w:numId="17" w16cid:durableId="42364191">
    <w:abstractNumId w:val="16"/>
  </w:num>
  <w:num w:numId="18" w16cid:durableId="1324041372">
    <w:abstractNumId w:val="1"/>
  </w:num>
  <w:num w:numId="19" w16cid:durableId="1844006165">
    <w:abstractNumId w:val="25"/>
  </w:num>
  <w:num w:numId="20" w16cid:durableId="1495145614">
    <w:abstractNumId w:val="18"/>
  </w:num>
  <w:num w:numId="21" w16cid:durableId="2135974379">
    <w:abstractNumId w:val="5"/>
  </w:num>
  <w:num w:numId="22" w16cid:durableId="1147358984">
    <w:abstractNumId w:val="17"/>
  </w:num>
  <w:num w:numId="23" w16cid:durableId="997152185">
    <w:abstractNumId w:val="9"/>
  </w:num>
  <w:num w:numId="24" w16cid:durableId="1348213566">
    <w:abstractNumId w:val="23"/>
  </w:num>
  <w:num w:numId="25" w16cid:durableId="1981691803">
    <w:abstractNumId w:val="23"/>
    <w:lvlOverride w:ilvl="2">
      <w:lvl w:ilvl="2">
        <w:numFmt w:val="decimal"/>
        <w:lvlText w:val="%3."/>
        <w:lvlJc w:val="left"/>
      </w:lvl>
    </w:lvlOverride>
  </w:num>
  <w:num w:numId="26" w16cid:durableId="1028606047">
    <w:abstractNumId w:val="22"/>
  </w:num>
  <w:num w:numId="27" w16cid:durableId="1327436021">
    <w:abstractNumId w:val="22"/>
    <w:lvlOverride w:ilvl="1">
      <w:lvl w:ilvl="1">
        <w:numFmt w:val="decimal"/>
        <w:lvlText w:val="%2."/>
        <w:lvlJc w:val="left"/>
      </w:lvl>
    </w:lvlOverride>
  </w:num>
  <w:num w:numId="28" w16cid:durableId="2028825241">
    <w:abstractNumId w:val="21"/>
  </w:num>
  <w:num w:numId="29" w16cid:durableId="889076793">
    <w:abstractNumId w:val="21"/>
    <w:lvlOverride w:ilvl="1">
      <w:lvl w:ilvl="1">
        <w:numFmt w:val="decimal"/>
        <w:lvlText w:val="%2."/>
        <w:lvlJc w:val="left"/>
      </w:lvl>
    </w:lvlOverride>
  </w:num>
  <w:num w:numId="30" w16cid:durableId="5525646">
    <w:abstractNumId w:val="21"/>
    <w:lvlOverride w:ilvl="1">
      <w:lvl w:ilvl="1">
        <w:numFmt w:val="decimal"/>
        <w:lvlText w:val="%2."/>
        <w:lvlJc w:val="left"/>
      </w:lvl>
    </w:lvlOverride>
  </w:num>
  <w:num w:numId="31" w16cid:durableId="1056127526">
    <w:abstractNumId w:val="26"/>
  </w:num>
  <w:num w:numId="32" w16cid:durableId="1505515382">
    <w:abstractNumId w:val="26"/>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D4D"/>
    <w:rsid w:val="000147A9"/>
    <w:rsid w:val="00042755"/>
    <w:rsid w:val="0006107D"/>
    <w:rsid w:val="000623A3"/>
    <w:rsid w:val="000719DA"/>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50E9"/>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A553E"/>
    <w:rsid w:val="004B1048"/>
    <w:rsid w:val="004D01FE"/>
    <w:rsid w:val="004E458E"/>
    <w:rsid w:val="004F0E12"/>
    <w:rsid w:val="004F5A36"/>
    <w:rsid w:val="00536441"/>
    <w:rsid w:val="00542B57"/>
    <w:rsid w:val="00557B52"/>
    <w:rsid w:val="005770A9"/>
    <w:rsid w:val="0058416B"/>
    <w:rsid w:val="00595357"/>
    <w:rsid w:val="005A137E"/>
    <w:rsid w:val="005B34ED"/>
    <w:rsid w:val="005C50B3"/>
    <w:rsid w:val="005D57DA"/>
    <w:rsid w:val="005E7702"/>
    <w:rsid w:val="00605F8E"/>
    <w:rsid w:val="00650543"/>
    <w:rsid w:val="00654D8B"/>
    <w:rsid w:val="00661136"/>
    <w:rsid w:val="0068027B"/>
    <w:rsid w:val="006971DC"/>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61B11"/>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61516"/>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BD7D4D"/>
    <w:rsid w:val="00C072F8"/>
    <w:rsid w:val="00C17D79"/>
    <w:rsid w:val="00C24A8A"/>
    <w:rsid w:val="00C54722"/>
    <w:rsid w:val="00C65F70"/>
    <w:rsid w:val="00C66AD0"/>
    <w:rsid w:val="00C71D27"/>
    <w:rsid w:val="00C779D5"/>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38AC"/>
    <w:rsid w:val="00E46F22"/>
    <w:rsid w:val="00E60DF5"/>
    <w:rsid w:val="00E80D33"/>
    <w:rsid w:val="00E95D8D"/>
    <w:rsid w:val="00EA6ED5"/>
    <w:rsid w:val="00EB7051"/>
    <w:rsid w:val="00EC68EB"/>
    <w:rsid w:val="00EC7C43"/>
    <w:rsid w:val="00F012E4"/>
    <w:rsid w:val="00F248D2"/>
    <w:rsid w:val="00F27F00"/>
    <w:rsid w:val="00F3074C"/>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9AA4"/>
  <w15:chartTrackingRefBased/>
  <w15:docId w15:val="{AC178E8F-0585-134A-B2A2-E6D096A0E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D7D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D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7D4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D7D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7D4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7D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7D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7D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7D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D4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D7D4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D7D4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D7D4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BD7D4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D7D4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D7D4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D7D4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D7D4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D7D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D4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D7D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D4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D7D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7D4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D7D4D"/>
    <w:pPr>
      <w:ind w:left="720"/>
      <w:contextualSpacing/>
    </w:pPr>
  </w:style>
  <w:style w:type="character" w:styleId="IntenseEmphasis">
    <w:name w:val="Intense Emphasis"/>
    <w:basedOn w:val="DefaultParagraphFont"/>
    <w:uiPriority w:val="21"/>
    <w:qFormat/>
    <w:rsid w:val="00BD7D4D"/>
    <w:rPr>
      <w:i/>
      <w:iCs/>
      <w:color w:val="2F5496" w:themeColor="accent1" w:themeShade="BF"/>
    </w:rPr>
  </w:style>
  <w:style w:type="paragraph" w:styleId="IntenseQuote">
    <w:name w:val="Intense Quote"/>
    <w:basedOn w:val="Normal"/>
    <w:next w:val="Normal"/>
    <w:link w:val="IntenseQuoteChar"/>
    <w:uiPriority w:val="30"/>
    <w:qFormat/>
    <w:rsid w:val="00BD7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D4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D7D4D"/>
    <w:rPr>
      <w:b/>
      <w:bCs/>
      <w:smallCaps/>
      <w:color w:val="2F5496" w:themeColor="accent1" w:themeShade="BF"/>
      <w:spacing w:val="5"/>
    </w:rPr>
  </w:style>
  <w:style w:type="character" w:styleId="Strong">
    <w:name w:val="Strong"/>
    <w:basedOn w:val="DefaultParagraphFont"/>
    <w:uiPriority w:val="22"/>
    <w:qFormat/>
    <w:rsid w:val="005A137E"/>
    <w:rPr>
      <w:b/>
      <w:bCs/>
    </w:rPr>
  </w:style>
  <w:style w:type="paragraph" w:styleId="NormalWeb">
    <w:name w:val="Normal (Web)"/>
    <w:basedOn w:val="Normal"/>
    <w:uiPriority w:val="99"/>
    <w:semiHidden/>
    <w:unhideWhenUsed/>
    <w:rsid w:val="005A137E"/>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A13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07993">
      <w:bodyDiv w:val="1"/>
      <w:marLeft w:val="0"/>
      <w:marRight w:val="0"/>
      <w:marTop w:val="0"/>
      <w:marBottom w:val="0"/>
      <w:divBdr>
        <w:top w:val="none" w:sz="0" w:space="0" w:color="auto"/>
        <w:left w:val="none" w:sz="0" w:space="0" w:color="auto"/>
        <w:bottom w:val="none" w:sz="0" w:space="0" w:color="auto"/>
        <w:right w:val="none" w:sz="0" w:space="0" w:color="auto"/>
      </w:divBdr>
    </w:div>
    <w:div w:id="102699375">
      <w:bodyDiv w:val="1"/>
      <w:marLeft w:val="0"/>
      <w:marRight w:val="0"/>
      <w:marTop w:val="0"/>
      <w:marBottom w:val="0"/>
      <w:divBdr>
        <w:top w:val="none" w:sz="0" w:space="0" w:color="auto"/>
        <w:left w:val="none" w:sz="0" w:space="0" w:color="auto"/>
        <w:bottom w:val="none" w:sz="0" w:space="0" w:color="auto"/>
        <w:right w:val="none" w:sz="0" w:space="0" w:color="auto"/>
      </w:divBdr>
    </w:div>
    <w:div w:id="141119306">
      <w:bodyDiv w:val="1"/>
      <w:marLeft w:val="0"/>
      <w:marRight w:val="0"/>
      <w:marTop w:val="0"/>
      <w:marBottom w:val="0"/>
      <w:divBdr>
        <w:top w:val="none" w:sz="0" w:space="0" w:color="auto"/>
        <w:left w:val="none" w:sz="0" w:space="0" w:color="auto"/>
        <w:bottom w:val="none" w:sz="0" w:space="0" w:color="auto"/>
        <w:right w:val="none" w:sz="0" w:space="0" w:color="auto"/>
      </w:divBdr>
    </w:div>
    <w:div w:id="569997779">
      <w:bodyDiv w:val="1"/>
      <w:marLeft w:val="0"/>
      <w:marRight w:val="0"/>
      <w:marTop w:val="0"/>
      <w:marBottom w:val="0"/>
      <w:divBdr>
        <w:top w:val="none" w:sz="0" w:space="0" w:color="auto"/>
        <w:left w:val="none" w:sz="0" w:space="0" w:color="auto"/>
        <w:bottom w:val="none" w:sz="0" w:space="0" w:color="auto"/>
        <w:right w:val="none" w:sz="0" w:space="0" w:color="auto"/>
      </w:divBdr>
    </w:div>
    <w:div w:id="900363497">
      <w:bodyDiv w:val="1"/>
      <w:marLeft w:val="0"/>
      <w:marRight w:val="0"/>
      <w:marTop w:val="0"/>
      <w:marBottom w:val="0"/>
      <w:divBdr>
        <w:top w:val="none" w:sz="0" w:space="0" w:color="auto"/>
        <w:left w:val="none" w:sz="0" w:space="0" w:color="auto"/>
        <w:bottom w:val="none" w:sz="0" w:space="0" w:color="auto"/>
        <w:right w:val="none" w:sz="0" w:space="0" w:color="auto"/>
      </w:divBdr>
    </w:div>
    <w:div w:id="990329987">
      <w:bodyDiv w:val="1"/>
      <w:marLeft w:val="0"/>
      <w:marRight w:val="0"/>
      <w:marTop w:val="0"/>
      <w:marBottom w:val="0"/>
      <w:divBdr>
        <w:top w:val="none" w:sz="0" w:space="0" w:color="auto"/>
        <w:left w:val="none" w:sz="0" w:space="0" w:color="auto"/>
        <w:bottom w:val="none" w:sz="0" w:space="0" w:color="auto"/>
        <w:right w:val="none" w:sz="0" w:space="0" w:color="auto"/>
      </w:divBdr>
    </w:div>
    <w:div w:id="1223834526">
      <w:bodyDiv w:val="1"/>
      <w:marLeft w:val="0"/>
      <w:marRight w:val="0"/>
      <w:marTop w:val="0"/>
      <w:marBottom w:val="0"/>
      <w:divBdr>
        <w:top w:val="none" w:sz="0" w:space="0" w:color="auto"/>
        <w:left w:val="none" w:sz="0" w:space="0" w:color="auto"/>
        <w:bottom w:val="none" w:sz="0" w:space="0" w:color="auto"/>
        <w:right w:val="none" w:sz="0" w:space="0" w:color="auto"/>
      </w:divBdr>
    </w:div>
    <w:div w:id="1455519737">
      <w:bodyDiv w:val="1"/>
      <w:marLeft w:val="0"/>
      <w:marRight w:val="0"/>
      <w:marTop w:val="0"/>
      <w:marBottom w:val="0"/>
      <w:divBdr>
        <w:top w:val="none" w:sz="0" w:space="0" w:color="auto"/>
        <w:left w:val="none" w:sz="0" w:space="0" w:color="auto"/>
        <w:bottom w:val="none" w:sz="0" w:space="0" w:color="auto"/>
        <w:right w:val="none" w:sz="0" w:space="0" w:color="auto"/>
      </w:divBdr>
    </w:div>
    <w:div w:id="1711032621">
      <w:bodyDiv w:val="1"/>
      <w:marLeft w:val="0"/>
      <w:marRight w:val="0"/>
      <w:marTop w:val="0"/>
      <w:marBottom w:val="0"/>
      <w:divBdr>
        <w:top w:val="none" w:sz="0" w:space="0" w:color="auto"/>
        <w:left w:val="none" w:sz="0" w:space="0" w:color="auto"/>
        <w:bottom w:val="none" w:sz="0" w:space="0" w:color="auto"/>
        <w:right w:val="none" w:sz="0" w:space="0" w:color="auto"/>
      </w:divBdr>
    </w:div>
    <w:div w:id="205989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6</cp:revision>
  <dcterms:created xsi:type="dcterms:W3CDTF">2024-12-03T10:24:00Z</dcterms:created>
  <dcterms:modified xsi:type="dcterms:W3CDTF">2024-12-12T15:14:00Z</dcterms:modified>
</cp:coreProperties>
</file>