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D14759" w14:textId="77777777" w:rsidR="00FD7E0D" w:rsidRPr="00FD7E0D" w:rsidRDefault="00FD7E0D" w:rsidP="00FD7E0D">
      <w:pPr>
        <w:spacing w:before="100" w:beforeAutospacing="1" w:after="100" w:afterAutospacing="1"/>
        <w:outlineLvl w:val="0"/>
        <w:rPr>
          <w:rFonts w:ascii="Times New Roman" w:hAnsi="Times New Roman"/>
          <w:b/>
          <w:bCs/>
          <w:kern w:val="36"/>
          <w:lang w:val="en-HK"/>
        </w:rPr>
      </w:pPr>
      <w:r w:rsidRPr="00FD7E0D">
        <w:rPr>
          <w:rFonts w:ascii="Times New Roman" w:hAnsi="Times New Roman"/>
          <w:b/>
          <w:bCs/>
          <w:kern w:val="36"/>
          <w:lang w:val="en-HK"/>
        </w:rPr>
        <w:t>Union Citizenship as the Fundamental Status: The CJEU’s Evolving Interpretation</w:t>
      </w:r>
    </w:p>
    <w:p w14:paraId="57AB00F0"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In </w:t>
      </w:r>
      <w:r w:rsidRPr="00FD7E0D">
        <w:rPr>
          <w:rFonts w:ascii="Times New Roman" w:hAnsi="Times New Roman"/>
          <w:i/>
          <w:iCs/>
          <w:lang w:val="en-HK"/>
        </w:rPr>
        <w:t>Grzelczyk</w:t>
      </w:r>
      <w:r w:rsidRPr="00FD7E0D">
        <w:rPr>
          <w:rFonts w:ascii="Times New Roman" w:hAnsi="Times New Roman"/>
          <w:lang w:val="en-HK"/>
        </w:rPr>
        <w:t xml:space="preserve">, the Court of Justice of the European Union (CJEU) declared that “Union citizenship is destined to be the fundamental status of nationals of the Member States, enabling those who find themselves in the same situation to enjoy the same treatment in law irrespective of their nationality, subject to such exceptions as are expressly provided for” (Case C-184/99, </w:t>
      </w:r>
      <w:r w:rsidRPr="00FD7E0D">
        <w:rPr>
          <w:rFonts w:ascii="Times New Roman" w:hAnsi="Times New Roman"/>
          <w:i/>
          <w:iCs/>
          <w:lang w:val="en-HK"/>
        </w:rPr>
        <w:t>Grzelczyk v Centre public d’aide sociale d’Ottignies-Louvain-la-Neuve</w:t>
      </w:r>
      <w:r w:rsidRPr="00FD7E0D">
        <w:rPr>
          <w:rFonts w:ascii="Times New Roman" w:hAnsi="Times New Roman"/>
          <w:lang w:val="en-HK"/>
        </w:rPr>
        <w:t xml:space="preserve"> [2001] ECR I-6193, EU:C:2001:458, para 31). This pronouncement envisions Union citizenship as a unifying legal identity, ensuring equal treatment across Member States unless explicitly excepted. Yet, the CJEU’s jurisprudence reveals a tension between expansive non-discrimination and restrictive economic and policy limits. This essay evaluates whether Union citizenship fulfills this destiny, analyzing key CJEU cases, Treaty provisions, Directive 2004/38/EC, and scholarly perspectives from Niamh Nic Shuibhne and Eleanor Spaventa. I argue that while the CJEU has advanced equal treatment, aligning with the </w:t>
      </w:r>
      <w:r w:rsidRPr="00FD7E0D">
        <w:rPr>
          <w:rFonts w:ascii="Times New Roman" w:hAnsi="Times New Roman"/>
          <w:i/>
          <w:iCs/>
          <w:lang w:val="en-HK"/>
        </w:rPr>
        <w:t>Grzelczyk</w:t>
      </w:r>
      <w:r w:rsidRPr="00FD7E0D">
        <w:rPr>
          <w:rFonts w:ascii="Times New Roman" w:hAnsi="Times New Roman"/>
          <w:lang w:val="en-HK"/>
        </w:rPr>
        <w:t xml:space="preserve"> quote, statutory exceptions and judicial fragmentation create disparities, partially undermining the vision of a universal fundamental status.</w:t>
      </w:r>
    </w:p>
    <w:p w14:paraId="564FEEB2" w14:textId="77777777" w:rsidR="00FD7E0D" w:rsidRPr="00FD7E0D" w:rsidRDefault="00FD7E0D" w:rsidP="00FD7E0D">
      <w:pPr>
        <w:spacing w:before="100" w:beforeAutospacing="1" w:after="100" w:afterAutospacing="1"/>
        <w:outlineLvl w:val="1"/>
        <w:rPr>
          <w:rFonts w:ascii="Times New Roman" w:hAnsi="Times New Roman"/>
          <w:b/>
          <w:bCs/>
          <w:lang w:val="en-HK"/>
        </w:rPr>
      </w:pPr>
      <w:r w:rsidRPr="00FD7E0D">
        <w:rPr>
          <w:rFonts w:ascii="Times New Roman" w:hAnsi="Times New Roman"/>
          <w:b/>
          <w:bCs/>
          <w:lang w:val="en-HK"/>
        </w:rPr>
        <w:t>I. Establishing Union Citizenship: The CJEU’s Foundational Equal Treatment Principle</w:t>
      </w:r>
    </w:p>
    <w:p w14:paraId="53851800"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The </w:t>
      </w:r>
      <w:r w:rsidRPr="00FD7E0D">
        <w:rPr>
          <w:rFonts w:ascii="Times New Roman" w:hAnsi="Times New Roman"/>
          <w:i/>
          <w:iCs/>
          <w:lang w:val="en-HK"/>
        </w:rPr>
        <w:t>Grzelczyk</w:t>
      </w:r>
      <w:r w:rsidRPr="00FD7E0D">
        <w:rPr>
          <w:rFonts w:ascii="Times New Roman" w:hAnsi="Times New Roman"/>
          <w:lang w:val="en-HK"/>
        </w:rPr>
        <w:t xml:space="preserve"> quote positions Union citizenship as a transformative status, granting equal treatment to Member State nationals. Articles 8 and 8a EC (now Articles 20 and 21 TFEU) establish citizenship and free movement rights, while Article 6 EC (now Article 18 TFEU) prohibits nationality-based discrimination (Case C-413/99, </w:t>
      </w:r>
      <w:r w:rsidRPr="00FD7E0D">
        <w:rPr>
          <w:rFonts w:ascii="Times New Roman" w:hAnsi="Times New Roman"/>
          <w:i/>
          <w:iCs/>
          <w:lang w:val="en-HK"/>
        </w:rPr>
        <w:t>Baumbast and R v Secretary of State for the Home Department</w:t>
      </w:r>
      <w:r w:rsidRPr="00FD7E0D">
        <w:rPr>
          <w:rFonts w:ascii="Times New Roman" w:hAnsi="Times New Roman"/>
          <w:lang w:val="en-HK"/>
        </w:rPr>
        <w:t xml:space="preserve"> [2002] ECR I-7091, EU:C:2002:493, para 3). The CJEU’s early cases set the stage for this vision.</w:t>
      </w:r>
    </w:p>
    <w:p w14:paraId="33F6A313"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In </w:t>
      </w:r>
      <w:r w:rsidRPr="00FD7E0D">
        <w:rPr>
          <w:rFonts w:ascii="Times New Roman" w:hAnsi="Times New Roman"/>
          <w:i/>
          <w:iCs/>
          <w:lang w:val="en-HK"/>
        </w:rPr>
        <w:t>Martínez Sala</w:t>
      </w:r>
      <w:r w:rsidRPr="00FD7E0D">
        <w:rPr>
          <w:rFonts w:ascii="Times New Roman" w:hAnsi="Times New Roman"/>
          <w:lang w:val="en-HK"/>
        </w:rPr>
        <w:t>, a Spanish national lawfully resident in Germany was denied a child-raising allowance due to nationality (</w:t>
      </w:r>
      <w:r w:rsidRPr="00FD7E0D">
        <w:rPr>
          <w:rFonts w:ascii="Times New Roman" w:hAnsi="Times New Roman"/>
          <w:i/>
          <w:iCs/>
          <w:lang w:val="en-HK"/>
        </w:rPr>
        <w:t>Case C-85/96, Martínez Sala v Freistaat Bayern</w:t>
      </w:r>
      <w:r w:rsidRPr="00FD7E0D">
        <w:rPr>
          <w:rFonts w:ascii="Times New Roman" w:hAnsi="Times New Roman"/>
          <w:lang w:val="en-HK"/>
        </w:rPr>
        <w:t xml:space="preserve"> [1998] ECR I-2691, EU:C:1998:217, para 15). The CJEU held that Article 8 EC, combined with Article 6 EC, entitled her to equal treatment, as her residence permit confirmed lawful status (</w:t>
      </w:r>
      <w:r w:rsidRPr="00FD7E0D">
        <w:rPr>
          <w:rFonts w:ascii="Times New Roman" w:hAnsi="Times New Roman"/>
          <w:i/>
          <w:iCs/>
          <w:lang w:val="en-HK"/>
        </w:rPr>
        <w:t>Martínez Sala</w:t>
      </w:r>
      <w:r w:rsidRPr="00FD7E0D">
        <w:rPr>
          <w:rFonts w:ascii="Times New Roman" w:hAnsi="Times New Roman"/>
          <w:lang w:val="en-HK"/>
        </w:rPr>
        <w:t xml:space="preserve">, para 63). This case aligns with the </w:t>
      </w:r>
      <w:r w:rsidRPr="00FD7E0D">
        <w:rPr>
          <w:rFonts w:ascii="Times New Roman" w:hAnsi="Times New Roman"/>
          <w:i/>
          <w:iCs/>
          <w:lang w:val="en-HK"/>
        </w:rPr>
        <w:t>Grzelczyk</w:t>
      </w:r>
      <w:r w:rsidRPr="00FD7E0D">
        <w:rPr>
          <w:rFonts w:ascii="Times New Roman" w:hAnsi="Times New Roman"/>
          <w:lang w:val="en-HK"/>
        </w:rPr>
        <w:t xml:space="preserve"> quote because it establishes Union citizenship as a direct source of non-discrimination, ensuring equal access to benefits for lawfully resident nationals, absent explicit exceptions. By prioritizing residence over nationality, the CJEU laid the groundwork for Union citizenship’s fundamental status, fulfilling the quote’s promise of equal treatment.</w:t>
      </w:r>
    </w:p>
    <w:p w14:paraId="17DAD909"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Similarly, in </w:t>
      </w:r>
      <w:r w:rsidRPr="00FD7E0D">
        <w:rPr>
          <w:rFonts w:ascii="Times New Roman" w:hAnsi="Times New Roman"/>
          <w:i/>
          <w:iCs/>
          <w:lang w:val="en-HK"/>
        </w:rPr>
        <w:t>Grzelczyk</w:t>
      </w:r>
      <w:r w:rsidRPr="00FD7E0D">
        <w:rPr>
          <w:rFonts w:ascii="Times New Roman" w:hAnsi="Times New Roman"/>
          <w:lang w:val="en-HK"/>
        </w:rPr>
        <w:t xml:space="preserve">, Rudy Grzelczyk, a French student legally residing in Belgium, was denied the </w:t>
      </w:r>
      <w:r w:rsidRPr="00FD7E0D">
        <w:rPr>
          <w:rFonts w:ascii="Times New Roman" w:hAnsi="Times New Roman"/>
          <w:i/>
          <w:iCs/>
          <w:lang w:val="en-HK"/>
        </w:rPr>
        <w:t>minimex</w:t>
      </w:r>
      <w:r w:rsidRPr="00FD7E0D">
        <w:rPr>
          <w:rFonts w:ascii="Times New Roman" w:hAnsi="Times New Roman"/>
          <w:lang w:val="en-HK"/>
        </w:rPr>
        <w:t xml:space="preserve"> based on nationality restrictions not applied to Belgians (</w:t>
      </w:r>
      <w:r w:rsidRPr="00FD7E0D">
        <w:rPr>
          <w:rFonts w:ascii="Times New Roman" w:hAnsi="Times New Roman"/>
          <w:i/>
          <w:iCs/>
          <w:lang w:val="en-HK"/>
        </w:rPr>
        <w:t>Grzelczyk</w:t>
      </w:r>
      <w:r w:rsidRPr="00FD7E0D">
        <w:rPr>
          <w:rFonts w:ascii="Times New Roman" w:hAnsi="Times New Roman"/>
          <w:lang w:val="en-HK"/>
        </w:rPr>
        <w:t>, paras 11, 29). The CJEU ruled that Articles 6 and 8 EC prohibited such discrimination, as lawful residence triggered equal treatment (</w:t>
      </w:r>
      <w:r w:rsidRPr="00FD7E0D">
        <w:rPr>
          <w:rFonts w:ascii="Times New Roman" w:hAnsi="Times New Roman"/>
          <w:i/>
          <w:iCs/>
          <w:lang w:val="en-HK"/>
        </w:rPr>
        <w:t>Grzelczyk</w:t>
      </w:r>
      <w:r w:rsidRPr="00FD7E0D">
        <w:rPr>
          <w:rFonts w:ascii="Times New Roman" w:hAnsi="Times New Roman"/>
          <w:lang w:val="en-HK"/>
        </w:rPr>
        <w:t xml:space="preserve">, paras 31, 46). This directly embodies the </w:t>
      </w:r>
      <w:r w:rsidRPr="00FD7E0D">
        <w:rPr>
          <w:rFonts w:ascii="Times New Roman" w:hAnsi="Times New Roman"/>
          <w:i/>
          <w:iCs/>
          <w:lang w:val="en-HK"/>
        </w:rPr>
        <w:t>Grzelczyk</w:t>
      </w:r>
      <w:r w:rsidRPr="00FD7E0D">
        <w:rPr>
          <w:rFonts w:ascii="Times New Roman" w:hAnsi="Times New Roman"/>
          <w:lang w:val="en-HK"/>
        </w:rPr>
        <w:t xml:space="preserve"> quote, as Union citizenship enabled Grzelczyk to enjoy the same social benefits as Belgian nationals, reinforcing its role as a fundamental status unless statutorily excepted. My analysis suggests that these cases establish a robust foundation, where the CJEU leverages citizenship to dismantle nationality barriers, aligning with the quote’s universal equality ideal.</w:t>
      </w:r>
    </w:p>
    <w:p w14:paraId="41C4EC89" w14:textId="77777777" w:rsidR="00FD7E0D" w:rsidRPr="00FD7E0D" w:rsidRDefault="00FD7E0D" w:rsidP="00FD7E0D">
      <w:pPr>
        <w:spacing w:before="100" w:beforeAutospacing="1" w:after="100" w:afterAutospacing="1"/>
        <w:outlineLvl w:val="1"/>
        <w:rPr>
          <w:rFonts w:ascii="Times New Roman" w:hAnsi="Times New Roman"/>
          <w:b/>
          <w:bCs/>
          <w:lang w:val="en-HK"/>
        </w:rPr>
      </w:pPr>
      <w:r w:rsidRPr="00FD7E0D">
        <w:rPr>
          <w:rFonts w:ascii="Times New Roman" w:hAnsi="Times New Roman"/>
          <w:b/>
          <w:bCs/>
          <w:lang w:val="en-HK"/>
        </w:rPr>
        <w:t>II. Expanding Citizenship Through Proportionality: Individual and Family Rights</w:t>
      </w:r>
    </w:p>
    <w:p w14:paraId="3AB31B70"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lastRenderedPageBreak/>
        <w:t xml:space="preserve">The CJEU has extended Union citizenship’s scope, countering restrictive interpretations through proportionality, aligning with the </w:t>
      </w:r>
      <w:r w:rsidRPr="00FD7E0D">
        <w:rPr>
          <w:rFonts w:ascii="Times New Roman" w:hAnsi="Times New Roman"/>
          <w:i/>
          <w:iCs/>
          <w:lang w:val="en-HK"/>
        </w:rPr>
        <w:t>Grzelczyk</w:t>
      </w:r>
      <w:r w:rsidRPr="00FD7E0D">
        <w:rPr>
          <w:rFonts w:ascii="Times New Roman" w:hAnsi="Times New Roman"/>
          <w:lang w:val="en-HK"/>
        </w:rPr>
        <w:t xml:space="preserve"> quote’s equal treatment ethos.</w:t>
      </w:r>
    </w:p>
    <w:p w14:paraId="04305F19" w14:textId="77777777" w:rsidR="00FD7E0D" w:rsidRPr="00FD7E0D" w:rsidRDefault="00FD7E0D" w:rsidP="00FD7E0D">
      <w:pPr>
        <w:spacing w:before="100" w:beforeAutospacing="1" w:after="100" w:afterAutospacing="1"/>
        <w:outlineLvl w:val="2"/>
        <w:rPr>
          <w:rFonts w:ascii="Times New Roman" w:hAnsi="Times New Roman"/>
          <w:b/>
          <w:bCs/>
          <w:lang w:val="en-HK"/>
        </w:rPr>
      </w:pPr>
      <w:r w:rsidRPr="00FD7E0D">
        <w:rPr>
          <w:rFonts w:ascii="Times New Roman" w:hAnsi="Times New Roman"/>
          <w:b/>
          <w:bCs/>
          <w:lang w:val="en-HK"/>
        </w:rPr>
        <w:t>A. Individual Citizens</w:t>
      </w:r>
    </w:p>
    <w:p w14:paraId="4EBCF987"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In </w:t>
      </w:r>
      <w:r w:rsidRPr="00FD7E0D">
        <w:rPr>
          <w:rFonts w:ascii="Times New Roman" w:hAnsi="Times New Roman"/>
          <w:i/>
          <w:iCs/>
          <w:lang w:val="en-HK"/>
        </w:rPr>
        <w:t>Baumbast</w:t>
      </w:r>
      <w:r w:rsidRPr="00FD7E0D">
        <w:rPr>
          <w:rFonts w:ascii="Times New Roman" w:hAnsi="Times New Roman"/>
          <w:lang w:val="en-HK"/>
        </w:rPr>
        <w:t>, Mr. Baumbast, a German national in the UK since 1990, retained residence rights under Article 18(1) EC after ceasing UK employment, with sufficient resources and comprehensive German health insurance (</w:t>
      </w:r>
      <w:r w:rsidRPr="00FD7E0D">
        <w:rPr>
          <w:rFonts w:ascii="Times New Roman" w:hAnsi="Times New Roman"/>
          <w:i/>
          <w:iCs/>
          <w:lang w:val="en-HK"/>
        </w:rPr>
        <w:t>Baumbast</w:t>
      </w:r>
      <w:r w:rsidRPr="00FD7E0D">
        <w:rPr>
          <w:rFonts w:ascii="Times New Roman" w:hAnsi="Times New Roman"/>
          <w:lang w:val="en-HK"/>
        </w:rPr>
        <w:t>, paras 84, 88-89). The 1996 denial of his 1995 indefinite leave application was deemed disproportionate, given his children’s UK education and minimal public burden (</w:t>
      </w:r>
      <w:r w:rsidRPr="00FD7E0D">
        <w:rPr>
          <w:rFonts w:ascii="Times New Roman" w:hAnsi="Times New Roman"/>
          <w:i/>
          <w:iCs/>
          <w:lang w:val="en-HK"/>
        </w:rPr>
        <w:t>Baumbast</w:t>
      </w:r>
      <w:r w:rsidRPr="00FD7E0D">
        <w:rPr>
          <w:rFonts w:ascii="Times New Roman" w:hAnsi="Times New Roman"/>
          <w:lang w:val="en-HK"/>
        </w:rPr>
        <w:t xml:space="preserve">, paras 92-93). This ruling applies the </w:t>
      </w:r>
      <w:r w:rsidRPr="00FD7E0D">
        <w:rPr>
          <w:rFonts w:ascii="Times New Roman" w:hAnsi="Times New Roman"/>
          <w:i/>
          <w:iCs/>
          <w:lang w:val="en-HK"/>
        </w:rPr>
        <w:t>Grzelczyk</w:t>
      </w:r>
      <w:r w:rsidRPr="00FD7E0D">
        <w:rPr>
          <w:rFonts w:ascii="Times New Roman" w:hAnsi="Times New Roman"/>
          <w:lang w:val="en-HK"/>
        </w:rPr>
        <w:t xml:space="preserve"> quote by ensuring equal treatment for a lawfully resident citizen, subject to Directive 90/364/EEC’s conditions, which the CJEU interpreted flexibly to protect family life. It aligns with the quote because it upholds non-discrimination for economically inactive citizens, reinforcing Union citizenship’s fundamental status. I argue this case is pivotal, as it demonstrates the CJEU’s willingness to prioritize individual rights over strict state interests, advancing the quote’s vision.</w:t>
      </w:r>
    </w:p>
    <w:p w14:paraId="42BD99C4"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In </w:t>
      </w:r>
      <w:r w:rsidRPr="00FD7E0D">
        <w:rPr>
          <w:rFonts w:ascii="Times New Roman" w:hAnsi="Times New Roman"/>
          <w:i/>
          <w:iCs/>
          <w:lang w:val="en-HK"/>
        </w:rPr>
        <w:t>Trojani</w:t>
      </w:r>
      <w:r w:rsidRPr="00FD7E0D">
        <w:rPr>
          <w:rFonts w:ascii="Times New Roman" w:hAnsi="Times New Roman"/>
          <w:lang w:val="en-HK"/>
        </w:rPr>
        <w:t xml:space="preserve">, Michel Trojani, a French national with a Belgian residence permit, was eligible for the </w:t>
      </w:r>
      <w:r w:rsidRPr="00FD7E0D">
        <w:rPr>
          <w:rFonts w:ascii="Times New Roman" w:hAnsi="Times New Roman"/>
          <w:i/>
          <w:iCs/>
          <w:lang w:val="en-HK"/>
        </w:rPr>
        <w:t>minimex</w:t>
      </w:r>
      <w:r w:rsidRPr="00FD7E0D">
        <w:rPr>
          <w:rFonts w:ascii="Times New Roman" w:hAnsi="Times New Roman"/>
          <w:lang w:val="en-HK"/>
        </w:rPr>
        <w:t xml:space="preserve"> under Article 12 EC despite minimal hostel work (</w:t>
      </w:r>
      <w:r w:rsidRPr="00FD7E0D">
        <w:rPr>
          <w:rFonts w:ascii="Times New Roman" w:hAnsi="Times New Roman"/>
          <w:i/>
          <w:iCs/>
          <w:lang w:val="en-HK"/>
        </w:rPr>
        <w:t>Case C-456/02, Trojani v Centre public d’aide sociale de Bruxelles</w:t>
      </w:r>
      <w:r w:rsidRPr="00FD7E0D">
        <w:rPr>
          <w:rFonts w:ascii="Times New Roman" w:hAnsi="Times New Roman"/>
          <w:lang w:val="en-HK"/>
        </w:rPr>
        <w:t xml:space="preserve"> [2004] ECR I-7573, EU:C:2004:488, paras 37, 43-46). The CJEU prioritized lawful residence, enabling equal treatment (</w:t>
      </w:r>
      <w:r w:rsidRPr="00FD7E0D">
        <w:rPr>
          <w:rFonts w:ascii="Times New Roman" w:hAnsi="Times New Roman"/>
          <w:i/>
          <w:iCs/>
          <w:lang w:val="en-HK"/>
        </w:rPr>
        <w:t>Trojani</w:t>
      </w:r>
      <w:r w:rsidRPr="00FD7E0D">
        <w:rPr>
          <w:rFonts w:ascii="Times New Roman" w:hAnsi="Times New Roman"/>
          <w:lang w:val="en-HK"/>
        </w:rPr>
        <w:t xml:space="preserve">, para 44). This aligns with </w:t>
      </w:r>
      <w:r w:rsidRPr="00FD7E0D">
        <w:rPr>
          <w:rFonts w:ascii="Times New Roman" w:hAnsi="Times New Roman"/>
          <w:i/>
          <w:iCs/>
          <w:lang w:val="en-HK"/>
        </w:rPr>
        <w:t>Grzelczyk</w:t>
      </w:r>
      <w:r w:rsidRPr="00FD7E0D">
        <w:rPr>
          <w:rFonts w:ascii="Times New Roman" w:hAnsi="Times New Roman"/>
          <w:lang w:val="en-HK"/>
        </w:rPr>
        <w:t xml:space="preserve"> by granting non-discriminatory benefits to an inactive citizen, fulfilling the quote’s equal treatment promise absent explicit exceptions. My analysis highlights </w:t>
      </w:r>
      <w:r w:rsidRPr="00FD7E0D">
        <w:rPr>
          <w:rFonts w:ascii="Times New Roman" w:hAnsi="Times New Roman"/>
          <w:i/>
          <w:iCs/>
          <w:lang w:val="en-HK"/>
        </w:rPr>
        <w:t>Trojani</w:t>
      </w:r>
      <w:r w:rsidRPr="00FD7E0D">
        <w:rPr>
          <w:rFonts w:ascii="Times New Roman" w:hAnsi="Times New Roman"/>
          <w:lang w:val="en-HK"/>
        </w:rPr>
        <w:t xml:space="preserve">’s significance, as it extends </w:t>
      </w:r>
      <w:r w:rsidRPr="00FD7E0D">
        <w:rPr>
          <w:rFonts w:ascii="Times New Roman" w:hAnsi="Times New Roman"/>
          <w:i/>
          <w:iCs/>
          <w:lang w:val="en-HK"/>
        </w:rPr>
        <w:t>Grzelczyk</w:t>
      </w:r>
      <w:r w:rsidRPr="00FD7E0D">
        <w:rPr>
          <w:rFonts w:ascii="Times New Roman" w:hAnsi="Times New Roman"/>
          <w:lang w:val="en-HK"/>
        </w:rPr>
        <w:t>’s principle to marginal economic actors, broadening citizenship’s protective scope.</w:t>
      </w:r>
    </w:p>
    <w:p w14:paraId="7EC0D95A" w14:textId="77777777" w:rsidR="00FD7E0D" w:rsidRPr="00FD7E0D" w:rsidRDefault="00FD7E0D" w:rsidP="00FD7E0D">
      <w:pPr>
        <w:spacing w:before="100" w:beforeAutospacing="1" w:after="100" w:afterAutospacing="1"/>
        <w:outlineLvl w:val="2"/>
        <w:rPr>
          <w:rFonts w:ascii="Times New Roman" w:hAnsi="Times New Roman"/>
          <w:b/>
          <w:bCs/>
          <w:lang w:val="en-HK"/>
        </w:rPr>
      </w:pPr>
      <w:r w:rsidRPr="00FD7E0D">
        <w:rPr>
          <w:rFonts w:ascii="Times New Roman" w:hAnsi="Times New Roman"/>
          <w:b/>
          <w:bCs/>
          <w:lang w:val="en-HK"/>
        </w:rPr>
        <w:t>B. Family Members</w:t>
      </w:r>
    </w:p>
    <w:p w14:paraId="475F5A24"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Family unity is central to Union citizenship’s mobility. In </w:t>
      </w:r>
      <w:r w:rsidRPr="00FD7E0D">
        <w:rPr>
          <w:rFonts w:ascii="Times New Roman" w:hAnsi="Times New Roman"/>
          <w:i/>
          <w:iCs/>
          <w:lang w:val="en-HK"/>
        </w:rPr>
        <w:t>Metock</w:t>
      </w:r>
      <w:r w:rsidRPr="00FD7E0D">
        <w:rPr>
          <w:rFonts w:ascii="Times New Roman" w:hAnsi="Times New Roman"/>
          <w:lang w:val="en-HK"/>
        </w:rPr>
        <w:t>, four TCN spouses of Union citizens in Ireland, entering as asylum seekers between 2004-2006, were granted residence despite no prior lawful EU residence (</w:t>
      </w:r>
      <w:r w:rsidRPr="00FD7E0D">
        <w:rPr>
          <w:rFonts w:ascii="Times New Roman" w:hAnsi="Times New Roman"/>
          <w:i/>
          <w:iCs/>
          <w:lang w:val="en-HK"/>
        </w:rPr>
        <w:t>Case C-127/08, Metock and Others v Minister for Justice, Equality and Law Reform</w:t>
      </w:r>
      <w:r w:rsidRPr="00FD7E0D">
        <w:rPr>
          <w:rFonts w:ascii="Times New Roman" w:hAnsi="Times New Roman"/>
          <w:lang w:val="en-HK"/>
        </w:rPr>
        <w:t xml:space="preserve"> [2008] ECR I-6241, EU:C:2008:449, paras 18-36). The CJEU rejected Ireland’s prior residence requirement, holding that Directive 2004/38/EC applies to TCN family members joining Union citizens (</w:t>
      </w:r>
      <w:r w:rsidRPr="00FD7E0D">
        <w:rPr>
          <w:rFonts w:ascii="Times New Roman" w:hAnsi="Times New Roman"/>
          <w:i/>
          <w:iCs/>
          <w:lang w:val="en-HK"/>
        </w:rPr>
        <w:t>Metock</w:t>
      </w:r>
      <w:r w:rsidRPr="00FD7E0D">
        <w:rPr>
          <w:rFonts w:ascii="Times New Roman" w:hAnsi="Times New Roman"/>
          <w:lang w:val="en-HK"/>
        </w:rPr>
        <w:t xml:space="preserve">, paras 49-54, 80). This aligns with </w:t>
      </w:r>
      <w:r w:rsidRPr="00FD7E0D">
        <w:rPr>
          <w:rFonts w:ascii="Times New Roman" w:hAnsi="Times New Roman"/>
          <w:i/>
          <w:iCs/>
          <w:lang w:val="en-HK"/>
        </w:rPr>
        <w:t>Grzelczyk</w:t>
      </w:r>
      <w:r w:rsidRPr="00FD7E0D">
        <w:rPr>
          <w:rFonts w:ascii="Times New Roman" w:hAnsi="Times New Roman"/>
          <w:lang w:val="en-HK"/>
        </w:rPr>
        <w:t xml:space="preserve"> by ensuring TCN spouses enjoy equal residence rights, removing barriers to Union citizens’ mobility. I contend that </w:t>
      </w:r>
      <w:r w:rsidRPr="00FD7E0D">
        <w:rPr>
          <w:rFonts w:ascii="Times New Roman" w:hAnsi="Times New Roman"/>
          <w:i/>
          <w:iCs/>
          <w:lang w:val="en-HK"/>
        </w:rPr>
        <w:t>Metock</w:t>
      </w:r>
      <w:r w:rsidRPr="00FD7E0D">
        <w:rPr>
          <w:rFonts w:ascii="Times New Roman" w:hAnsi="Times New Roman"/>
          <w:lang w:val="en-HK"/>
        </w:rPr>
        <w:t xml:space="preserve"> strengthens the quote’s vision by extending equal treatment to families, enhancing citizenship’s integrative role.</w:t>
      </w:r>
    </w:p>
    <w:p w14:paraId="3011E814"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In </w:t>
      </w:r>
      <w:r w:rsidRPr="00FD7E0D">
        <w:rPr>
          <w:rFonts w:ascii="Times New Roman" w:hAnsi="Times New Roman"/>
          <w:i/>
          <w:iCs/>
          <w:lang w:val="en-HK"/>
        </w:rPr>
        <w:t>Chen</w:t>
      </w:r>
      <w:r w:rsidRPr="00FD7E0D">
        <w:rPr>
          <w:rFonts w:ascii="Times New Roman" w:hAnsi="Times New Roman"/>
          <w:lang w:val="en-HK"/>
        </w:rPr>
        <w:t>, Kunqian Catherine Zhu, an Irish citizen, secured UK residence under Article 18 EC, extending to her TCN mother, Man Lavette Chen, with sufficient resources (</w:t>
      </w:r>
      <w:r w:rsidRPr="00FD7E0D">
        <w:rPr>
          <w:rFonts w:ascii="Times New Roman" w:hAnsi="Times New Roman"/>
          <w:i/>
          <w:iCs/>
          <w:lang w:val="en-HK"/>
        </w:rPr>
        <w:t>Case C-200/02, Kunqian Catherine Zhu and Man Lavette Chen v Secretary of State for the Home Department</w:t>
      </w:r>
      <w:r w:rsidRPr="00FD7E0D">
        <w:rPr>
          <w:rFonts w:ascii="Times New Roman" w:hAnsi="Times New Roman"/>
          <w:lang w:val="en-HK"/>
        </w:rPr>
        <w:t xml:space="preserve"> [2004] ECR I-9925, EU:C:2004:639, paras 30, 41). The CJEU prioritized the child’s citizenship rights (</w:t>
      </w:r>
      <w:r w:rsidRPr="00FD7E0D">
        <w:rPr>
          <w:rFonts w:ascii="Times New Roman" w:hAnsi="Times New Roman"/>
          <w:i/>
          <w:iCs/>
          <w:lang w:val="en-HK"/>
        </w:rPr>
        <w:t>Chen</w:t>
      </w:r>
      <w:r w:rsidRPr="00FD7E0D">
        <w:rPr>
          <w:rFonts w:ascii="Times New Roman" w:hAnsi="Times New Roman"/>
          <w:lang w:val="en-HK"/>
        </w:rPr>
        <w:t xml:space="preserve">, para 47). This aligns with </w:t>
      </w:r>
      <w:r w:rsidRPr="00FD7E0D">
        <w:rPr>
          <w:rFonts w:ascii="Times New Roman" w:hAnsi="Times New Roman"/>
          <w:i/>
          <w:iCs/>
          <w:lang w:val="en-HK"/>
        </w:rPr>
        <w:t>Grzelczyk</w:t>
      </w:r>
      <w:r w:rsidRPr="00FD7E0D">
        <w:rPr>
          <w:rFonts w:ascii="Times New Roman" w:hAnsi="Times New Roman"/>
          <w:lang w:val="en-HK"/>
        </w:rPr>
        <w:t xml:space="preserve"> by ensuring equal treatment for dependants, supporting Union citizens’ mobility. My analysis underscores </w:t>
      </w:r>
      <w:r w:rsidRPr="00FD7E0D">
        <w:rPr>
          <w:rFonts w:ascii="Times New Roman" w:hAnsi="Times New Roman"/>
          <w:i/>
          <w:iCs/>
          <w:lang w:val="en-HK"/>
        </w:rPr>
        <w:t>Chen</w:t>
      </w:r>
      <w:r w:rsidRPr="00FD7E0D">
        <w:rPr>
          <w:rFonts w:ascii="Times New Roman" w:hAnsi="Times New Roman"/>
          <w:lang w:val="en-HK"/>
        </w:rPr>
        <w:t>’s role in expanding the quote’s equal treatment to non-economic contexts, reinforcing citizenship’s fundamental status.</w:t>
      </w:r>
    </w:p>
    <w:p w14:paraId="3A01084E" w14:textId="77777777" w:rsidR="00FD7E0D" w:rsidRPr="00FD7E0D" w:rsidRDefault="00FD7E0D" w:rsidP="00FD7E0D">
      <w:pPr>
        <w:spacing w:before="100" w:beforeAutospacing="1" w:after="100" w:afterAutospacing="1"/>
        <w:outlineLvl w:val="1"/>
        <w:rPr>
          <w:rFonts w:ascii="Times New Roman" w:hAnsi="Times New Roman"/>
          <w:b/>
          <w:bCs/>
          <w:lang w:val="en-HK"/>
        </w:rPr>
      </w:pPr>
      <w:r w:rsidRPr="00FD7E0D">
        <w:rPr>
          <w:rFonts w:ascii="Times New Roman" w:hAnsi="Times New Roman"/>
          <w:b/>
          <w:bCs/>
          <w:lang w:val="en-HK"/>
        </w:rPr>
        <w:t>III. Economic Constraints: Challenging the Universal Vision</w:t>
      </w:r>
    </w:p>
    <w:p w14:paraId="54A86549"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lastRenderedPageBreak/>
        <w:t xml:space="preserve">The CJEU’s commitment to equal treatment is tempered by economic exceptions, challenging the </w:t>
      </w:r>
      <w:r w:rsidRPr="00FD7E0D">
        <w:rPr>
          <w:rFonts w:ascii="Times New Roman" w:hAnsi="Times New Roman"/>
          <w:i/>
          <w:iCs/>
          <w:lang w:val="en-HK"/>
        </w:rPr>
        <w:t>Grzelczyk</w:t>
      </w:r>
      <w:r w:rsidRPr="00FD7E0D">
        <w:rPr>
          <w:rFonts w:ascii="Times New Roman" w:hAnsi="Times New Roman"/>
          <w:lang w:val="en-HK"/>
        </w:rPr>
        <w:t xml:space="preserve"> quote’s universality. Directive 2004/38/EC’s Article 7(1)(b) requires inactive citizens to have sufficient resources (</w:t>
      </w:r>
      <w:r w:rsidRPr="00FD7E0D">
        <w:rPr>
          <w:rFonts w:ascii="Times New Roman" w:hAnsi="Times New Roman"/>
          <w:i/>
          <w:iCs/>
          <w:lang w:val="en-HK"/>
        </w:rPr>
        <w:t>Directive 2004/38/EC</w:t>
      </w:r>
      <w:r w:rsidRPr="00FD7E0D">
        <w:rPr>
          <w:rFonts w:ascii="Times New Roman" w:hAnsi="Times New Roman"/>
          <w:lang w:val="en-HK"/>
        </w:rPr>
        <w:t xml:space="preserve">, Article 7(1)(b)). In </w:t>
      </w:r>
      <w:r w:rsidRPr="00FD7E0D">
        <w:rPr>
          <w:rFonts w:ascii="Times New Roman" w:hAnsi="Times New Roman"/>
          <w:i/>
          <w:iCs/>
          <w:lang w:val="en-HK"/>
        </w:rPr>
        <w:t>Dano</w:t>
      </w:r>
      <w:r w:rsidRPr="00FD7E0D">
        <w:rPr>
          <w:rFonts w:ascii="Times New Roman" w:hAnsi="Times New Roman"/>
          <w:lang w:val="en-HK"/>
        </w:rPr>
        <w:t>, Elisabeta Dano, a Romanian national, was denied German social assistance due to insufficient resources (</w:t>
      </w:r>
      <w:r w:rsidRPr="00FD7E0D">
        <w:rPr>
          <w:rFonts w:ascii="Times New Roman" w:hAnsi="Times New Roman"/>
          <w:i/>
          <w:iCs/>
          <w:lang w:val="en-HK"/>
        </w:rPr>
        <w:t>Case C-333/13, Dano v Jobcenter Leipzig</w:t>
      </w:r>
      <w:r w:rsidRPr="00FD7E0D">
        <w:rPr>
          <w:rFonts w:ascii="Times New Roman" w:hAnsi="Times New Roman"/>
          <w:lang w:val="en-HK"/>
        </w:rPr>
        <w:t xml:space="preserve"> [2014] EU:C:2014:2358, paras 74-78). The CJEU held that inactive citizens lacking residence rights cannot claim equal treatment (</w:t>
      </w:r>
      <w:r w:rsidRPr="00FD7E0D">
        <w:rPr>
          <w:rFonts w:ascii="Times New Roman" w:hAnsi="Times New Roman"/>
          <w:i/>
          <w:iCs/>
          <w:lang w:val="en-HK"/>
        </w:rPr>
        <w:t>Dano</w:t>
      </w:r>
      <w:r w:rsidRPr="00FD7E0D">
        <w:rPr>
          <w:rFonts w:ascii="Times New Roman" w:hAnsi="Times New Roman"/>
          <w:lang w:val="en-HK"/>
        </w:rPr>
        <w:t xml:space="preserve">, para 81). This statutory exception limits </w:t>
      </w:r>
      <w:r w:rsidRPr="00FD7E0D">
        <w:rPr>
          <w:rFonts w:ascii="Times New Roman" w:hAnsi="Times New Roman"/>
          <w:i/>
          <w:iCs/>
          <w:lang w:val="en-HK"/>
        </w:rPr>
        <w:t>Grzelczyk</w:t>
      </w:r>
      <w:r w:rsidRPr="00FD7E0D">
        <w:rPr>
          <w:rFonts w:ascii="Times New Roman" w:hAnsi="Times New Roman"/>
          <w:lang w:val="en-HK"/>
        </w:rPr>
        <w:t>’s equal treatment, as Dano’s economic inactivity disqualified her. I argue this challenges the quote’s promise of uniform treatment, as economic barriers fragment citizenship’s status, prioritizing state welfare protection.</w:t>
      </w:r>
    </w:p>
    <w:p w14:paraId="5B429043"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Similarly, in </w:t>
      </w:r>
      <w:r w:rsidRPr="00FD7E0D">
        <w:rPr>
          <w:rFonts w:ascii="Times New Roman" w:hAnsi="Times New Roman"/>
          <w:i/>
          <w:iCs/>
          <w:lang w:val="en-HK"/>
        </w:rPr>
        <w:t>García-Nieto</w:t>
      </w:r>
      <w:r w:rsidRPr="00FD7E0D">
        <w:rPr>
          <w:rFonts w:ascii="Times New Roman" w:hAnsi="Times New Roman"/>
          <w:lang w:val="en-HK"/>
        </w:rPr>
        <w:t>, a TCN son and his father were denied German social assistance in their first three months under Article 24(2) of Directive 2004/38/EC, lacking worker status (</w:t>
      </w:r>
      <w:r w:rsidRPr="00FD7E0D">
        <w:rPr>
          <w:rFonts w:ascii="Times New Roman" w:hAnsi="Times New Roman"/>
          <w:i/>
          <w:iCs/>
          <w:lang w:val="en-HK"/>
        </w:rPr>
        <w:t>Case C-299/14, Vestische Arbeit Jobcenter Kreis Recklinghausen v Jovanna García-Nieto and Others</w:t>
      </w:r>
      <w:r w:rsidRPr="00FD7E0D">
        <w:rPr>
          <w:rFonts w:ascii="Times New Roman" w:hAnsi="Times New Roman"/>
          <w:lang w:val="en-HK"/>
        </w:rPr>
        <w:t xml:space="preserve"> [2016] EU:C:2016:114, para 50). This aligns with </w:t>
      </w:r>
      <w:r w:rsidRPr="00FD7E0D">
        <w:rPr>
          <w:rFonts w:ascii="Times New Roman" w:hAnsi="Times New Roman"/>
          <w:i/>
          <w:iCs/>
          <w:lang w:val="en-HK"/>
        </w:rPr>
        <w:t>Grzelczyk</w:t>
      </w:r>
      <w:r w:rsidRPr="00FD7E0D">
        <w:rPr>
          <w:rFonts w:ascii="Times New Roman" w:hAnsi="Times New Roman"/>
          <w:lang w:val="en-HK"/>
        </w:rPr>
        <w:t xml:space="preserve">’s “expressly provided for” exceptions but restricts equal treatment, undermining the quote’s universal equality. My analysis suggests </w:t>
      </w:r>
      <w:r w:rsidRPr="00FD7E0D">
        <w:rPr>
          <w:rFonts w:ascii="Times New Roman" w:hAnsi="Times New Roman"/>
          <w:i/>
          <w:iCs/>
          <w:lang w:val="en-HK"/>
        </w:rPr>
        <w:t>García-Nieto</w:t>
      </w:r>
      <w:r w:rsidRPr="00FD7E0D">
        <w:rPr>
          <w:rFonts w:ascii="Times New Roman" w:hAnsi="Times New Roman"/>
          <w:lang w:val="en-HK"/>
        </w:rPr>
        <w:t xml:space="preserve"> highlights the CJEU’s deference to statutory limits, diluting citizenship’s fundamental status for non-workers.</w:t>
      </w:r>
    </w:p>
    <w:p w14:paraId="23A54604"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Yet, </w:t>
      </w:r>
      <w:r w:rsidRPr="00FD7E0D">
        <w:rPr>
          <w:rFonts w:ascii="Times New Roman" w:hAnsi="Times New Roman"/>
          <w:i/>
          <w:iCs/>
          <w:lang w:val="en-HK"/>
        </w:rPr>
        <w:t>Brey</w:t>
      </w:r>
      <w:r w:rsidRPr="00FD7E0D">
        <w:rPr>
          <w:rFonts w:ascii="Times New Roman" w:hAnsi="Times New Roman"/>
          <w:lang w:val="en-HK"/>
        </w:rPr>
        <w:t xml:space="preserve"> offers nuance. Austria’s denial of support to German pensioner Peter Brey required a proportionality review, allowing temporary aid if not overly burdensome (</w:t>
      </w:r>
      <w:r w:rsidRPr="00FD7E0D">
        <w:rPr>
          <w:rFonts w:ascii="Times New Roman" w:hAnsi="Times New Roman"/>
          <w:i/>
          <w:iCs/>
          <w:lang w:val="en-HK"/>
        </w:rPr>
        <w:t>Case C-140/12, Pensionsversicherungsanstalt v Brey</w:t>
      </w:r>
      <w:r w:rsidRPr="00FD7E0D">
        <w:rPr>
          <w:rFonts w:ascii="Times New Roman" w:hAnsi="Times New Roman"/>
          <w:lang w:val="en-HK"/>
        </w:rPr>
        <w:t xml:space="preserve"> [2013] EU:C:2013:565, paras 70-72). This partially upholds </w:t>
      </w:r>
      <w:r w:rsidRPr="00FD7E0D">
        <w:rPr>
          <w:rFonts w:ascii="Times New Roman" w:hAnsi="Times New Roman"/>
          <w:i/>
          <w:iCs/>
          <w:lang w:val="en-HK"/>
        </w:rPr>
        <w:t>Grzelczyk</w:t>
      </w:r>
      <w:r w:rsidRPr="00FD7E0D">
        <w:rPr>
          <w:rFonts w:ascii="Times New Roman" w:hAnsi="Times New Roman"/>
          <w:lang w:val="en-HK"/>
        </w:rPr>
        <w:t xml:space="preserve"> by ensuring equal treatment where burdens are minimal, aligning with the quote’s non-discrimination ethos. I contend </w:t>
      </w:r>
      <w:r w:rsidRPr="00FD7E0D">
        <w:rPr>
          <w:rFonts w:ascii="Times New Roman" w:hAnsi="Times New Roman"/>
          <w:i/>
          <w:iCs/>
          <w:lang w:val="en-HK"/>
        </w:rPr>
        <w:t>Brey</w:t>
      </w:r>
      <w:r w:rsidRPr="00FD7E0D">
        <w:rPr>
          <w:rFonts w:ascii="Times New Roman" w:hAnsi="Times New Roman"/>
          <w:lang w:val="en-HK"/>
        </w:rPr>
        <w:t xml:space="preserve"> mitigates economic constraints, preserving citizenship’s status through judicial flexibility.</w:t>
      </w:r>
    </w:p>
    <w:p w14:paraId="167BBB9B" w14:textId="77777777" w:rsidR="00FD7E0D" w:rsidRPr="00FD7E0D" w:rsidRDefault="00FD7E0D" w:rsidP="00FD7E0D">
      <w:pPr>
        <w:spacing w:before="100" w:beforeAutospacing="1" w:after="100" w:afterAutospacing="1"/>
        <w:outlineLvl w:val="1"/>
        <w:rPr>
          <w:rFonts w:ascii="Times New Roman" w:hAnsi="Times New Roman"/>
          <w:b/>
          <w:bCs/>
          <w:lang w:val="en-HK"/>
        </w:rPr>
      </w:pPr>
      <w:r w:rsidRPr="00FD7E0D">
        <w:rPr>
          <w:rFonts w:ascii="Times New Roman" w:hAnsi="Times New Roman"/>
          <w:b/>
          <w:bCs/>
          <w:lang w:val="en-HK"/>
        </w:rPr>
        <w:t>IV. Non-Economic Extensions: Reinforcing Citizenship’s Reach</w:t>
      </w:r>
    </w:p>
    <w:p w14:paraId="23D8ECF9"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The CJEU has broadened Union citizenship beyond economics, supporting </w:t>
      </w:r>
      <w:r w:rsidRPr="00FD7E0D">
        <w:rPr>
          <w:rFonts w:ascii="Times New Roman" w:hAnsi="Times New Roman"/>
          <w:i/>
          <w:iCs/>
          <w:lang w:val="en-HK"/>
        </w:rPr>
        <w:t>Grzelczyk</w:t>
      </w:r>
      <w:r w:rsidRPr="00FD7E0D">
        <w:rPr>
          <w:rFonts w:ascii="Times New Roman" w:hAnsi="Times New Roman"/>
          <w:lang w:val="en-HK"/>
        </w:rPr>
        <w:t xml:space="preserve">’s vision. In </w:t>
      </w:r>
      <w:r w:rsidRPr="00FD7E0D">
        <w:rPr>
          <w:rFonts w:ascii="Times New Roman" w:hAnsi="Times New Roman"/>
          <w:i/>
          <w:iCs/>
          <w:lang w:val="en-HK"/>
        </w:rPr>
        <w:t>Zambrano</w:t>
      </w:r>
      <w:r w:rsidRPr="00FD7E0D">
        <w:rPr>
          <w:rFonts w:ascii="Times New Roman" w:hAnsi="Times New Roman"/>
          <w:lang w:val="en-HK"/>
        </w:rPr>
        <w:t>, TCN parents of Belgian citizen children gained residence to prevent deprivation of Union citizenship’s “genuine enjoyment” (</w:t>
      </w:r>
      <w:r w:rsidRPr="00FD7E0D">
        <w:rPr>
          <w:rFonts w:ascii="Times New Roman" w:hAnsi="Times New Roman"/>
          <w:i/>
          <w:iCs/>
          <w:lang w:val="en-HK"/>
        </w:rPr>
        <w:t>Case C-34/09, Ruiz Zambrano v Office national de l’emploi</w:t>
      </w:r>
      <w:r w:rsidRPr="00FD7E0D">
        <w:rPr>
          <w:rFonts w:ascii="Times New Roman" w:hAnsi="Times New Roman"/>
          <w:lang w:val="en-HK"/>
        </w:rPr>
        <w:t xml:space="preserve"> [2011] EU:C:2011:124, para 42). This aligns with </w:t>
      </w:r>
      <w:r w:rsidRPr="00FD7E0D">
        <w:rPr>
          <w:rFonts w:ascii="Times New Roman" w:hAnsi="Times New Roman"/>
          <w:i/>
          <w:iCs/>
          <w:lang w:val="en-HK"/>
        </w:rPr>
        <w:t>Grzelczyk</w:t>
      </w:r>
      <w:r w:rsidRPr="00FD7E0D">
        <w:rPr>
          <w:rFonts w:ascii="Times New Roman" w:hAnsi="Times New Roman"/>
          <w:lang w:val="en-HK"/>
        </w:rPr>
        <w:t xml:space="preserve"> by protecting equal treatment in situ, ensuring citizens’ rights without mobility (</w:t>
      </w:r>
      <w:r w:rsidRPr="00FD7E0D">
        <w:rPr>
          <w:rFonts w:ascii="Times New Roman" w:hAnsi="Times New Roman"/>
          <w:i/>
          <w:iCs/>
          <w:lang w:val="en-HK"/>
        </w:rPr>
        <w:t>Zambrano</w:t>
      </w:r>
      <w:r w:rsidRPr="00FD7E0D">
        <w:rPr>
          <w:rFonts w:ascii="Times New Roman" w:hAnsi="Times New Roman"/>
          <w:lang w:val="en-HK"/>
        </w:rPr>
        <w:t xml:space="preserve">, para 45). My analysis emphasizes </w:t>
      </w:r>
      <w:r w:rsidRPr="00FD7E0D">
        <w:rPr>
          <w:rFonts w:ascii="Times New Roman" w:hAnsi="Times New Roman"/>
          <w:i/>
          <w:iCs/>
          <w:lang w:val="en-HK"/>
        </w:rPr>
        <w:t>Zambrano</w:t>
      </w:r>
      <w:r w:rsidRPr="00FD7E0D">
        <w:rPr>
          <w:rFonts w:ascii="Times New Roman" w:hAnsi="Times New Roman"/>
          <w:lang w:val="en-HK"/>
        </w:rPr>
        <w:t>’s transformative impact, as it applies the quote’s equal treatment to static citizens, significantly expanding citizenship’s fundamental status.</w:t>
      </w:r>
    </w:p>
    <w:p w14:paraId="5407C0C2"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For students, </w:t>
      </w:r>
      <w:r w:rsidRPr="00FD7E0D">
        <w:rPr>
          <w:rFonts w:ascii="Times New Roman" w:hAnsi="Times New Roman"/>
          <w:i/>
          <w:iCs/>
          <w:lang w:val="en-HK"/>
        </w:rPr>
        <w:t>Bidar</w:t>
      </w:r>
      <w:r w:rsidRPr="00FD7E0D">
        <w:rPr>
          <w:rFonts w:ascii="Times New Roman" w:hAnsi="Times New Roman"/>
          <w:lang w:val="en-HK"/>
        </w:rPr>
        <w:t xml:space="preserve"> allowed Dany Bidar, a French national in the UK, maintenance loans based on three years of UK education (</w:t>
      </w:r>
      <w:r w:rsidRPr="00FD7E0D">
        <w:rPr>
          <w:rFonts w:ascii="Times New Roman" w:hAnsi="Times New Roman"/>
          <w:i/>
          <w:iCs/>
          <w:lang w:val="en-HK"/>
        </w:rPr>
        <w:t>Case C-209/03, R (Bidar) v London Borough of Ealing</w:t>
      </w:r>
      <w:r w:rsidRPr="00FD7E0D">
        <w:rPr>
          <w:rFonts w:ascii="Times New Roman" w:hAnsi="Times New Roman"/>
          <w:lang w:val="en-HK"/>
        </w:rPr>
        <w:t xml:space="preserve"> [2005] ECR I-2119, EU:C:2005:169, para 57). This aligns with </w:t>
      </w:r>
      <w:r w:rsidRPr="00FD7E0D">
        <w:rPr>
          <w:rFonts w:ascii="Times New Roman" w:hAnsi="Times New Roman"/>
          <w:i/>
          <w:iCs/>
          <w:lang w:val="en-HK"/>
        </w:rPr>
        <w:t>Grzelczyk</w:t>
      </w:r>
      <w:r w:rsidRPr="00FD7E0D">
        <w:rPr>
          <w:rFonts w:ascii="Times New Roman" w:hAnsi="Times New Roman"/>
          <w:lang w:val="en-HK"/>
        </w:rPr>
        <w:t xml:space="preserve"> by prioritizing integration, reinforcing equal treatment (</w:t>
      </w:r>
      <w:r w:rsidRPr="00FD7E0D">
        <w:rPr>
          <w:rFonts w:ascii="Times New Roman" w:hAnsi="Times New Roman"/>
          <w:i/>
          <w:iCs/>
          <w:lang w:val="en-HK"/>
        </w:rPr>
        <w:t>Bidar</w:t>
      </w:r>
      <w:r w:rsidRPr="00FD7E0D">
        <w:rPr>
          <w:rFonts w:ascii="Times New Roman" w:hAnsi="Times New Roman"/>
          <w:lang w:val="en-HK"/>
        </w:rPr>
        <w:t xml:space="preserve">, para 57). I argue </w:t>
      </w:r>
      <w:r w:rsidRPr="00FD7E0D">
        <w:rPr>
          <w:rFonts w:ascii="Times New Roman" w:hAnsi="Times New Roman"/>
          <w:i/>
          <w:iCs/>
          <w:lang w:val="en-HK"/>
        </w:rPr>
        <w:t>Bidar</w:t>
      </w:r>
      <w:r w:rsidRPr="00FD7E0D">
        <w:rPr>
          <w:rFonts w:ascii="Times New Roman" w:hAnsi="Times New Roman"/>
          <w:lang w:val="en-HK"/>
        </w:rPr>
        <w:t xml:space="preserve"> strengthens the quote’s educational mobility, enhancing citizenship’s unifying role.</w:t>
      </w:r>
    </w:p>
    <w:p w14:paraId="487AA413"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Jobseekers also benefit. In </w:t>
      </w:r>
      <w:r w:rsidRPr="00FD7E0D">
        <w:rPr>
          <w:rFonts w:ascii="Times New Roman" w:hAnsi="Times New Roman"/>
          <w:i/>
          <w:iCs/>
          <w:lang w:val="en-HK"/>
        </w:rPr>
        <w:t>Collins</w:t>
      </w:r>
      <w:r w:rsidRPr="00FD7E0D">
        <w:rPr>
          <w:rFonts w:ascii="Times New Roman" w:hAnsi="Times New Roman"/>
          <w:lang w:val="en-HK"/>
        </w:rPr>
        <w:t>, an Irish-American claimed UK jobseeker’s allowance under Article 45 TFEU, requiring a labor market link (</w:t>
      </w:r>
      <w:r w:rsidRPr="00FD7E0D">
        <w:rPr>
          <w:rFonts w:ascii="Times New Roman" w:hAnsi="Times New Roman"/>
          <w:i/>
          <w:iCs/>
          <w:lang w:val="en-HK"/>
        </w:rPr>
        <w:t>Case C-138/02, Collins v Secretary of State for Work and Pensions</w:t>
      </w:r>
      <w:r w:rsidRPr="00FD7E0D">
        <w:rPr>
          <w:rFonts w:ascii="Times New Roman" w:hAnsi="Times New Roman"/>
          <w:lang w:val="en-HK"/>
        </w:rPr>
        <w:t xml:space="preserve"> [2004] ECR I-2703, EU:C:2004:172, para 63). This aligns with </w:t>
      </w:r>
      <w:r w:rsidRPr="00FD7E0D">
        <w:rPr>
          <w:rFonts w:ascii="Times New Roman" w:hAnsi="Times New Roman"/>
          <w:i/>
          <w:iCs/>
          <w:lang w:val="en-HK"/>
        </w:rPr>
        <w:t>Grzelczyk</w:t>
      </w:r>
      <w:r w:rsidRPr="00FD7E0D">
        <w:rPr>
          <w:rFonts w:ascii="Times New Roman" w:hAnsi="Times New Roman"/>
          <w:lang w:val="en-HK"/>
        </w:rPr>
        <w:t xml:space="preserve"> by extending equal treatment, subject to integration (</w:t>
      </w:r>
      <w:r w:rsidRPr="00FD7E0D">
        <w:rPr>
          <w:rFonts w:ascii="Times New Roman" w:hAnsi="Times New Roman"/>
          <w:i/>
          <w:iCs/>
          <w:lang w:val="en-HK"/>
        </w:rPr>
        <w:t>Collins</w:t>
      </w:r>
      <w:r w:rsidRPr="00FD7E0D">
        <w:rPr>
          <w:rFonts w:ascii="Times New Roman" w:hAnsi="Times New Roman"/>
          <w:lang w:val="en-HK"/>
        </w:rPr>
        <w:t xml:space="preserve">, para 73). My analysis highlights </w:t>
      </w:r>
      <w:r w:rsidRPr="00FD7E0D">
        <w:rPr>
          <w:rFonts w:ascii="Times New Roman" w:hAnsi="Times New Roman"/>
          <w:i/>
          <w:iCs/>
          <w:lang w:val="en-HK"/>
        </w:rPr>
        <w:t>Collins</w:t>
      </w:r>
      <w:r w:rsidRPr="00FD7E0D">
        <w:rPr>
          <w:rFonts w:ascii="Times New Roman" w:hAnsi="Times New Roman"/>
          <w:lang w:val="en-HK"/>
        </w:rPr>
        <w:t>’s role in applying the quote to transitional statuses, supporting citizenship’s inclusivity.</w:t>
      </w:r>
    </w:p>
    <w:p w14:paraId="23F53F53" w14:textId="77777777" w:rsidR="00FD7E0D" w:rsidRPr="00FD7E0D" w:rsidRDefault="00FD7E0D" w:rsidP="00FD7E0D">
      <w:pPr>
        <w:spacing w:before="100" w:beforeAutospacing="1" w:after="100" w:afterAutospacing="1"/>
        <w:outlineLvl w:val="1"/>
        <w:rPr>
          <w:rFonts w:ascii="Times New Roman" w:hAnsi="Times New Roman"/>
          <w:b/>
          <w:bCs/>
          <w:lang w:val="en-HK"/>
        </w:rPr>
      </w:pPr>
      <w:r w:rsidRPr="00FD7E0D">
        <w:rPr>
          <w:rFonts w:ascii="Times New Roman" w:hAnsi="Times New Roman"/>
          <w:b/>
          <w:bCs/>
          <w:lang w:val="en-HK"/>
        </w:rPr>
        <w:t>V. Policy and Security Exceptions: Narrowly Construed Limits</w:t>
      </w:r>
    </w:p>
    <w:p w14:paraId="128B2580"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lastRenderedPageBreak/>
        <w:t xml:space="preserve">Public policy exceptions under Directive 2004/38/EC are narrowly applied, preserving </w:t>
      </w:r>
      <w:r w:rsidRPr="00FD7E0D">
        <w:rPr>
          <w:rFonts w:ascii="Times New Roman" w:hAnsi="Times New Roman"/>
          <w:i/>
          <w:iCs/>
          <w:lang w:val="en-HK"/>
        </w:rPr>
        <w:t>Grzelczyk</w:t>
      </w:r>
      <w:r w:rsidRPr="00FD7E0D">
        <w:rPr>
          <w:rFonts w:ascii="Times New Roman" w:hAnsi="Times New Roman"/>
          <w:lang w:val="en-HK"/>
        </w:rPr>
        <w:t xml:space="preserve">’s equal treatment. In </w:t>
      </w:r>
      <w:r w:rsidRPr="00FD7E0D">
        <w:rPr>
          <w:rFonts w:ascii="Times New Roman" w:hAnsi="Times New Roman"/>
          <w:i/>
          <w:iCs/>
          <w:lang w:val="en-HK"/>
        </w:rPr>
        <w:t>Bouchereau</w:t>
      </w:r>
      <w:r w:rsidRPr="00FD7E0D">
        <w:rPr>
          <w:rFonts w:ascii="Times New Roman" w:hAnsi="Times New Roman"/>
          <w:lang w:val="en-HK"/>
        </w:rPr>
        <w:t>, a French worker’s past drug offenses did not justify UK expulsion, as prior convictions alone were insufficient (</w:t>
      </w:r>
      <w:r w:rsidRPr="00FD7E0D">
        <w:rPr>
          <w:rFonts w:ascii="Times New Roman" w:hAnsi="Times New Roman"/>
          <w:i/>
          <w:iCs/>
          <w:lang w:val="en-HK"/>
        </w:rPr>
        <w:t>Case 30/77, R v Bouchereau</w:t>
      </w:r>
      <w:r w:rsidRPr="00FD7E0D">
        <w:rPr>
          <w:rFonts w:ascii="Times New Roman" w:hAnsi="Times New Roman"/>
          <w:lang w:val="en-HK"/>
        </w:rPr>
        <w:t xml:space="preserve"> [1977] ECR 1999, EU:C:1977:172, paras 26-30). In </w:t>
      </w:r>
      <w:r w:rsidRPr="00FD7E0D">
        <w:rPr>
          <w:rFonts w:ascii="Times New Roman" w:hAnsi="Times New Roman"/>
          <w:i/>
          <w:iCs/>
          <w:lang w:val="en-HK"/>
        </w:rPr>
        <w:t>Bonsignore</w:t>
      </w:r>
      <w:r w:rsidRPr="00FD7E0D">
        <w:rPr>
          <w:rFonts w:ascii="Times New Roman" w:hAnsi="Times New Roman"/>
          <w:lang w:val="en-HK"/>
        </w:rPr>
        <w:t>, Carmelo Bonsignore’s 1971 firearms offense, accidentally killing his brother, did not warrant German expulsion for deterrence (</w:t>
      </w:r>
      <w:r w:rsidRPr="00FD7E0D">
        <w:rPr>
          <w:rFonts w:ascii="Times New Roman" w:hAnsi="Times New Roman"/>
          <w:i/>
          <w:iCs/>
          <w:lang w:val="en-HK"/>
        </w:rPr>
        <w:t>Case 67/74, Bonsignore v Oberstadtdirektor der Stadt Köln</w:t>
      </w:r>
      <w:r w:rsidRPr="00FD7E0D">
        <w:rPr>
          <w:rFonts w:ascii="Times New Roman" w:hAnsi="Times New Roman"/>
          <w:lang w:val="en-HK"/>
        </w:rPr>
        <w:t xml:space="preserve"> [1975] ECR 297, EU:C:1975:34, paras 6-7). These align with </w:t>
      </w:r>
      <w:r w:rsidRPr="00FD7E0D">
        <w:rPr>
          <w:rFonts w:ascii="Times New Roman" w:hAnsi="Times New Roman"/>
          <w:i/>
          <w:iCs/>
          <w:lang w:val="en-HK"/>
        </w:rPr>
        <w:t>Grzelczyk</w:t>
      </w:r>
      <w:r w:rsidRPr="00FD7E0D">
        <w:rPr>
          <w:rFonts w:ascii="Times New Roman" w:hAnsi="Times New Roman"/>
          <w:lang w:val="en-HK"/>
        </w:rPr>
        <w:t xml:space="preserve"> by limiting exceptions to genuine threats, ensuring equal treatment (</w:t>
      </w:r>
      <w:r w:rsidRPr="00FD7E0D">
        <w:rPr>
          <w:rFonts w:ascii="Times New Roman" w:hAnsi="Times New Roman"/>
          <w:i/>
          <w:iCs/>
          <w:lang w:val="en-HK"/>
        </w:rPr>
        <w:t>Bouchereau</w:t>
      </w:r>
      <w:r w:rsidRPr="00FD7E0D">
        <w:rPr>
          <w:rFonts w:ascii="Times New Roman" w:hAnsi="Times New Roman"/>
          <w:lang w:val="en-HK"/>
        </w:rPr>
        <w:t>, para 30). I contend these cases reinforce the quote’s narrow exceptions, protecting citizenship’s status.</w:t>
      </w:r>
    </w:p>
    <w:p w14:paraId="7F2A6AE0"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For long-term residents, </w:t>
      </w:r>
      <w:r w:rsidRPr="00FD7E0D">
        <w:rPr>
          <w:rFonts w:ascii="Times New Roman" w:hAnsi="Times New Roman"/>
          <w:i/>
          <w:iCs/>
          <w:lang w:val="en-HK"/>
        </w:rPr>
        <w:t>Tsakouridis</w:t>
      </w:r>
      <w:r w:rsidRPr="00FD7E0D">
        <w:rPr>
          <w:rFonts w:ascii="Times New Roman" w:hAnsi="Times New Roman"/>
          <w:lang w:val="en-HK"/>
        </w:rPr>
        <w:t xml:space="preserve"> and </w:t>
      </w:r>
      <w:r w:rsidRPr="00FD7E0D">
        <w:rPr>
          <w:rFonts w:ascii="Times New Roman" w:hAnsi="Times New Roman"/>
          <w:i/>
          <w:iCs/>
          <w:lang w:val="en-HK"/>
        </w:rPr>
        <w:t>PI</w:t>
      </w:r>
      <w:r w:rsidRPr="00FD7E0D">
        <w:rPr>
          <w:rFonts w:ascii="Times New Roman" w:hAnsi="Times New Roman"/>
          <w:lang w:val="en-HK"/>
        </w:rPr>
        <w:t xml:space="preserve"> required “imperative grounds” for expulsion (</w:t>
      </w:r>
      <w:r w:rsidRPr="00FD7E0D">
        <w:rPr>
          <w:rFonts w:ascii="Times New Roman" w:hAnsi="Times New Roman"/>
          <w:i/>
          <w:iCs/>
          <w:lang w:val="en-HK"/>
        </w:rPr>
        <w:t>Case C-145/09, Land Baden-Württemberg v Panagiotis Tsakouridis</w:t>
      </w:r>
      <w:r w:rsidRPr="00FD7E0D">
        <w:rPr>
          <w:rFonts w:ascii="Times New Roman" w:hAnsi="Times New Roman"/>
          <w:lang w:val="en-HK"/>
        </w:rPr>
        <w:t xml:space="preserve"> [2010] ECR I-11979, EU:C:2010:708, paras 41-51; </w:t>
      </w:r>
      <w:r w:rsidRPr="00FD7E0D">
        <w:rPr>
          <w:rFonts w:ascii="Times New Roman" w:hAnsi="Times New Roman"/>
          <w:i/>
          <w:iCs/>
          <w:lang w:val="en-HK"/>
        </w:rPr>
        <w:t>Case C-348/09, PI v Oberbürgermeisterin der Stadt Remscheid</w:t>
      </w:r>
      <w:r w:rsidRPr="00FD7E0D">
        <w:rPr>
          <w:rFonts w:ascii="Times New Roman" w:hAnsi="Times New Roman"/>
          <w:lang w:val="en-HK"/>
        </w:rPr>
        <w:t xml:space="preserve"> [2012] EU:C:2012:300, paras 30-34). This aligns with </w:t>
      </w:r>
      <w:r w:rsidRPr="00FD7E0D">
        <w:rPr>
          <w:rFonts w:ascii="Times New Roman" w:hAnsi="Times New Roman"/>
          <w:i/>
          <w:iCs/>
          <w:lang w:val="en-HK"/>
        </w:rPr>
        <w:t>Grzelczyk</w:t>
      </w:r>
      <w:r w:rsidRPr="00FD7E0D">
        <w:rPr>
          <w:rFonts w:ascii="Times New Roman" w:hAnsi="Times New Roman"/>
          <w:lang w:val="en-HK"/>
        </w:rPr>
        <w:t xml:space="preserve"> by safeguarding equal treatment through proportionality (</w:t>
      </w:r>
      <w:r w:rsidRPr="00FD7E0D">
        <w:rPr>
          <w:rFonts w:ascii="Times New Roman" w:hAnsi="Times New Roman"/>
          <w:i/>
          <w:iCs/>
          <w:lang w:val="en-HK"/>
        </w:rPr>
        <w:t>Tsakouridis</w:t>
      </w:r>
      <w:r w:rsidRPr="00FD7E0D">
        <w:rPr>
          <w:rFonts w:ascii="Times New Roman" w:hAnsi="Times New Roman"/>
          <w:lang w:val="en-HK"/>
        </w:rPr>
        <w:t>, para 56). My analysis underscores their role in upholding the quote’s limited exceptions.</w:t>
      </w:r>
    </w:p>
    <w:p w14:paraId="1953093D" w14:textId="77777777" w:rsidR="00FD7E0D" w:rsidRPr="00FD7E0D" w:rsidRDefault="00FD7E0D" w:rsidP="00FD7E0D">
      <w:pPr>
        <w:spacing w:before="100" w:beforeAutospacing="1" w:after="100" w:afterAutospacing="1"/>
        <w:outlineLvl w:val="1"/>
        <w:rPr>
          <w:rFonts w:ascii="Times New Roman" w:hAnsi="Times New Roman"/>
          <w:b/>
          <w:bCs/>
          <w:lang w:val="en-HK"/>
        </w:rPr>
      </w:pPr>
      <w:r w:rsidRPr="00FD7E0D">
        <w:rPr>
          <w:rFonts w:ascii="Times New Roman" w:hAnsi="Times New Roman"/>
          <w:b/>
          <w:bCs/>
          <w:lang w:val="en-HK"/>
        </w:rPr>
        <w:t>VI. Scholarly Critique: Fragmentation vs. Evolution</w:t>
      </w:r>
    </w:p>
    <w:p w14:paraId="2196385D"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Niamh Nic Shuibhne argues that cases like </w:t>
      </w:r>
      <w:r w:rsidRPr="00FD7E0D">
        <w:rPr>
          <w:rFonts w:ascii="Times New Roman" w:hAnsi="Times New Roman"/>
          <w:i/>
          <w:iCs/>
          <w:lang w:val="en-HK"/>
        </w:rPr>
        <w:t>Dano</w:t>
      </w:r>
      <w:r w:rsidRPr="00FD7E0D">
        <w:rPr>
          <w:rFonts w:ascii="Times New Roman" w:hAnsi="Times New Roman"/>
          <w:lang w:val="en-HK"/>
        </w:rPr>
        <w:t xml:space="preserve"> fragment Union citizenship, creating economic disparities that undermine </w:t>
      </w:r>
      <w:r w:rsidRPr="00FD7E0D">
        <w:rPr>
          <w:rFonts w:ascii="Times New Roman" w:hAnsi="Times New Roman"/>
          <w:i/>
          <w:iCs/>
          <w:lang w:val="en-HK"/>
        </w:rPr>
        <w:t>Grzelczyk</w:t>
      </w:r>
      <w:r w:rsidRPr="00FD7E0D">
        <w:rPr>
          <w:rFonts w:ascii="Times New Roman" w:hAnsi="Times New Roman"/>
          <w:lang w:val="en-HK"/>
        </w:rPr>
        <w:t>’s universal equality (Niamh Nic Shuibhne, “Limits Rising, Duties Ascending: The Changing Legal Shape of Union Citizenship,” 2015, 920-922). This challenges the quote’s fundamental status, as economic conditions stratify rights (</w:t>
      </w:r>
      <w:r w:rsidRPr="00FD7E0D">
        <w:rPr>
          <w:rFonts w:ascii="Times New Roman" w:hAnsi="Times New Roman"/>
          <w:i/>
          <w:iCs/>
          <w:lang w:val="en-HK"/>
        </w:rPr>
        <w:t>Dano</w:t>
      </w:r>
      <w:r w:rsidRPr="00FD7E0D">
        <w:rPr>
          <w:rFonts w:ascii="Times New Roman" w:hAnsi="Times New Roman"/>
          <w:lang w:val="en-HK"/>
        </w:rPr>
        <w:t xml:space="preserve">, para 74). I argue Nic Shuibhne’s critique highlights a critical tension, as the CJEU’s economic focus deviates from </w:t>
      </w:r>
      <w:r w:rsidRPr="00FD7E0D">
        <w:rPr>
          <w:rFonts w:ascii="Times New Roman" w:hAnsi="Times New Roman"/>
          <w:i/>
          <w:iCs/>
          <w:lang w:val="en-HK"/>
        </w:rPr>
        <w:t>Grzelczyk</w:t>
      </w:r>
      <w:r w:rsidRPr="00FD7E0D">
        <w:rPr>
          <w:rFonts w:ascii="Times New Roman" w:hAnsi="Times New Roman"/>
          <w:lang w:val="en-HK"/>
        </w:rPr>
        <w:t>’s inclusive vision, risking a diluted citizenship.</w:t>
      </w:r>
    </w:p>
    <w:p w14:paraId="1AFCFB0A"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Eleanor Spaventa counters that this evolution strengthens citizenship by adapting rights to realities (</w:t>
      </w:r>
      <w:r w:rsidRPr="00FD7E0D">
        <w:rPr>
          <w:rFonts w:ascii="Times New Roman" w:hAnsi="Times New Roman"/>
          <w:i/>
          <w:iCs/>
          <w:lang w:val="en-HK"/>
        </w:rPr>
        <w:t>Seeing the Wood Despite the Trees? On the Scope of Union Citizenship and Its Constitutional Effects</w:t>
      </w:r>
      <w:r w:rsidRPr="00FD7E0D">
        <w:rPr>
          <w:rFonts w:ascii="Times New Roman" w:hAnsi="Times New Roman"/>
          <w:lang w:val="en-HK"/>
        </w:rPr>
        <w:t xml:space="preserve">, 2008, 39-41). </w:t>
      </w:r>
      <w:r w:rsidRPr="00FD7E0D">
        <w:rPr>
          <w:rFonts w:ascii="Times New Roman" w:hAnsi="Times New Roman"/>
          <w:i/>
          <w:iCs/>
          <w:lang w:val="en-HK"/>
        </w:rPr>
        <w:t>Grzelczyk</w:t>
      </w:r>
      <w:r w:rsidRPr="00FD7E0D">
        <w:rPr>
          <w:rFonts w:ascii="Times New Roman" w:hAnsi="Times New Roman"/>
          <w:lang w:val="en-HK"/>
        </w:rPr>
        <w:t xml:space="preserve">, </w:t>
      </w:r>
      <w:r w:rsidRPr="00FD7E0D">
        <w:rPr>
          <w:rFonts w:ascii="Times New Roman" w:hAnsi="Times New Roman"/>
          <w:i/>
          <w:iCs/>
          <w:lang w:val="en-HK"/>
        </w:rPr>
        <w:t>Baumbast</w:t>
      </w:r>
      <w:r w:rsidRPr="00FD7E0D">
        <w:rPr>
          <w:rFonts w:ascii="Times New Roman" w:hAnsi="Times New Roman"/>
          <w:lang w:val="en-HK"/>
        </w:rPr>
        <w:t xml:space="preserve">, and </w:t>
      </w:r>
      <w:r w:rsidRPr="00FD7E0D">
        <w:rPr>
          <w:rFonts w:ascii="Times New Roman" w:hAnsi="Times New Roman"/>
          <w:i/>
          <w:iCs/>
          <w:lang w:val="en-HK"/>
        </w:rPr>
        <w:t>Zambrano</w:t>
      </w:r>
      <w:r w:rsidRPr="00FD7E0D">
        <w:rPr>
          <w:rFonts w:ascii="Times New Roman" w:hAnsi="Times New Roman"/>
          <w:lang w:val="en-HK"/>
        </w:rPr>
        <w:t xml:space="preserve"> expand equal treatment, aligning with the quote (</w:t>
      </w:r>
      <w:r w:rsidRPr="00FD7E0D">
        <w:rPr>
          <w:rFonts w:ascii="Times New Roman" w:hAnsi="Times New Roman"/>
          <w:i/>
          <w:iCs/>
          <w:lang w:val="en-HK"/>
        </w:rPr>
        <w:t>Zambrano</w:t>
      </w:r>
      <w:r w:rsidRPr="00FD7E0D">
        <w:rPr>
          <w:rFonts w:ascii="Times New Roman" w:hAnsi="Times New Roman"/>
          <w:lang w:val="en-HK"/>
        </w:rPr>
        <w:t xml:space="preserve">, para 42). I contend Spaventa’s view better captures the CJEU’s proportionality in </w:t>
      </w:r>
      <w:r w:rsidRPr="00FD7E0D">
        <w:rPr>
          <w:rFonts w:ascii="Times New Roman" w:hAnsi="Times New Roman"/>
          <w:i/>
          <w:iCs/>
          <w:lang w:val="en-HK"/>
        </w:rPr>
        <w:t>Brey</w:t>
      </w:r>
      <w:r w:rsidRPr="00FD7E0D">
        <w:rPr>
          <w:rFonts w:ascii="Times New Roman" w:hAnsi="Times New Roman"/>
          <w:lang w:val="en-HK"/>
        </w:rPr>
        <w:t xml:space="preserve"> and </w:t>
      </w:r>
      <w:r w:rsidRPr="00FD7E0D">
        <w:rPr>
          <w:rFonts w:ascii="Times New Roman" w:hAnsi="Times New Roman"/>
          <w:i/>
          <w:iCs/>
          <w:lang w:val="en-HK"/>
        </w:rPr>
        <w:t>Trojani</w:t>
      </w:r>
      <w:r w:rsidRPr="00FD7E0D">
        <w:rPr>
          <w:rFonts w:ascii="Times New Roman" w:hAnsi="Times New Roman"/>
          <w:lang w:val="en-HK"/>
        </w:rPr>
        <w:t xml:space="preserve">, which mitigates fragmentation, preserving </w:t>
      </w:r>
      <w:r w:rsidRPr="00FD7E0D">
        <w:rPr>
          <w:rFonts w:ascii="Times New Roman" w:hAnsi="Times New Roman"/>
          <w:i/>
          <w:iCs/>
          <w:lang w:val="en-HK"/>
        </w:rPr>
        <w:t>Grzelczyk</w:t>
      </w:r>
      <w:r w:rsidRPr="00FD7E0D">
        <w:rPr>
          <w:rFonts w:ascii="Times New Roman" w:hAnsi="Times New Roman"/>
          <w:lang w:val="en-HK"/>
        </w:rPr>
        <w:t>’s ethos (</w:t>
      </w:r>
      <w:r w:rsidRPr="00FD7E0D">
        <w:rPr>
          <w:rFonts w:ascii="Times New Roman" w:hAnsi="Times New Roman"/>
          <w:i/>
          <w:iCs/>
          <w:lang w:val="en-HK"/>
        </w:rPr>
        <w:t>Brey</w:t>
      </w:r>
      <w:r w:rsidRPr="00FD7E0D">
        <w:rPr>
          <w:rFonts w:ascii="Times New Roman" w:hAnsi="Times New Roman"/>
          <w:lang w:val="en-HK"/>
        </w:rPr>
        <w:t>, para 72).</w:t>
      </w:r>
    </w:p>
    <w:p w14:paraId="76376B66" w14:textId="77777777" w:rsidR="00FD7E0D" w:rsidRPr="00FD7E0D" w:rsidRDefault="00FD7E0D" w:rsidP="00FD7E0D">
      <w:pPr>
        <w:spacing w:before="100" w:beforeAutospacing="1" w:after="100" w:afterAutospacing="1"/>
        <w:outlineLvl w:val="1"/>
        <w:rPr>
          <w:rFonts w:ascii="Times New Roman" w:hAnsi="Times New Roman"/>
          <w:b/>
          <w:bCs/>
          <w:lang w:val="en-HK"/>
        </w:rPr>
      </w:pPr>
      <w:r w:rsidRPr="00FD7E0D">
        <w:rPr>
          <w:rFonts w:ascii="Times New Roman" w:hAnsi="Times New Roman"/>
          <w:b/>
          <w:bCs/>
          <w:lang w:val="en-HK"/>
        </w:rPr>
        <w:t>VII. Conclusion</w:t>
      </w:r>
    </w:p>
    <w:p w14:paraId="47200DCF" w14:textId="77777777" w:rsidR="00FD7E0D" w:rsidRPr="00FD7E0D" w:rsidRDefault="00FD7E0D" w:rsidP="00FD7E0D">
      <w:pPr>
        <w:spacing w:before="100" w:beforeAutospacing="1" w:after="100" w:afterAutospacing="1"/>
        <w:rPr>
          <w:rFonts w:ascii="Times New Roman" w:hAnsi="Times New Roman"/>
          <w:lang w:val="en-HK"/>
        </w:rPr>
      </w:pPr>
      <w:r w:rsidRPr="00FD7E0D">
        <w:rPr>
          <w:rFonts w:ascii="Times New Roman" w:hAnsi="Times New Roman"/>
          <w:lang w:val="en-HK"/>
        </w:rPr>
        <w:t xml:space="preserve">The </w:t>
      </w:r>
      <w:r w:rsidRPr="00FD7E0D">
        <w:rPr>
          <w:rFonts w:ascii="Times New Roman" w:hAnsi="Times New Roman"/>
          <w:i/>
          <w:iCs/>
          <w:lang w:val="en-HK"/>
        </w:rPr>
        <w:t>Grzelczyk</w:t>
      </w:r>
      <w:r w:rsidRPr="00FD7E0D">
        <w:rPr>
          <w:rFonts w:ascii="Times New Roman" w:hAnsi="Times New Roman"/>
          <w:lang w:val="en-HK"/>
        </w:rPr>
        <w:t xml:space="preserve"> quote envisions Union citizenship as a fundamental status ensuring equal treatment, yet the CJEU’s jurisprudence reveals a complex evolution. </w:t>
      </w:r>
      <w:r w:rsidRPr="00FD7E0D">
        <w:rPr>
          <w:rFonts w:ascii="Times New Roman" w:hAnsi="Times New Roman"/>
          <w:i/>
          <w:iCs/>
          <w:lang w:val="en-HK"/>
        </w:rPr>
        <w:t>Grzelczyk</w:t>
      </w:r>
      <w:r w:rsidRPr="00FD7E0D">
        <w:rPr>
          <w:rFonts w:ascii="Times New Roman" w:hAnsi="Times New Roman"/>
          <w:lang w:val="en-HK"/>
        </w:rPr>
        <w:t xml:space="preserve">, </w:t>
      </w:r>
      <w:r w:rsidRPr="00FD7E0D">
        <w:rPr>
          <w:rFonts w:ascii="Times New Roman" w:hAnsi="Times New Roman"/>
          <w:i/>
          <w:iCs/>
          <w:lang w:val="en-HK"/>
        </w:rPr>
        <w:t>Martínez Sala</w:t>
      </w:r>
      <w:r w:rsidRPr="00FD7E0D">
        <w:rPr>
          <w:rFonts w:ascii="Times New Roman" w:hAnsi="Times New Roman"/>
          <w:lang w:val="en-HK"/>
        </w:rPr>
        <w:t xml:space="preserve">, </w:t>
      </w:r>
      <w:r w:rsidRPr="00FD7E0D">
        <w:rPr>
          <w:rFonts w:ascii="Times New Roman" w:hAnsi="Times New Roman"/>
          <w:i/>
          <w:iCs/>
          <w:lang w:val="en-HK"/>
        </w:rPr>
        <w:t>Baumbast</w:t>
      </w:r>
      <w:r w:rsidRPr="00FD7E0D">
        <w:rPr>
          <w:rFonts w:ascii="Times New Roman" w:hAnsi="Times New Roman"/>
          <w:lang w:val="en-HK"/>
        </w:rPr>
        <w:t xml:space="preserve">, </w:t>
      </w:r>
      <w:r w:rsidRPr="00FD7E0D">
        <w:rPr>
          <w:rFonts w:ascii="Times New Roman" w:hAnsi="Times New Roman"/>
          <w:i/>
          <w:iCs/>
          <w:lang w:val="en-HK"/>
        </w:rPr>
        <w:t>Metock</w:t>
      </w:r>
      <w:r w:rsidRPr="00FD7E0D">
        <w:rPr>
          <w:rFonts w:ascii="Times New Roman" w:hAnsi="Times New Roman"/>
          <w:lang w:val="en-HK"/>
        </w:rPr>
        <w:t xml:space="preserve">, </w:t>
      </w:r>
      <w:r w:rsidRPr="00FD7E0D">
        <w:rPr>
          <w:rFonts w:ascii="Times New Roman" w:hAnsi="Times New Roman"/>
          <w:i/>
          <w:iCs/>
          <w:lang w:val="en-HK"/>
        </w:rPr>
        <w:t>Chen</w:t>
      </w:r>
      <w:r w:rsidRPr="00FD7E0D">
        <w:rPr>
          <w:rFonts w:ascii="Times New Roman" w:hAnsi="Times New Roman"/>
          <w:lang w:val="en-HK"/>
        </w:rPr>
        <w:t xml:space="preserve">, and </w:t>
      </w:r>
      <w:r w:rsidRPr="00FD7E0D">
        <w:rPr>
          <w:rFonts w:ascii="Times New Roman" w:hAnsi="Times New Roman"/>
          <w:i/>
          <w:iCs/>
          <w:lang w:val="en-HK"/>
        </w:rPr>
        <w:t>Zambrano</w:t>
      </w:r>
      <w:r w:rsidRPr="00FD7E0D">
        <w:rPr>
          <w:rFonts w:ascii="Times New Roman" w:hAnsi="Times New Roman"/>
          <w:lang w:val="en-HK"/>
        </w:rPr>
        <w:t xml:space="preserve"> uphold non-discrimination, fulfilling the quote’s promise (</w:t>
      </w:r>
      <w:r w:rsidRPr="00FD7E0D">
        <w:rPr>
          <w:rFonts w:ascii="Times New Roman" w:hAnsi="Times New Roman"/>
          <w:i/>
          <w:iCs/>
          <w:lang w:val="en-HK"/>
        </w:rPr>
        <w:t>Grzelczyk</w:t>
      </w:r>
      <w:r w:rsidRPr="00FD7E0D">
        <w:rPr>
          <w:rFonts w:ascii="Times New Roman" w:hAnsi="Times New Roman"/>
          <w:lang w:val="en-HK"/>
        </w:rPr>
        <w:t xml:space="preserve">, para 46; </w:t>
      </w:r>
      <w:r w:rsidRPr="00FD7E0D">
        <w:rPr>
          <w:rFonts w:ascii="Times New Roman" w:hAnsi="Times New Roman"/>
          <w:i/>
          <w:iCs/>
          <w:lang w:val="en-HK"/>
        </w:rPr>
        <w:t>Zambrano</w:t>
      </w:r>
      <w:r w:rsidRPr="00FD7E0D">
        <w:rPr>
          <w:rFonts w:ascii="Times New Roman" w:hAnsi="Times New Roman"/>
          <w:lang w:val="en-HK"/>
        </w:rPr>
        <w:t xml:space="preserve">, para 45). </w:t>
      </w:r>
      <w:r w:rsidRPr="00FD7E0D">
        <w:rPr>
          <w:rFonts w:ascii="Times New Roman" w:hAnsi="Times New Roman"/>
          <w:i/>
          <w:iCs/>
          <w:lang w:val="en-HK"/>
        </w:rPr>
        <w:t>Trojani</w:t>
      </w:r>
      <w:r w:rsidRPr="00FD7E0D">
        <w:rPr>
          <w:rFonts w:ascii="Times New Roman" w:hAnsi="Times New Roman"/>
          <w:lang w:val="en-HK"/>
        </w:rPr>
        <w:t xml:space="preserve"> and </w:t>
      </w:r>
      <w:r w:rsidRPr="00FD7E0D">
        <w:rPr>
          <w:rFonts w:ascii="Times New Roman" w:hAnsi="Times New Roman"/>
          <w:i/>
          <w:iCs/>
          <w:lang w:val="en-HK"/>
        </w:rPr>
        <w:t>Bidar</w:t>
      </w:r>
      <w:r w:rsidRPr="00FD7E0D">
        <w:rPr>
          <w:rFonts w:ascii="Times New Roman" w:hAnsi="Times New Roman"/>
          <w:lang w:val="en-HK"/>
        </w:rPr>
        <w:t xml:space="preserve"> extend this to non-economic contexts, reinforcing citizenship’s status (</w:t>
      </w:r>
      <w:r w:rsidRPr="00FD7E0D">
        <w:rPr>
          <w:rFonts w:ascii="Times New Roman" w:hAnsi="Times New Roman"/>
          <w:i/>
          <w:iCs/>
          <w:lang w:val="en-HK"/>
        </w:rPr>
        <w:t>Trojani</w:t>
      </w:r>
      <w:r w:rsidRPr="00FD7E0D">
        <w:rPr>
          <w:rFonts w:ascii="Times New Roman" w:hAnsi="Times New Roman"/>
          <w:lang w:val="en-HK"/>
        </w:rPr>
        <w:t xml:space="preserve">, para 44). However, </w:t>
      </w:r>
      <w:r w:rsidRPr="00FD7E0D">
        <w:rPr>
          <w:rFonts w:ascii="Times New Roman" w:hAnsi="Times New Roman"/>
          <w:i/>
          <w:iCs/>
          <w:lang w:val="en-HK"/>
        </w:rPr>
        <w:t>Dano</w:t>
      </w:r>
      <w:r w:rsidRPr="00FD7E0D">
        <w:rPr>
          <w:rFonts w:ascii="Times New Roman" w:hAnsi="Times New Roman"/>
          <w:lang w:val="en-HK"/>
        </w:rPr>
        <w:t xml:space="preserve"> and </w:t>
      </w:r>
      <w:r w:rsidRPr="00FD7E0D">
        <w:rPr>
          <w:rFonts w:ascii="Times New Roman" w:hAnsi="Times New Roman"/>
          <w:i/>
          <w:iCs/>
          <w:lang w:val="en-HK"/>
        </w:rPr>
        <w:t>García-Nieto</w:t>
      </w:r>
      <w:r w:rsidRPr="00FD7E0D">
        <w:rPr>
          <w:rFonts w:ascii="Times New Roman" w:hAnsi="Times New Roman"/>
          <w:lang w:val="en-HK"/>
        </w:rPr>
        <w:t xml:space="preserve"> impose economic limits, challenging universality (</w:t>
      </w:r>
      <w:r w:rsidRPr="00FD7E0D">
        <w:rPr>
          <w:rFonts w:ascii="Times New Roman" w:hAnsi="Times New Roman"/>
          <w:i/>
          <w:iCs/>
          <w:lang w:val="en-HK"/>
        </w:rPr>
        <w:t>Dano</w:t>
      </w:r>
      <w:r w:rsidRPr="00FD7E0D">
        <w:rPr>
          <w:rFonts w:ascii="Times New Roman" w:hAnsi="Times New Roman"/>
          <w:lang w:val="en-HK"/>
        </w:rPr>
        <w:t xml:space="preserve">, para 81). </w:t>
      </w:r>
      <w:r w:rsidRPr="00FD7E0D">
        <w:rPr>
          <w:rFonts w:ascii="Times New Roman" w:hAnsi="Times New Roman"/>
          <w:i/>
          <w:iCs/>
          <w:lang w:val="en-HK"/>
        </w:rPr>
        <w:t>Bouchereau</w:t>
      </w:r>
      <w:r w:rsidRPr="00FD7E0D">
        <w:rPr>
          <w:rFonts w:ascii="Times New Roman" w:hAnsi="Times New Roman"/>
          <w:lang w:val="en-HK"/>
        </w:rPr>
        <w:t xml:space="preserve"> and </w:t>
      </w:r>
      <w:r w:rsidRPr="00FD7E0D">
        <w:rPr>
          <w:rFonts w:ascii="Times New Roman" w:hAnsi="Times New Roman"/>
          <w:i/>
          <w:iCs/>
          <w:lang w:val="en-HK"/>
        </w:rPr>
        <w:t>Bonsignore</w:t>
      </w:r>
      <w:r w:rsidRPr="00FD7E0D">
        <w:rPr>
          <w:rFonts w:ascii="Times New Roman" w:hAnsi="Times New Roman"/>
          <w:lang w:val="en-HK"/>
        </w:rPr>
        <w:t xml:space="preserve"> narrowly construe policy exceptions, aligning with </w:t>
      </w:r>
      <w:r w:rsidRPr="00FD7E0D">
        <w:rPr>
          <w:rFonts w:ascii="Times New Roman" w:hAnsi="Times New Roman"/>
          <w:i/>
          <w:iCs/>
          <w:lang w:val="en-HK"/>
        </w:rPr>
        <w:t>Grzelczyk</w:t>
      </w:r>
      <w:r w:rsidRPr="00FD7E0D">
        <w:rPr>
          <w:rFonts w:ascii="Times New Roman" w:hAnsi="Times New Roman"/>
          <w:lang w:val="en-HK"/>
        </w:rPr>
        <w:t>’s ethos (</w:t>
      </w:r>
      <w:r w:rsidRPr="00FD7E0D">
        <w:rPr>
          <w:rFonts w:ascii="Times New Roman" w:hAnsi="Times New Roman"/>
          <w:i/>
          <w:iCs/>
          <w:lang w:val="en-HK"/>
        </w:rPr>
        <w:t>Bonsignore</w:t>
      </w:r>
      <w:r w:rsidRPr="00FD7E0D">
        <w:rPr>
          <w:rFonts w:ascii="Times New Roman" w:hAnsi="Times New Roman"/>
          <w:lang w:val="en-HK"/>
        </w:rPr>
        <w:t xml:space="preserve">, para 7). While Nic Shuibhne critiques fragmentation, Spaventa sees adaptive strength (Nic Shuibhne, 920; Spaventa, 39). My analysis concludes that Union citizenship remains a fundamental status, dynamically balancing equal treatment with constraints, partially realizing </w:t>
      </w:r>
      <w:r w:rsidRPr="00FD7E0D">
        <w:rPr>
          <w:rFonts w:ascii="Times New Roman" w:hAnsi="Times New Roman"/>
          <w:i/>
          <w:iCs/>
          <w:lang w:val="en-HK"/>
        </w:rPr>
        <w:t>Grzelczyk</w:t>
      </w:r>
      <w:r w:rsidRPr="00FD7E0D">
        <w:rPr>
          <w:rFonts w:ascii="Times New Roman" w:hAnsi="Times New Roman"/>
          <w:lang w:val="en-HK"/>
        </w:rPr>
        <w:t>’s vision while navigating economic and policy realities.</w:t>
      </w:r>
    </w:p>
    <w:p w14:paraId="6B6F4997" w14:textId="77777777" w:rsidR="00CD39F1" w:rsidRPr="00FD7E0D" w:rsidRDefault="00CD39F1"/>
    <w:sectPr w:rsidR="00CD39F1" w:rsidRPr="00FD7E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896"/>
    <w:rsid w:val="000046A5"/>
    <w:rsid w:val="0001136E"/>
    <w:rsid w:val="00012117"/>
    <w:rsid w:val="000147A9"/>
    <w:rsid w:val="000215F4"/>
    <w:rsid w:val="00042755"/>
    <w:rsid w:val="000516FC"/>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05088"/>
    <w:rsid w:val="0011328F"/>
    <w:rsid w:val="00121A80"/>
    <w:rsid w:val="001372F7"/>
    <w:rsid w:val="0017535F"/>
    <w:rsid w:val="00175AB8"/>
    <w:rsid w:val="0019260C"/>
    <w:rsid w:val="001A41D2"/>
    <w:rsid w:val="001B0E31"/>
    <w:rsid w:val="001D360C"/>
    <w:rsid w:val="001E2584"/>
    <w:rsid w:val="001F3868"/>
    <w:rsid w:val="002033A2"/>
    <w:rsid w:val="00204B6E"/>
    <w:rsid w:val="00223837"/>
    <w:rsid w:val="00243CED"/>
    <w:rsid w:val="00247BCC"/>
    <w:rsid w:val="00257540"/>
    <w:rsid w:val="0026510F"/>
    <w:rsid w:val="0028028D"/>
    <w:rsid w:val="0028222B"/>
    <w:rsid w:val="00291F37"/>
    <w:rsid w:val="0029568E"/>
    <w:rsid w:val="00297C6E"/>
    <w:rsid w:val="002A3133"/>
    <w:rsid w:val="002B3377"/>
    <w:rsid w:val="002C38C0"/>
    <w:rsid w:val="002C6D8B"/>
    <w:rsid w:val="002D2BF1"/>
    <w:rsid w:val="002D62C6"/>
    <w:rsid w:val="002D715D"/>
    <w:rsid w:val="002E3864"/>
    <w:rsid w:val="002E46F2"/>
    <w:rsid w:val="002F06DE"/>
    <w:rsid w:val="002F1DB1"/>
    <w:rsid w:val="002F20B2"/>
    <w:rsid w:val="002F53C9"/>
    <w:rsid w:val="00300FD7"/>
    <w:rsid w:val="003048A0"/>
    <w:rsid w:val="0031138E"/>
    <w:rsid w:val="0031474F"/>
    <w:rsid w:val="00315815"/>
    <w:rsid w:val="0032656E"/>
    <w:rsid w:val="003278F5"/>
    <w:rsid w:val="00330665"/>
    <w:rsid w:val="00335249"/>
    <w:rsid w:val="00341960"/>
    <w:rsid w:val="00342A18"/>
    <w:rsid w:val="003435C9"/>
    <w:rsid w:val="00354C0D"/>
    <w:rsid w:val="00357561"/>
    <w:rsid w:val="00361344"/>
    <w:rsid w:val="0036177C"/>
    <w:rsid w:val="00361975"/>
    <w:rsid w:val="00371F58"/>
    <w:rsid w:val="00376E23"/>
    <w:rsid w:val="0039416B"/>
    <w:rsid w:val="003A1271"/>
    <w:rsid w:val="003A5DF7"/>
    <w:rsid w:val="003B3510"/>
    <w:rsid w:val="003C116C"/>
    <w:rsid w:val="003D0CDD"/>
    <w:rsid w:val="003D710F"/>
    <w:rsid w:val="003E1CAA"/>
    <w:rsid w:val="003F66C5"/>
    <w:rsid w:val="0040210F"/>
    <w:rsid w:val="00412F9B"/>
    <w:rsid w:val="0042186C"/>
    <w:rsid w:val="004222FD"/>
    <w:rsid w:val="004302B1"/>
    <w:rsid w:val="004319FA"/>
    <w:rsid w:val="00442F56"/>
    <w:rsid w:val="0044616D"/>
    <w:rsid w:val="00460BF8"/>
    <w:rsid w:val="00474DD1"/>
    <w:rsid w:val="004751B5"/>
    <w:rsid w:val="0048097D"/>
    <w:rsid w:val="004816F7"/>
    <w:rsid w:val="0048175B"/>
    <w:rsid w:val="004829F2"/>
    <w:rsid w:val="004845CE"/>
    <w:rsid w:val="0049450A"/>
    <w:rsid w:val="004A553E"/>
    <w:rsid w:val="004B0B8B"/>
    <w:rsid w:val="004B1048"/>
    <w:rsid w:val="004B134B"/>
    <w:rsid w:val="004D01FE"/>
    <w:rsid w:val="004D19F6"/>
    <w:rsid w:val="004D582C"/>
    <w:rsid w:val="004D5B1A"/>
    <w:rsid w:val="004E1930"/>
    <w:rsid w:val="004E458E"/>
    <w:rsid w:val="004E671A"/>
    <w:rsid w:val="004F0E12"/>
    <w:rsid w:val="004F43CC"/>
    <w:rsid w:val="004F5A36"/>
    <w:rsid w:val="004F67E4"/>
    <w:rsid w:val="00505437"/>
    <w:rsid w:val="005120A1"/>
    <w:rsid w:val="005364AA"/>
    <w:rsid w:val="00542B57"/>
    <w:rsid w:val="00545764"/>
    <w:rsid w:val="005525C9"/>
    <w:rsid w:val="00557B52"/>
    <w:rsid w:val="005743EA"/>
    <w:rsid w:val="005770A9"/>
    <w:rsid w:val="0058416B"/>
    <w:rsid w:val="0058425D"/>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E7DD7"/>
    <w:rsid w:val="005F33FC"/>
    <w:rsid w:val="00605F8E"/>
    <w:rsid w:val="00613954"/>
    <w:rsid w:val="006159E0"/>
    <w:rsid w:val="00622488"/>
    <w:rsid w:val="006350B8"/>
    <w:rsid w:val="006415E8"/>
    <w:rsid w:val="006425BE"/>
    <w:rsid w:val="00650543"/>
    <w:rsid w:val="00654D8B"/>
    <w:rsid w:val="00661136"/>
    <w:rsid w:val="00663181"/>
    <w:rsid w:val="00672197"/>
    <w:rsid w:val="0068027B"/>
    <w:rsid w:val="006B7BA3"/>
    <w:rsid w:val="006C42B8"/>
    <w:rsid w:val="006C50C7"/>
    <w:rsid w:val="006D1612"/>
    <w:rsid w:val="006E7826"/>
    <w:rsid w:val="006F6576"/>
    <w:rsid w:val="00713CA9"/>
    <w:rsid w:val="007162F0"/>
    <w:rsid w:val="0072622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1A90"/>
    <w:rsid w:val="007C231D"/>
    <w:rsid w:val="007D07AB"/>
    <w:rsid w:val="007D68F0"/>
    <w:rsid w:val="007E1559"/>
    <w:rsid w:val="007E2E80"/>
    <w:rsid w:val="007E4AE6"/>
    <w:rsid w:val="007F776E"/>
    <w:rsid w:val="00816563"/>
    <w:rsid w:val="00830C88"/>
    <w:rsid w:val="00845A72"/>
    <w:rsid w:val="00845AB5"/>
    <w:rsid w:val="00850813"/>
    <w:rsid w:val="00861B11"/>
    <w:rsid w:val="00863659"/>
    <w:rsid w:val="00871FC4"/>
    <w:rsid w:val="008829C2"/>
    <w:rsid w:val="0088570A"/>
    <w:rsid w:val="008A54BE"/>
    <w:rsid w:val="008B2AB5"/>
    <w:rsid w:val="008B34DE"/>
    <w:rsid w:val="008C7B0A"/>
    <w:rsid w:val="008D0642"/>
    <w:rsid w:val="008E43C2"/>
    <w:rsid w:val="008E745B"/>
    <w:rsid w:val="008F4EA7"/>
    <w:rsid w:val="008F5A10"/>
    <w:rsid w:val="00905ED0"/>
    <w:rsid w:val="0092269A"/>
    <w:rsid w:val="00931EAF"/>
    <w:rsid w:val="0093405B"/>
    <w:rsid w:val="0094782D"/>
    <w:rsid w:val="00966189"/>
    <w:rsid w:val="00973661"/>
    <w:rsid w:val="00974434"/>
    <w:rsid w:val="00975B2D"/>
    <w:rsid w:val="00977514"/>
    <w:rsid w:val="00991B23"/>
    <w:rsid w:val="009A48B0"/>
    <w:rsid w:val="009B24D6"/>
    <w:rsid w:val="009B2F21"/>
    <w:rsid w:val="009B3EF4"/>
    <w:rsid w:val="009C6498"/>
    <w:rsid w:val="009E62AF"/>
    <w:rsid w:val="009F726A"/>
    <w:rsid w:val="009F73E1"/>
    <w:rsid w:val="00A017EE"/>
    <w:rsid w:val="00A03BBD"/>
    <w:rsid w:val="00A21254"/>
    <w:rsid w:val="00A220B7"/>
    <w:rsid w:val="00A2728B"/>
    <w:rsid w:val="00A3793B"/>
    <w:rsid w:val="00A37AB0"/>
    <w:rsid w:val="00A4085F"/>
    <w:rsid w:val="00A4114F"/>
    <w:rsid w:val="00A45953"/>
    <w:rsid w:val="00A61CD9"/>
    <w:rsid w:val="00A93FBA"/>
    <w:rsid w:val="00A95C7E"/>
    <w:rsid w:val="00AB609D"/>
    <w:rsid w:val="00AC3AB8"/>
    <w:rsid w:val="00AE4348"/>
    <w:rsid w:val="00AE4BAF"/>
    <w:rsid w:val="00AE71E4"/>
    <w:rsid w:val="00B03D5A"/>
    <w:rsid w:val="00B200EB"/>
    <w:rsid w:val="00B23297"/>
    <w:rsid w:val="00B360EE"/>
    <w:rsid w:val="00B53B6F"/>
    <w:rsid w:val="00B60A3B"/>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36588"/>
    <w:rsid w:val="00C44474"/>
    <w:rsid w:val="00C44EB3"/>
    <w:rsid w:val="00C45839"/>
    <w:rsid w:val="00C54722"/>
    <w:rsid w:val="00C616D7"/>
    <w:rsid w:val="00C65F70"/>
    <w:rsid w:val="00C76196"/>
    <w:rsid w:val="00C941C4"/>
    <w:rsid w:val="00C96A36"/>
    <w:rsid w:val="00C9722D"/>
    <w:rsid w:val="00CA350B"/>
    <w:rsid w:val="00CA3F60"/>
    <w:rsid w:val="00CC2EFF"/>
    <w:rsid w:val="00CC4FEF"/>
    <w:rsid w:val="00CD39F1"/>
    <w:rsid w:val="00CE1439"/>
    <w:rsid w:val="00CE2394"/>
    <w:rsid w:val="00CE7B86"/>
    <w:rsid w:val="00CF74EF"/>
    <w:rsid w:val="00D01E71"/>
    <w:rsid w:val="00D02AC8"/>
    <w:rsid w:val="00D0623C"/>
    <w:rsid w:val="00D07271"/>
    <w:rsid w:val="00D16917"/>
    <w:rsid w:val="00D274DA"/>
    <w:rsid w:val="00D60E77"/>
    <w:rsid w:val="00D64DCE"/>
    <w:rsid w:val="00D65735"/>
    <w:rsid w:val="00D715E8"/>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DF0F11"/>
    <w:rsid w:val="00E06E11"/>
    <w:rsid w:val="00E14A1A"/>
    <w:rsid w:val="00E14E1F"/>
    <w:rsid w:val="00E21363"/>
    <w:rsid w:val="00E2730E"/>
    <w:rsid w:val="00E4366A"/>
    <w:rsid w:val="00E438AC"/>
    <w:rsid w:val="00E51987"/>
    <w:rsid w:val="00E53FD2"/>
    <w:rsid w:val="00E54896"/>
    <w:rsid w:val="00E5689E"/>
    <w:rsid w:val="00E60DF5"/>
    <w:rsid w:val="00E64DD3"/>
    <w:rsid w:val="00E80D33"/>
    <w:rsid w:val="00E9484C"/>
    <w:rsid w:val="00E95D59"/>
    <w:rsid w:val="00E95D8D"/>
    <w:rsid w:val="00EA6ED5"/>
    <w:rsid w:val="00EB7051"/>
    <w:rsid w:val="00EC67FC"/>
    <w:rsid w:val="00EC68EB"/>
    <w:rsid w:val="00EC7C43"/>
    <w:rsid w:val="00ED6BC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3A97"/>
    <w:rsid w:val="00FC7B56"/>
    <w:rsid w:val="00FD7E0D"/>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437FCD"/>
  <w15:chartTrackingRefBased/>
  <w15:docId w15:val="{513C5990-BB43-D847-B48C-CA0272FC5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E548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48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489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489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89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489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489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489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489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89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E5489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E5489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E5489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E5489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E5489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E5489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E5489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E5489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E548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89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5489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89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548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489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E54896"/>
    <w:pPr>
      <w:ind w:left="720"/>
      <w:contextualSpacing/>
    </w:pPr>
  </w:style>
  <w:style w:type="character" w:styleId="IntenseEmphasis">
    <w:name w:val="Intense Emphasis"/>
    <w:basedOn w:val="DefaultParagraphFont"/>
    <w:uiPriority w:val="21"/>
    <w:qFormat/>
    <w:rsid w:val="00E54896"/>
    <w:rPr>
      <w:i/>
      <w:iCs/>
      <w:color w:val="2F5496" w:themeColor="accent1" w:themeShade="BF"/>
    </w:rPr>
  </w:style>
  <w:style w:type="paragraph" w:styleId="IntenseQuote">
    <w:name w:val="Intense Quote"/>
    <w:basedOn w:val="Normal"/>
    <w:next w:val="Normal"/>
    <w:link w:val="IntenseQuoteChar"/>
    <w:uiPriority w:val="30"/>
    <w:qFormat/>
    <w:rsid w:val="00E548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489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E54896"/>
    <w:rPr>
      <w:b/>
      <w:bCs/>
      <w:smallCaps/>
      <w:color w:val="2F5496" w:themeColor="accent1" w:themeShade="BF"/>
      <w:spacing w:val="5"/>
    </w:rPr>
  </w:style>
  <w:style w:type="paragraph" w:styleId="NormalWeb">
    <w:name w:val="Normal (Web)"/>
    <w:basedOn w:val="Normal"/>
    <w:uiPriority w:val="99"/>
    <w:semiHidden/>
    <w:unhideWhenUsed/>
    <w:rsid w:val="00FD7E0D"/>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FD7E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711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2039</Words>
  <Characters>11628</Characters>
  <Application>Microsoft Office Word</Application>
  <DocSecurity>0</DocSecurity>
  <Lines>96</Lines>
  <Paragraphs>27</Paragraphs>
  <ScaleCrop>false</ScaleCrop>
  <Company/>
  <LinksUpToDate>false</LinksUpToDate>
  <CharactersWithSpaces>13640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2025-04-26T09:24:00Z</dcterms:created>
  <dcterms:modified xsi:type="dcterms:W3CDTF">2025-04-26T09:24:00Z</dcterms:modified>
</cp:coreProperties>
</file>