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FA36B" w14:textId="3717B3B2" w:rsidR="00E05375" w:rsidRDefault="00E53C87" w:rsidP="00E05375">
      <w:pPr>
        <w:jc w:val="center"/>
        <w:rPr>
          <w:rFonts w:ascii="Garamond" w:hAnsi="Garamond"/>
          <w:b/>
          <w:sz w:val="40"/>
          <w:szCs w:val="40"/>
        </w:rPr>
      </w:pPr>
      <w:r>
        <w:rPr>
          <w:rFonts w:ascii="Garamond" w:hAnsi="Garamond"/>
          <w:b/>
          <w:sz w:val="40"/>
          <w:szCs w:val="40"/>
        </w:rPr>
        <w:t>TUTORIAL 1</w:t>
      </w:r>
      <w:r w:rsidR="00E05375">
        <w:rPr>
          <w:rFonts w:ascii="Garamond" w:hAnsi="Garamond"/>
          <w:b/>
          <w:sz w:val="40"/>
          <w:szCs w:val="40"/>
        </w:rPr>
        <w:t xml:space="preserve"> </w:t>
      </w:r>
    </w:p>
    <w:p w14:paraId="1387B8EF" w14:textId="7EB35462" w:rsidR="00E53C87" w:rsidRDefault="00E53C87" w:rsidP="00E53C87">
      <w:pPr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Free movement of goods</w:t>
      </w:r>
    </w:p>
    <w:p w14:paraId="40B938F9" w14:textId="3A9C812D" w:rsidR="00E05375" w:rsidRDefault="00E05375" w:rsidP="00E53C87">
      <w:pPr>
        <w:jc w:val="center"/>
        <w:rPr>
          <w:rFonts w:ascii="Garamond" w:hAnsi="Garamond"/>
          <w:b/>
          <w:sz w:val="24"/>
          <w:szCs w:val="24"/>
          <w:u w:val="single"/>
        </w:rPr>
      </w:pPr>
      <w:r w:rsidRPr="00E05375">
        <w:rPr>
          <w:rFonts w:ascii="Garamond" w:hAnsi="Garamond"/>
          <w:b/>
          <w:sz w:val="24"/>
          <w:szCs w:val="24"/>
          <w:u w:val="single"/>
        </w:rPr>
        <w:t xml:space="preserve">Week of </w:t>
      </w:r>
      <w:r w:rsidR="00330E68">
        <w:rPr>
          <w:rFonts w:ascii="Garamond" w:hAnsi="Garamond"/>
          <w:b/>
          <w:sz w:val="24"/>
          <w:szCs w:val="24"/>
          <w:u w:val="single"/>
        </w:rPr>
        <w:t>18</w:t>
      </w:r>
      <w:r w:rsidR="007C3122" w:rsidRPr="007C3122">
        <w:rPr>
          <w:rFonts w:ascii="Garamond" w:hAnsi="Garamond"/>
          <w:b/>
          <w:sz w:val="24"/>
          <w:szCs w:val="24"/>
          <w:u w:val="single"/>
          <w:vertAlign w:val="superscript"/>
        </w:rPr>
        <w:t>th</w:t>
      </w:r>
      <w:r w:rsidR="007C3122">
        <w:rPr>
          <w:rFonts w:ascii="Garamond" w:hAnsi="Garamond"/>
          <w:b/>
          <w:sz w:val="24"/>
          <w:szCs w:val="24"/>
          <w:u w:val="single"/>
        </w:rPr>
        <w:t xml:space="preserve"> November 202</w:t>
      </w:r>
      <w:r w:rsidR="00330E68">
        <w:rPr>
          <w:rFonts w:ascii="Garamond" w:hAnsi="Garamond"/>
          <w:b/>
          <w:sz w:val="24"/>
          <w:szCs w:val="24"/>
          <w:u w:val="single"/>
        </w:rPr>
        <w:t>4</w:t>
      </w:r>
    </w:p>
    <w:p w14:paraId="3818813D" w14:textId="77777777" w:rsidR="00A7398E" w:rsidRPr="00E05375" w:rsidRDefault="00A7398E" w:rsidP="00E53C87">
      <w:pPr>
        <w:jc w:val="center"/>
        <w:rPr>
          <w:rFonts w:ascii="Garamond" w:hAnsi="Garamond"/>
          <w:b/>
          <w:sz w:val="24"/>
          <w:szCs w:val="24"/>
          <w:u w:val="single"/>
        </w:rPr>
      </w:pPr>
    </w:p>
    <w:p w14:paraId="58CE612B" w14:textId="77777777" w:rsidR="00E53C87" w:rsidRDefault="00E53C87" w:rsidP="00E53C87">
      <w:pPr>
        <w:rPr>
          <w:rFonts w:ascii="Garamond" w:hAnsi="Garamond"/>
          <w:b/>
          <w:sz w:val="24"/>
          <w:szCs w:val="24"/>
        </w:rPr>
      </w:pPr>
      <w:r w:rsidRPr="00E17951">
        <w:rPr>
          <w:rFonts w:ascii="Garamond" w:hAnsi="Garamond"/>
          <w:b/>
          <w:sz w:val="24"/>
          <w:szCs w:val="24"/>
        </w:rPr>
        <w:t>** essen</w:t>
      </w:r>
      <w:r>
        <w:rPr>
          <w:rFonts w:ascii="Garamond" w:hAnsi="Garamond"/>
          <w:b/>
          <w:sz w:val="24"/>
          <w:szCs w:val="24"/>
        </w:rPr>
        <w:t>tial reading, * important reading, non-starred -&gt; useful reading</w:t>
      </w:r>
    </w:p>
    <w:p w14:paraId="00729F3E" w14:textId="77777777" w:rsidR="00E53C87" w:rsidRDefault="00E53C87" w:rsidP="00E53C87">
      <w:p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** Read the lecture handout carefully!</w:t>
      </w:r>
    </w:p>
    <w:p w14:paraId="4853C139" w14:textId="77777777" w:rsidR="00E53C87" w:rsidRDefault="00E53C87" w:rsidP="00E53C87">
      <w:pPr>
        <w:pStyle w:val="ListParagraph"/>
        <w:numPr>
          <w:ilvl w:val="0"/>
          <w:numId w:val="2"/>
        </w:numPr>
        <w:rPr>
          <w:rFonts w:ascii="Garamond" w:hAnsi="Garamond"/>
          <w:b/>
          <w:sz w:val="24"/>
          <w:szCs w:val="24"/>
        </w:rPr>
      </w:pPr>
      <w:r w:rsidRPr="00E17951">
        <w:rPr>
          <w:rFonts w:ascii="Garamond" w:hAnsi="Garamond"/>
          <w:b/>
          <w:i/>
          <w:sz w:val="24"/>
          <w:szCs w:val="24"/>
        </w:rPr>
        <w:t>Pre</w:t>
      </w:r>
      <w:r>
        <w:rPr>
          <w:rFonts w:ascii="Garamond" w:hAnsi="Garamond"/>
          <w:b/>
          <w:sz w:val="24"/>
          <w:szCs w:val="24"/>
        </w:rPr>
        <w:t>-Keck case law</w:t>
      </w:r>
    </w:p>
    <w:p w14:paraId="50288E49" w14:textId="77777777" w:rsidR="00E53C87" w:rsidRDefault="00E53C87" w:rsidP="00E53C87">
      <w:pPr>
        <w:pStyle w:val="ListParagraph"/>
        <w:rPr>
          <w:rFonts w:ascii="Garamond" w:hAnsi="Garamond"/>
          <w:b/>
          <w:i/>
          <w:sz w:val="24"/>
          <w:szCs w:val="24"/>
        </w:rPr>
      </w:pPr>
    </w:p>
    <w:p w14:paraId="3EE75F03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** Case C-8/74, </w:t>
      </w:r>
      <w:proofErr w:type="spellStart"/>
      <w:r w:rsidRPr="00353BDF">
        <w:rPr>
          <w:rFonts w:ascii="Garamond" w:hAnsi="Garamond"/>
          <w:i/>
          <w:sz w:val="24"/>
          <w:szCs w:val="24"/>
        </w:rPr>
        <w:t>Dassonville</w:t>
      </w:r>
      <w:proofErr w:type="spellEnd"/>
    </w:p>
    <w:p w14:paraId="4D34BD6C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  <w:lang w:val="fr-FR"/>
        </w:rPr>
      </w:pPr>
      <w:r w:rsidRPr="00353BDF">
        <w:rPr>
          <w:rFonts w:ascii="Garamond" w:hAnsi="Garamond"/>
          <w:sz w:val="24"/>
          <w:szCs w:val="24"/>
          <w:lang w:val="fr-FR"/>
        </w:rPr>
        <w:t xml:space="preserve">** Case 120/78, </w:t>
      </w:r>
      <w:proofErr w:type="spellStart"/>
      <w:r w:rsidRPr="00353BDF">
        <w:rPr>
          <w:rFonts w:ascii="Garamond" w:hAnsi="Garamond"/>
          <w:i/>
          <w:sz w:val="24"/>
          <w:szCs w:val="24"/>
          <w:lang w:val="fr-FR"/>
        </w:rPr>
        <w:t>Rewe</w:t>
      </w:r>
      <w:proofErr w:type="spellEnd"/>
      <w:r w:rsidRPr="00353BDF">
        <w:rPr>
          <w:rFonts w:ascii="Garamond" w:hAnsi="Garamond"/>
          <w:i/>
          <w:sz w:val="24"/>
          <w:szCs w:val="24"/>
          <w:lang w:val="fr-FR"/>
        </w:rPr>
        <w:t xml:space="preserve"> (Cassis de Dijon)</w:t>
      </w:r>
    </w:p>
    <w:p w14:paraId="7B53AF13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Case C-145/88, </w:t>
      </w:r>
      <w:r w:rsidRPr="00353BDF">
        <w:rPr>
          <w:rFonts w:ascii="Garamond" w:hAnsi="Garamond"/>
          <w:i/>
          <w:iCs/>
          <w:sz w:val="24"/>
          <w:szCs w:val="24"/>
        </w:rPr>
        <w:t>Torfaen Borough Council</w:t>
      </w:r>
    </w:p>
    <w:p w14:paraId="547059BF" w14:textId="77777777" w:rsidR="00E53C87" w:rsidRPr="00E17951" w:rsidRDefault="00E53C87" w:rsidP="00E53C87">
      <w:pPr>
        <w:pStyle w:val="ListParagraph"/>
        <w:ind w:left="1440"/>
        <w:rPr>
          <w:rFonts w:ascii="Garamond" w:hAnsi="Garamond"/>
          <w:sz w:val="24"/>
          <w:szCs w:val="24"/>
        </w:rPr>
      </w:pPr>
    </w:p>
    <w:p w14:paraId="752FD950" w14:textId="77777777" w:rsidR="00E53C87" w:rsidRDefault="00E53C87" w:rsidP="00E53C87">
      <w:pPr>
        <w:pStyle w:val="ListParagraph"/>
        <w:numPr>
          <w:ilvl w:val="0"/>
          <w:numId w:val="2"/>
        </w:numPr>
        <w:rPr>
          <w:rFonts w:ascii="Garamond" w:hAnsi="Garamond"/>
          <w:b/>
          <w:sz w:val="24"/>
          <w:szCs w:val="24"/>
        </w:rPr>
      </w:pPr>
      <w:r w:rsidRPr="00E17951">
        <w:rPr>
          <w:rFonts w:ascii="Garamond" w:hAnsi="Garamond"/>
          <w:b/>
          <w:i/>
          <w:sz w:val="24"/>
          <w:szCs w:val="24"/>
        </w:rPr>
        <w:t>Keck</w:t>
      </w:r>
      <w:r w:rsidRPr="00E17951">
        <w:rPr>
          <w:rFonts w:ascii="Garamond" w:hAnsi="Garamond"/>
          <w:b/>
          <w:sz w:val="24"/>
          <w:szCs w:val="24"/>
        </w:rPr>
        <w:t xml:space="preserve"> and post-</w:t>
      </w:r>
      <w:r w:rsidRPr="00E17951">
        <w:rPr>
          <w:rFonts w:ascii="Garamond" w:hAnsi="Garamond"/>
          <w:b/>
          <w:i/>
          <w:sz w:val="24"/>
          <w:szCs w:val="24"/>
        </w:rPr>
        <w:t>Keck</w:t>
      </w:r>
      <w:r w:rsidRPr="00E17951">
        <w:rPr>
          <w:rFonts w:ascii="Garamond" w:hAnsi="Garamond"/>
          <w:b/>
          <w:sz w:val="24"/>
          <w:szCs w:val="24"/>
        </w:rPr>
        <w:t xml:space="preserve"> developments</w:t>
      </w:r>
    </w:p>
    <w:p w14:paraId="47B0C59A" w14:textId="77777777" w:rsidR="00E53C87" w:rsidRDefault="00E53C87" w:rsidP="00E53C87">
      <w:pPr>
        <w:pStyle w:val="ListParagraph"/>
        <w:rPr>
          <w:rFonts w:ascii="Garamond" w:hAnsi="Garamond"/>
          <w:b/>
          <w:i/>
          <w:sz w:val="24"/>
          <w:szCs w:val="24"/>
        </w:rPr>
      </w:pPr>
    </w:p>
    <w:p w14:paraId="63998261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** C-267/91 and C-268/91, </w:t>
      </w:r>
      <w:r w:rsidRPr="00353BDF">
        <w:rPr>
          <w:rFonts w:ascii="Garamond" w:hAnsi="Garamond"/>
          <w:i/>
          <w:sz w:val="24"/>
          <w:szCs w:val="24"/>
        </w:rPr>
        <w:t xml:space="preserve">Keck and </w:t>
      </w:r>
      <w:proofErr w:type="spellStart"/>
      <w:r w:rsidRPr="00353BDF">
        <w:rPr>
          <w:rFonts w:ascii="Garamond" w:hAnsi="Garamond"/>
          <w:i/>
          <w:sz w:val="24"/>
          <w:szCs w:val="24"/>
        </w:rPr>
        <w:t>Mithouard</w:t>
      </w:r>
      <w:proofErr w:type="spellEnd"/>
    </w:p>
    <w:p w14:paraId="132BB07D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 Opinion of AG Jacobs in C-412/93 </w:t>
      </w:r>
      <w:r w:rsidRPr="00353BDF">
        <w:rPr>
          <w:rFonts w:ascii="Garamond" w:hAnsi="Garamond"/>
          <w:i/>
          <w:sz w:val="24"/>
          <w:szCs w:val="24"/>
        </w:rPr>
        <w:t>Leclerc-</w:t>
      </w:r>
      <w:proofErr w:type="spellStart"/>
      <w:r w:rsidRPr="00353BDF">
        <w:rPr>
          <w:rFonts w:ascii="Garamond" w:hAnsi="Garamond"/>
          <w:i/>
          <w:sz w:val="24"/>
          <w:szCs w:val="24"/>
        </w:rPr>
        <w:t>Siplec</w:t>
      </w:r>
      <w:proofErr w:type="spellEnd"/>
      <w:r w:rsidRPr="00353BDF">
        <w:rPr>
          <w:rFonts w:ascii="Garamond" w:hAnsi="Garamond"/>
          <w:sz w:val="24"/>
          <w:szCs w:val="24"/>
        </w:rPr>
        <w:t xml:space="preserve"> </w:t>
      </w:r>
    </w:p>
    <w:p w14:paraId="0E1E5872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 Case C-368/95, </w:t>
      </w:r>
      <w:proofErr w:type="spellStart"/>
      <w:r w:rsidRPr="00353BDF">
        <w:rPr>
          <w:rFonts w:ascii="Garamond" w:hAnsi="Garamond"/>
          <w:i/>
          <w:iCs/>
          <w:sz w:val="24"/>
          <w:szCs w:val="24"/>
        </w:rPr>
        <w:t>Familiapress</w:t>
      </w:r>
      <w:proofErr w:type="spellEnd"/>
    </w:p>
    <w:p w14:paraId="3D33C742" w14:textId="5F59D0AF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Case C-34/95, </w:t>
      </w:r>
      <w:r w:rsidRPr="00353BDF">
        <w:rPr>
          <w:rFonts w:ascii="Garamond" w:hAnsi="Garamond"/>
          <w:i/>
          <w:iCs/>
          <w:sz w:val="24"/>
          <w:szCs w:val="24"/>
        </w:rPr>
        <w:t>De Agostini</w:t>
      </w:r>
    </w:p>
    <w:p w14:paraId="06701183" w14:textId="77777777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** Case C-142/05, </w:t>
      </w:r>
      <w:proofErr w:type="spellStart"/>
      <w:r w:rsidRPr="00353BDF">
        <w:rPr>
          <w:rFonts w:ascii="Garamond" w:hAnsi="Garamond"/>
          <w:i/>
          <w:sz w:val="24"/>
          <w:szCs w:val="24"/>
        </w:rPr>
        <w:t>Mickelsson</w:t>
      </w:r>
      <w:proofErr w:type="spellEnd"/>
      <w:r w:rsidRPr="00353BDF">
        <w:rPr>
          <w:rFonts w:ascii="Garamond" w:hAnsi="Garamond"/>
          <w:i/>
          <w:sz w:val="24"/>
          <w:szCs w:val="24"/>
        </w:rPr>
        <w:t xml:space="preserve"> and </w:t>
      </w:r>
      <w:proofErr w:type="spellStart"/>
      <w:r w:rsidRPr="00353BDF">
        <w:rPr>
          <w:rFonts w:ascii="Garamond" w:hAnsi="Garamond"/>
          <w:i/>
          <w:sz w:val="24"/>
          <w:szCs w:val="24"/>
        </w:rPr>
        <w:t>Roos</w:t>
      </w:r>
      <w:proofErr w:type="spellEnd"/>
    </w:p>
    <w:p w14:paraId="145C7C99" w14:textId="2087BB17" w:rsidR="00E53C87" w:rsidRPr="00353BDF" w:rsidRDefault="00982C50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>*</w:t>
      </w:r>
      <w:r w:rsidR="00474094" w:rsidRPr="00353BDF">
        <w:rPr>
          <w:rFonts w:ascii="Garamond" w:hAnsi="Garamond"/>
          <w:sz w:val="24"/>
          <w:szCs w:val="24"/>
        </w:rPr>
        <w:t>*</w:t>
      </w:r>
      <w:r w:rsidRPr="00353BDF">
        <w:rPr>
          <w:rFonts w:ascii="Garamond" w:hAnsi="Garamond"/>
          <w:sz w:val="24"/>
          <w:szCs w:val="24"/>
        </w:rPr>
        <w:t xml:space="preserve"> </w:t>
      </w:r>
      <w:r w:rsidR="00E53C87" w:rsidRPr="00353BDF">
        <w:rPr>
          <w:rFonts w:ascii="Garamond" w:hAnsi="Garamond"/>
          <w:sz w:val="24"/>
          <w:szCs w:val="24"/>
        </w:rPr>
        <w:t xml:space="preserve">Case C-333/14, </w:t>
      </w:r>
      <w:r w:rsidR="009966A0" w:rsidRPr="00353BDF">
        <w:rPr>
          <w:rFonts w:ascii="Garamond" w:hAnsi="Garamond"/>
          <w:i/>
          <w:sz w:val="24"/>
          <w:szCs w:val="24"/>
        </w:rPr>
        <w:t>Scotch Whisk</w:t>
      </w:r>
      <w:r w:rsidR="00E53C87" w:rsidRPr="00353BDF">
        <w:rPr>
          <w:rFonts w:ascii="Garamond" w:hAnsi="Garamond"/>
          <w:i/>
          <w:sz w:val="24"/>
          <w:szCs w:val="24"/>
        </w:rPr>
        <w:t>y Association</w:t>
      </w:r>
    </w:p>
    <w:p w14:paraId="3B24C14A" w14:textId="0186F2F1" w:rsidR="00E53C87" w:rsidRPr="00353BDF" w:rsidRDefault="00E53C87" w:rsidP="00353BDF">
      <w:pPr>
        <w:ind w:left="360"/>
        <w:rPr>
          <w:rFonts w:ascii="Garamond" w:hAnsi="Garamond"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Case C-148/15, </w:t>
      </w:r>
      <w:r w:rsidRPr="00353BDF">
        <w:rPr>
          <w:rFonts w:ascii="Garamond" w:hAnsi="Garamond"/>
          <w:i/>
          <w:sz w:val="24"/>
          <w:szCs w:val="24"/>
        </w:rPr>
        <w:t xml:space="preserve">Deutsche Parkinson </w:t>
      </w:r>
      <w:proofErr w:type="spellStart"/>
      <w:r w:rsidRPr="00353BDF">
        <w:rPr>
          <w:rFonts w:ascii="Garamond" w:hAnsi="Garamond"/>
          <w:i/>
          <w:sz w:val="24"/>
          <w:szCs w:val="24"/>
        </w:rPr>
        <w:t>Vereinigung</w:t>
      </w:r>
      <w:proofErr w:type="spellEnd"/>
    </w:p>
    <w:p w14:paraId="0C180735" w14:textId="77777777" w:rsidR="00E53C87" w:rsidRPr="00E17951" w:rsidRDefault="00E53C87" w:rsidP="00353BDF">
      <w:pPr>
        <w:pStyle w:val="ListParagraph"/>
        <w:rPr>
          <w:rFonts w:ascii="Garamond" w:hAnsi="Garamond"/>
          <w:sz w:val="24"/>
          <w:szCs w:val="24"/>
        </w:rPr>
      </w:pPr>
    </w:p>
    <w:p w14:paraId="10D92F22" w14:textId="77777777" w:rsidR="00E53C87" w:rsidRDefault="00E53C87" w:rsidP="00E53C87">
      <w:pPr>
        <w:pStyle w:val="ListParagraph"/>
        <w:numPr>
          <w:ilvl w:val="0"/>
          <w:numId w:val="2"/>
        </w:num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Direct effect of Article 34 TFEU and the obligation on the State</w:t>
      </w:r>
    </w:p>
    <w:p w14:paraId="76F1EBA3" w14:textId="77777777" w:rsidR="00E53C87" w:rsidRDefault="00E53C87" w:rsidP="00E53C87">
      <w:pPr>
        <w:pStyle w:val="ListParagraph"/>
        <w:rPr>
          <w:rFonts w:ascii="Garamond" w:hAnsi="Garamond"/>
          <w:b/>
          <w:sz w:val="24"/>
          <w:szCs w:val="24"/>
        </w:rPr>
      </w:pPr>
    </w:p>
    <w:p w14:paraId="39E9C693" w14:textId="77777777" w:rsidR="00E53C87" w:rsidRPr="00353BDF" w:rsidRDefault="00E53C87" w:rsidP="00353BDF">
      <w:pPr>
        <w:ind w:left="360"/>
        <w:rPr>
          <w:rFonts w:ascii="Garamond" w:hAnsi="Garamond"/>
          <w:b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** Case C-112/00, </w:t>
      </w:r>
      <w:proofErr w:type="spellStart"/>
      <w:r w:rsidRPr="00353BDF">
        <w:rPr>
          <w:rFonts w:ascii="Garamond" w:hAnsi="Garamond"/>
          <w:i/>
          <w:sz w:val="24"/>
          <w:szCs w:val="24"/>
        </w:rPr>
        <w:t>Schmidberger</w:t>
      </w:r>
      <w:proofErr w:type="spellEnd"/>
    </w:p>
    <w:p w14:paraId="5873C0B4" w14:textId="0B3EC8F6" w:rsidR="00E53C87" w:rsidRPr="00353BDF" w:rsidRDefault="00E53C87" w:rsidP="00353BDF">
      <w:pPr>
        <w:ind w:left="360"/>
        <w:rPr>
          <w:rFonts w:ascii="Garamond" w:hAnsi="Garamond"/>
          <w:b/>
          <w:sz w:val="24"/>
          <w:szCs w:val="24"/>
        </w:rPr>
      </w:pPr>
      <w:r w:rsidRPr="00353BDF">
        <w:rPr>
          <w:rFonts w:ascii="Garamond" w:hAnsi="Garamond"/>
          <w:sz w:val="24"/>
          <w:szCs w:val="24"/>
        </w:rPr>
        <w:t xml:space="preserve">Case 171/11, </w:t>
      </w:r>
      <w:r w:rsidRPr="00353BDF">
        <w:rPr>
          <w:rFonts w:ascii="Garamond" w:hAnsi="Garamond"/>
          <w:i/>
          <w:sz w:val="24"/>
          <w:szCs w:val="24"/>
        </w:rPr>
        <w:t>Fra.bo</w:t>
      </w:r>
    </w:p>
    <w:p w14:paraId="0EB00372" w14:textId="77777777" w:rsidR="008B3449" w:rsidRDefault="008B3449" w:rsidP="008B3449">
      <w:pPr>
        <w:pStyle w:val="ListParagraph"/>
        <w:rPr>
          <w:rFonts w:ascii="Garamond" w:hAnsi="Garamond"/>
          <w:b/>
          <w:sz w:val="24"/>
          <w:szCs w:val="24"/>
        </w:rPr>
      </w:pPr>
    </w:p>
    <w:p w14:paraId="0CA8CBC5" w14:textId="02543E56" w:rsidR="00E53C87" w:rsidRDefault="00E53C87" w:rsidP="00E53C87">
      <w:pPr>
        <w:pStyle w:val="ListParagraph"/>
        <w:numPr>
          <w:ilvl w:val="0"/>
          <w:numId w:val="2"/>
        </w:num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Reading</w:t>
      </w:r>
    </w:p>
    <w:p w14:paraId="58F0A251" w14:textId="77777777" w:rsidR="00A31B51" w:rsidRDefault="00A31B51" w:rsidP="00A31B51">
      <w:pPr>
        <w:pStyle w:val="ListParagraph"/>
        <w:ind w:left="1440"/>
        <w:rPr>
          <w:rFonts w:ascii="Garamond" w:hAnsi="Garamond"/>
          <w:sz w:val="24"/>
          <w:szCs w:val="24"/>
        </w:rPr>
      </w:pPr>
    </w:p>
    <w:p w14:paraId="74E812C0" w14:textId="499FDAB7" w:rsidR="00A31B51" w:rsidRPr="00A31B51" w:rsidRDefault="00A31B51" w:rsidP="00A31B5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** C Barnard, </w:t>
      </w:r>
      <w:r w:rsidRPr="00A31B51">
        <w:rPr>
          <w:rFonts w:ascii="Garamond" w:hAnsi="Garamond"/>
          <w:i/>
          <w:sz w:val="24"/>
          <w:szCs w:val="24"/>
        </w:rPr>
        <w:t>The Substantive Law of the EU</w:t>
      </w:r>
      <w:r>
        <w:rPr>
          <w:rFonts w:ascii="Garamond" w:hAnsi="Garamond"/>
          <w:sz w:val="24"/>
          <w:szCs w:val="24"/>
        </w:rPr>
        <w:t xml:space="preserve"> (OUP, </w:t>
      </w:r>
      <w:r w:rsidR="007C3122">
        <w:rPr>
          <w:rFonts w:ascii="Garamond" w:hAnsi="Garamond"/>
          <w:sz w:val="24"/>
          <w:szCs w:val="24"/>
        </w:rPr>
        <w:t>2022</w:t>
      </w:r>
      <w:r>
        <w:rPr>
          <w:rFonts w:ascii="Garamond" w:hAnsi="Garamond"/>
          <w:sz w:val="24"/>
          <w:szCs w:val="24"/>
        </w:rPr>
        <w:t>): Chapters 2-5</w:t>
      </w:r>
    </w:p>
    <w:p w14:paraId="2A53237D" w14:textId="72ACB7F6" w:rsidR="00C458AE" w:rsidRDefault="00C458AE" w:rsidP="00E53C87">
      <w:pPr>
        <w:pStyle w:val="Heading2"/>
        <w:numPr>
          <w:ilvl w:val="0"/>
          <w:numId w:val="1"/>
        </w:numPr>
        <w:shd w:val="clear" w:color="auto" w:fill="FFFFFF"/>
        <w:spacing w:line="276" w:lineRule="auto"/>
        <w:rPr>
          <w:rFonts w:ascii="Garamond" w:hAnsi="Garamond" w:cs="Times New Roman"/>
          <w:b w:val="0"/>
          <w:i w:val="0"/>
          <w:sz w:val="24"/>
          <w:szCs w:val="24"/>
        </w:rPr>
      </w:pPr>
      <w:r>
        <w:rPr>
          <w:rFonts w:ascii="Garamond" w:hAnsi="Garamond" w:cs="Times New Roman"/>
          <w:b w:val="0"/>
          <w:i w:val="0"/>
          <w:sz w:val="24"/>
          <w:szCs w:val="24"/>
        </w:rPr>
        <w:t xml:space="preserve">N Dunne, “Minimum Alcohol Pricing: Balancing the “Essentially Incomparable” in Scotch Whisky” (2018) 81 </w:t>
      </w:r>
      <w:r w:rsidRPr="00C458AE">
        <w:rPr>
          <w:rFonts w:ascii="Garamond" w:hAnsi="Garamond" w:cs="Times New Roman"/>
          <w:b w:val="0"/>
          <w:sz w:val="24"/>
          <w:szCs w:val="24"/>
        </w:rPr>
        <w:t>Modern Law Review</w:t>
      </w:r>
      <w:r>
        <w:rPr>
          <w:rFonts w:ascii="Garamond" w:hAnsi="Garamond" w:cs="Times New Roman"/>
          <w:b w:val="0"/>
          <w:i w:val="0"/>
          <w:sz w:val="24"/>
          <w:szCs w:val="24"/>
        </w:rPr>
        <w:t xml:space="preserve"> 890</w:t>
      </w:r>
    </w:p>
    <w:p w14:paraId="1C1AD501" w14:textId="77777777" w:rsidR="00101194" w:rsidRPr="00101194" w:rsidRDefault="00101194" w:rsidP="00101194">
      <w:pPr>
        <w:pStyle w:val="ListParagraph"/>
        <w:ind w:left="1440"/>
        <w:rPr>
          <w:lang w:val="en-US"/>
        </w:rPr>
      </w:pPr>
    </w:p>
    <w:p w14:paraId="671A5AD1" w14:textId="5D5071E6" w:rsidR="00101194" w:rsidRPr="00101194" w:rsidRDefault="00101194" w:rsidP="00101194">
      <w:pPr>
        <w:pStyle w:val="ListParagraph"/>
        <w:numPr>
          <w:ilvl w:val="0"/>
          <w:numId w:val="1"/>
        </w:numPr>
        <w:rPr>
          <w:lang w:val="en-US"/>
        </w:rPr>
      </w:pPr>
      <w:r w:rsidRPr="00101194">
        <w:rPr>
          <w:rFonts w:ascii="Garamond" w:hAnsi="Garamond"/>
          <w:bCs/>
          <w:sz w:val="24"/>
          <w:szCs w:val="24"/>
        </w:rPr>
        <w:lastRenderedPageBreak/>
        <w:t xml:space="preserve">* S </w:t>
      </w:r>
      <w:proofErr w:type="spellStart"/>
      <w:r w:rsidRPr="00101194">
        <w:rPr>
          <w:rFonts w:ascii="Garamond" w:hAnsi="Garamond"/>
          <w:bCs/>
          <w:sz w:val="24"/>
          <w:szCs w:val="24"/>
        </w:rPr>
        <w:t>Weatherill</w:t>
      </w:r>
      <w:proofErr w:type="spellEnd"/>
      <w:r w:rsidRPr="00101194">
        <w:rPr>
          <w:rFonts w:ascii="Garamond" w:hAnsi="Garamond"/>
          <w:bCs/>
          <w:sz w:val="24"/>
          <w:szCs w:val="24"/>
        </w:rPr>
        <w:t xml:space="preserve">, </w:t>
      </w:r>
      <w:r w:rsidR="007C3122">
        <w:rPr>
          <w:rFonts w:ascii="Garamond" w:hAnsi="Garamond"/>
          <w:sz w:val="24"/>
          <w:szCs w:val="24"/>
        </w:rPr>
        <w:t xml:space="preserve">“Comparative Internal Market Law: The UK and the EU” (2021) 40 </w:t>
      </w:r>
      <w:r w:rsidR="007C3122" w:rsidRPr="007947A2">
        <w:rPr>
          <w:rFonts w:ascii="Garamond" w:hAnsi="Garamond"/>
          <w:i/>
          <w:iCs/>
          <w:sz w:val="24"/>
          <w:szCs w:val="24"/>
        </w:rPr>
        <w:t>YEL</w:t>
      </w:r>
      <w:r w:rsidR="007C3122">
        <w:rPr>
          <w:rFonts w:ascii="Garamond" w:hAnsi="Garamond"/>
          <w:sz w:val="24"/>
          <w:szCs w:val="24"/>
        </w:rPr>
        <w:t xml:space="preserve"> 431</w:t>
      </w:r>
    </w:p>
    <w:p w14:paraId="429DF08D" w14:textId="1FAEACC8" w:rsidR="00E53C87" w:rsidRDefault="007967F0" w:rsidP="00E53C87">
      <w:pPr>
        <w:pStyle w:val="Heading2"/>
        <w:numPr>
          <w:ilvl w:val="0"/>
          <w:numId w:val="1"/>
        </w:numPr>
        <w:shd w:val="clear" w:color="auto" w:fill="FFFFFF"/>
        <w:spacing w:line="276" w:lineRule="auto"/>
        <w:rPr>
          <w:rFonts w:ascii="Garamond" w:hAnsi="Garamond" w:cs="Times New Roman"/>
          <w:b w:val="0"/>
          <w:i w:val="0"/>
          <w:sz w:val="24"/>
          <w:szCs w:val="24"/>
        </w:rPr>
      </w:pPr>
      <w:r>
        <w:rPr>
          <w:rFonts w:ascii="Garamond" w:hAnsi="Garamond" w:cs="Times New Roman"/>
          <w:b w:val="0"/>
          <w:i w:val="0"/>
          <w:sz w:val="24"/>
          <w:szCs w:val="24"/>
        </w:rPr>
        <w:t xml:space="preserve">* </w:t>
      </w:r>
      <w:r w:rsidR="00E53C87" w:rsidRPr="003D50C8">
        <w:rPr>
          <w:rFonts w:ascii="Garamond" w:hAnsi="Garamond" w:cs="Times New Roman"/>
          <w:b w:val="0"/>
          <w:i w:val="0"/>
          <w:sz w:val="24"/>
          <w:szCs w:val="24"/>
        </w:rPr>
        <w:t>L Gormley</w:t>
      </w:r>
      <w:r w:rsidR="00E53C87">
        <w:rPr>
          <w:rFonts w:ascii="Garamond" w:hAnsi="Garamond" w:cs="Times New Roman"/>
          <w:b w:val="0"/>
          <w:i w:val="0"/>
          <w:sz w:val="24"/>
          <w:szCs w:val="24"/>
        </w:rPr>
        <w:t>,</w:t>
      </w:r>
      <w:r w:rsidR="00E53C87" w:rsidRPr="003D50C8">
        <w:rPr>
          <w:rFonts w:ascii="Garamond" w:hAnsi="Garamond" w:cs="Times New Roman"/>
          <w:b w:val="0"/>
          <w:i w:val="0"/>
          <w:sz w:val="24"/>
          <w:szCs w:val="24"/>
        </w:rPr>
        <w:t xml:space="preserve"> “Inconsistencies and misconceptions in the free movement of goods” (2015) </w:t>
      </w:r>
      <w:r w:rsidR="007C3122">
        <w:rPr>
          <w:rFonts w:ascii="Garamond" w:hAnsi="Garamond" w:cs="Times New Roman"/>
          <w:b w:val="0"/>
          <w:i w:val="0"/>
          <w:sz w:val="24"/>
          <w:szCs w:val="24"/>
        </w:rPr>
        <w:t xml:space="preserve">40 </w:t>
      </w:r>
      <w:r w:rsidR="00E53C87" w:rsidRPr="003D50C8">
        <w:rPr>
          <w:rFonts w:ascii="Garamond" w:hAnsi="Garamond" w:cs="Times New Roman"/>
          <w:b w:val="0"/>
          <w:sz w:val="24"/>
          <w:szCs w:val="24"/>
        </w:rPr>
        <w:t>EL Rev</w:t>
      </w:r>
      <w:r w:rsidR="00E53C87" w:rsidRPr="003D50C8">
        <w:rPr>
          <w:rFonts w:ascii="Garamond" w:hAnsi="Garamond" w:cs="Times New Roman"/>
          <w:b w:val="0"/>
          <w:i w:val="0"/>
          <w:sz w:val="24"/>
          <w:szCs w:val="24"/>
        </w:rPr>
        <w:t xml:space="preserve"> 925 </w:t>
      </w:r>
    </w:p>
    <w:p w14:paraId="3E251B90" w14:textId="77777777" w:rsidR="00040899" w:rsidRDefault="00040899" w:rsidP="00040899">
      <w:pPr>
        <w:pStyle w:val="ListParagraph"/>
        <w:spacing w:line="276" w:lineRule="auto"/>
        <w:ind w:left="1440"/>
        <w:jc w:val="both"/>
        <w:rPr>
          <w:rFonts w:ascii="Garamond" w:hAnsi="Garamond"/>
          <w:sz w:val="24"/>
          <w:szCs w:val="24"/>
        </w:rPr>
      </w:pPr>
    </w:p>
    <w:p w14:paraId="540BA29A" w14:textId="274A22AE" w:rsidR="00040899" w:rsidRPr="009D2BDE" w:rsidRDefault="00040899" w:rsidP="0004089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 van Leeuwen, “</w:t>
      </w:r>
      <w:r w:rsidR="007C3122">
        <w:rPr>
          <w:rFonts w:ascii="Garamond" w:hAnsi="Garamond"/>
          <w:sz w:val="24"/>
          <w:szCs w:val="24"/>
        </w:rPr>
        <w:t xml:space="preserve">Legal Empathy in the Internal Market: Free Movement Law as a Comparative Dialogue” (2021) 46 </w:t>
      </w:r>
      <w:r w:rsidR="007C3122" w:rsidRPr="007C3122">
        <w:rPr>
          <w:rFonts w:ascii="Garamond" w:hAnsi="Garamond"/>
          <w:i/>
          <w:iCs/>
          <w:sz w:val="24"/>
          <w:szCs w:val="24"/>
        </w:rPr>
        <w:t>EL Rev</w:t>
      </w:r>
      <w:r w:rsidR="007C3122">
        <w:rPr>
          <w:rFonts w:ascii="Garamond" w:hAnsi="Garamond"/>
          <w:sz w:val="24"/>
          <w:szCs w:val="24"/>
        </w:rPr>
        <w:t xml:space="preserve"> 625</w:t>
      </w:r>
    </w:p>
    <w:p w14:paraId="384D578A" w14:textId="7B70510C" w:rsidR="00E53C87" w:rsidRDefault="00E53C87" w:rsidP="00E53C87">
      <w:pPr>
        <w:pStyle w:val="Heading2"/>
        <w:numPr>
          <w:ilvl w:val="0"/>
          <w:numId w:val="1"/>
        </w:numPr>
        <w:shd w:val="clear" w:color="auto" w:fill="FFFFFF"/>
        <w:spacing w:line="276" w:lineRule="auto"/>
        <w:rPr>
          <w:rFonts w:ascii="Garamond" w:hAnsi="Garamond" w:cs="Times New Roman"/>
          <w:b w:val="0"/>
          <w:i w:val="0"/>
          <w:sz w:val="24"/>
          <w:szCs w:val="24"/>
        </w:rPr>
      </w:pPr>
      <w:r w:rsidRPr="003D50C8">
        <w:rPr>
          <w:rFonts w:ascii="Garamond" w:hAnsi="Garamond" w:cs="Times New Roman"/>
          <w:b w:val="0"/>
          <w:i w:val="0"/>
          <w:sz w:val="24"/>
          <w:szCs w:val="24"/>
        </w:rPr>
        <w:t>*</w:t>
      </w:r>
      <w:r>
        <w:rPr>
          <w:rFonts w:ascii="Garamond" w:hAnsi="Garamond" w:cs="Times New Roman"/>
          <w:b w:val="0"/>
          <w:i w:val="0"/>
          <w:sz w:val="24"/>
          <w:szCs w:val="24"/>
        </w:rPr>
        <w:t xml:space="preserve"> </w:t>
      </w:r>
      <w:r w:rsidRPr="003D50C8">
        <w:rPr>
          <w:rFonts w:ascii="Garamond" w:hAnsi="Garamond" w:cs="Times New Roman"/>
          <w:b w:val="0"/>
          <w:i w:val="0"/>
          <w:sz w:val="24"/>
          <w:szCs w:val="24"/>
        </w:rPr>
        <w:t xml:space="preserve">I </w:t>
      </w:r>
      <w:proofErr w:type="spellStart"/>
      <w:r w:rsidRPr="003D50C8">
        <w:rPr>
          <w:rFonts w:ascii="Garamond" w:hAnsi="Garamond" w:cs="Times New Roman"/>
          <w:b w:val="0"/>
          <w:i w:val="0"/>
          <w:sz w:val="24"/>
          <w:szCs w:val="24"/>
        </w:rPr>
        <w:t>Lianos</w:t>
      </w:r>
      <w:proofErr w:type="spellEnd"/>
      <w:r>
        <w:rPr>
          <w:rFonts w:ascii="Garamond" w:hAnsi="Garamond" w:cs="Times New Roman"/>
          <w:b w:val="0"/>
          <w:i w:val="0"/>
          <w:sz w:val="24"/>
          <w:szCs w:val="24"/>
        </w:rPr>
        <w:t>,</w:t>
      </w:r>
      <w:r w:rsidRPr="003D50C8">
        <w:rPr>
          <w:rFonts w:ascii="Garamond" w:hAnsi="Garamond" w:cs="Times New Roman"/>
          <w:b w:val="0"/>
          <w:i w:val="0"/>
          <w:sz w:val="24"/>
          <w:szCs w:val="24"/>
        </w:rPr>
        <w:t xml:space="preserve"> “In Memoriam Keck: the reformation of the EU law on the free movement of goods” (2015) </w:t>
      </w:r>
      <w:r w:rsidR="007C3122">
        <w:rPr>
          <w:rFonts w:ascii="Garamond" w:hAnsi="Garamond" w:cs="Times New Roman"/>
          <w:b w:val="0"/>
          <w:i w:val="0"/>
          <w:sz w:val="24"/>
          <w:szCs w:val="24"/>
        </w:rPr>
        <w:t xml:space="preserve">40 </w:t>
      </w:r>
      <w:r w:rsidRPr="003D50C8">
        <w:rPr>
          <w:rFonts w:ascii="Garamond" w:hAnsi="Garamond" w:cs="Times New Roman"/>
          <w:b w:val="0"/>
          <w:sz w:val="24"/>
          <w:szCs w:val="24"/>
        </w:rPr>
        <w:t>EL Rev</w:t>
      </w:r>
      <w:r w:rsidRPr="003D50C8">
        <w:rPr>
          <w:rFonts w:ascii="Garamond" w:hAnsi="Garamond" w:cs="Times New Roman"/>
          <w:b w:val="0"/>
          <w:i w:val="0"/>
          <w:sz w:val="24"/>
          <w:szCs w:val="24"/>
        </w:rPr>
        <w:t xml:space="preserve"> 225</w:t>
      </w:r>
    </w:p>
    <w:p w14:paraId="0A241BC8" w14:textId="77777777" w:rsidR="00E53C87" w:rsidRDefault="00E53C87" w:rsidP="00E53C87">
      <w:pPr>
        <w:pStyle w:val="ListParagraph"/>
        <w:spacing w:line="276" w:lineRule="auto"/>
        <w:ind w:left="1440"/>
        <w:jc w:val="both"/>
        <w:rPr>
          <w:rFonts w:ascii="Garamond" w:hAnsi="Garamond"/>
          <w:sz w:val="24"/>
          <w:szCs w:val="24"/>
        </w:rPr>
      </w:pPr>
    </w:p>
    <w:p w14:paraId="264A888C" w14:textId="0A050B5E" w:rsidR="00E53C87" w:rsidRDefault="009A33A9" w:rsidP="00E53C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*</w:t>
      </w:r>
      <w:r w:rsidR="00E53C87">
        <w:rPr>
          <w:rFonts w:ascii="Garamond" w:hAnsi="Garamond"/>
          <w:sz w:val="24"/>
          <w:szCs w:val="24"/>
        </w:rPr>
        <w:t xml:space="preserve">* R </w:t>
      </w:r>
      <w:proofErr w:type="spellStart"/>
      <w:r w:rsidR="00E53C87">
        <w:rPr>
          <w:rFonts w:ascii="Garamond" w:hAnsi="Garamond"/>
          <w:sz w:val="24"/>
          <w:szCs w:val="24"/>
        </w:rPr>
        <w:t>Schütze</w:t>
      </w:r>
      <w:proofErr w:type="spellEnd"/>
      <w:r w:rsidR="00E53C87">
        <w:rPr>
          <w:rFonts w:ascii="Garamond" w:hAnsi="Garamond"/>
          <w:sz w:val="24"/>
          <w:szCs w:val="24"/>
        </w:rPr>
        <w:t xml:space="preserve">, “Of Types and Tests: Towards a Unitary Doctrinal Framework for Article 34 TFEU?” (2016) 41 </w:t>
      </w:r>
      <w:r w:rsidR="00E53C87" w:rsidRPr="009D2BDE">
        <w:rPr>
          <w:rFonts w:ascii="Garamond" w:hAnsi="Garamond"/>
          <w:i/>
          <w:sz w:val="24"/>
          <w:szCs w:val="24"/>
        </w:rPr>
        <w:t>EL Rev</w:t>
      </w:r>
      <w:r w:rsidR="00E53C87">
        <w:rPr>
          <w:rFonts w:ascii="Garamond" w:hAnsi="Garamond"/>
          <w:sz w:val="24"/>
          <w:szCs w:val="24"/>
        </w:rPr>
        <w:t xml:space="preserve"> 826</w:t>
      </w:r>
    </w:p>
    <w:p w14:paraId="29364790" w14:textId="77777777" w:rsidR="00E53C87" w:rsidRPr="003D50C8" w:rsidRDefault="00E53C87" w:rsidP="00E53C87">
      <w:pPr>
        <w:pStyle w:val="Heading2"/>
        <w:numPr>
          <w:ilvl w:val="0"/>
          <w:numId w:val="1"/>
        </w:numPr>
        <w:shd w:val="clear" w:color="auto" w:fill="FFFFFF"/>
        <w:spacing w:line="276" w:lineRule="auto"/>
        <w:rPr>
          <w:rFonts w:ascii="Garamond" w:hAnsi="Garamond" w:cs="Times New Roman"/>
          <w:b w:val="0"/>
          <w:i w:val="0"/>
          <w:sz w:val="24"/>
          <w:szCs w:val="24"/>
        </w:rPr>
      </w:pPr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>*</w:t>
      </w:r>
      <w:r>
        <w:rPr>
          <w:rFonts w:ascii="Garamond" w:hAnsi="Garamond"/>
          <w:b w:val="0"/>
          <w:i w:val="0"/>
          <w:sz w:val="24"/>
          <w:szCs w:val="24"/>
          <w:lang w:val="en-GB"/>
        </w:rPr>
        <w:t xml:space="preserve">* </w:t>
      </w:r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 xml:space="preserve">E </w:t>
      </w:r>
      <w:proofErr w:type="spellStart"/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>Spaventa</w:t>
      </w:r>
      <w:proofErr w:type="spellEnd"/>
      <w:r>
        <w:rPr>
          <w:rFonts w:ascii="Garamond" w:hAnsi="Garamond"/>
          <w:b w:val="0"/>
          <w:i w:val="0"/>
          <w:sz w:val="24"/>
          <w:szCs w:val="24"/>
          <w:lang w:val="en-GB"/>
        </w:rPr>
        <w:t>,</w:t>
      </w:r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 xml:space="preserve"> </w:t>
      </w:r>
      <w:r w:rsidRPr="003D50C8">
        <w:rPr>
          <w:rFonts w:ascii="Garamond" w:hAnsi="Garamond"/>
          <w:b w:val="0"/>
          <w:i w:val="0"/>
          <w:sz w:val="24"/>
          <w:szCs w:val="24"/>
        </w:rPr>
        <w:t>“</w:t>
      </w:r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 xml:space="preserve">Leaving Keck behind? The free movement of goods after the rulings in Commission v Italy and </w:t>
      </w:r>
      <w:proofErr w:type="spellStart"/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>Mickelsson</w:t>
      </w:r>
      <w:proofErr w:type="spellEnd"/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 xml:space="preserve"> and </w:t>
      </w:r>
      <w:proofErr w:type="spellStart"/>
      <w:r w:rsidRPr="003D50C8">
        <w:rPr>
          <w:rFonts w:ascii="Garamond" w:hAnsi="Garamond"/>
          <w:b w:val="0"/>
          <w:i w:val="0"/>
          <w:sz w:val="24"/>
          <w:szCs w:val="24"/>
          <w:lang w:val="en-GB"/>
        </w:rPr>
        <w:t>Roos</w:t>
      </w:r>
      <w:proofErr w:type="spellEnd"/>
      <w:r>
        <w:rPr>
          <w:rFonts w:ascii="Garamond" w:hAnsi="Garamond"/>
          <w:b w:val="0"/>
          <w:i w:val="0"/>
          <w:sz w:val="24"/>
          <w:szCs w:val="24"/>
          <w:lang w:val="en-GB"/>
        </w:rPr>
        <w:t xml:space="preserve">” (2009) </w:t>
      </w:r>
      <w:r w:rsidRPr="003D50C8">
        <w:rPr>
          <w:rFonts w:ascii="Garamond" w:hAnsi="Garamond"/>
          <w:b w:val="0"/>
          <w:sz w:val="24"/>
          <w:szCs w:val="24"/>
          <w:lang w:val="en-GB"/>
        </w:rPr>
        <w:t>EL Rev</w:t>
      </w:r>
      <w:r>
        <w:rPr>
          <w:rFonts w:ascii="Garamond" w:hAnsi="Garamond"/>
          <w:b w:val="0"/>
          <w:i w:val="0"/>
          <w:sz w:val="24"/>
          <w:szCs w:val="24"/>
          <w:lang w:val="en-GB"/>
        </w:rPr>
        <w:t xml:space="preserve"> 914</w:t>
      </w:r>
    </w:p>
    <w:p w14:paraId="172E0DA0" w14:textId="77777777" w:rsidR="00E53C87" w:rsidRPr="00E23BF2" w:rsidRDefault="00E53C87" w:rsidP="00E53C87">
      <w:pPr>
        <w:pStyle w:val="ListParagraph"/>
        <w:rPr>
          <w:rFonts w:ascii="Garamond" w:hAnsi="Garamond"/>
          <w:sz w:val="24"/>
          <w:szCs w:val="24"/>
        </w:rPr>
      </w:pPr>
    </w:p>
    <w:p w14:paraId="5CCD74D6" w14:textId="59F1F876" w:rsidR="00E53C87" w:rsidRPr="00330E68" w:rsidRDefault="00E53C87" w:rsidP="00330E6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330E68">
        <w:rPr>
          <w:rFonts w:ascii="Garamond" w:hAnsi="Garamond"/>
          <w:b/>
          <w:sz w:val="24"/>
          <w:szCs w:val="24"/>
        </w:rPr>
        <w:t>Tutorial questions (prepare for discussion)</w:t>
      </w:r>
    </w:p>
    <w:p w14:paraId="51081B0B" w14:textId="77777777" w:rsidR="00E53C87" w:rsidRDefault="00E53C87" w:rsidP="00E53C87">
      <w:pPr>
        <w:pStyle w:val="ListParagraph"/>
        <w:spacing w:after="0" w:line="240" w:lineRule="auto"/>
        <w:ind w:left="1440"/>
        <w:rPr>
          <w:rFonts w:ascii="Garamond" w:hAnsi="Garamond"/>
          <w:sz w:val="24"/>
          <w:szCs w:val="24"/>
        </w:rPr>
      </w:pPr>
    </w:p>
    <w:p w14:paraId="79C516B6" w14:textId="7106405A" w:rsidR="004351B3" w:rsidRDefault="004351B3" w:rsidP="00E53C8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In light of </w:t>
      </w:r>
      <w:proofErr w:type="spellStart"/>
      <w:r w:rsidRPr="004351B3">
        <w:rPr>
          <w:rFonts w:ascii="Garamond" w:hAnsi="Garamond"/>
          <w:i/>
          <w:sz w:val="24"/>
          <w:szCs w:val="24"/>
        </w:rPr>
        <w:t>Schmidberger</w:t>
      </w:r>
      <w:proofErr w:type="spellEnd"/>
      <w:r>
        <w:rPr>
          <w:rFonts w:ascii="Garamond" w:hAnsi="Garamond"/>
          <w:sz w:val="24"/>
          <w:szCs w:val="24"/>
        </w:rPr>
        <w:t xml:space="preserve"> and </w:t>
      </w:r>
      <w:r w:rsidRPr="004351B3">
        <w:rPr>
          <w:rFonts w:ascii="Garamond" w:hAnsi="Garamond"/>
          <w:i/>
          <w:sz w:val="24"/>
          <w:szCs w:val="24"/>
        </w:rPr>
        <w:t>Commission v France</w:t>
      </w:r>
      <w:r>
        <w:rPr>
          <w:rFonts w:ascii="Garamond" w:hAnsi="Garamond"/>
          <w:sz w:val="24"/>
          <w:szCs w:val="24"/>
        </w:rPr>
        <w:t>, is it correct to say that Article 34 TFEU does not have horizontal direct effect? What are the arguments for and against giving horizontal direct effect to Article 34 TFEU?</w:t>
      </w:r>
    </w:p>
    <w:p w14:paraId="11A1DE99" w14:textId="13F71831" w:rsid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Schmodberger</w:t>
      </w:r>
      <w:proofErr w:type="spellEnd"/>
      <w:r>
        <w:rPr>
          <w:rFonts w:ascii="Garamond" w:hAnsi="Garamond"/>
          <w:sz w:val="24"/>
          <w:szCs w:val="24"/>
        </w:rPr>
        <w:t xml:space="preserve">: </w:t>
      </w:r>
      <w:r w:rsidRPr="00EA0042">
        <w:rPr>
          <w:rFonts w:ascii="Garamond" w:hAnsi="Garamond"/>
          <w:sz w:val="24"/>
          <w:szCs w:val="24"/>
        </w:rPr>
        <w:t>A restriction on the free movement of goods can be justified by legitimate interest in the protection of fundamental rights</w:t>
      </w:r>
    </w:p>
    <w:p w14:paraId="1F65D3E8" w14:textId="77777777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</w:p>
    <w:p w14:paraId="0B703413" w14:textId="562A7D59" w:rsidR="00A7398E" w:rsidRDefault="00E53C87" w:rsidP="00A7398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E23BF2">
        <w:rPr>
          <w:rFonts w:ascii="Garamond" w:hAnsi="Garamond"/>
          <w:sz w:val="24"/>
          <w:szCs w:val="24"/>
        </w:rPr>
        <w:t xml:space="preserve">What are the pros and cons of a broad definition of a measure having equivalent effect? </w:t>
      </w:r>
    </w:p>
    <w:p w14:paraId="70C9CE2C" w14:textId="4F8184A4" w:rsid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Cons, </w:t>
      </w:r>
    </w:p>
    <w:p w14:paraId="515FF31C" w14:textId="77777777" w:rsid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t>Legal Uncertainty:</w:t>
      </w:r>
    </w:p>
    <w:p w14:paraId="10F1DC48" w14:textId="0F9E9251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t>A broad definition may create uncertainty for businesses and governments, as almost any national measure could potentially fall under the MEQR umbrella. This makes it difficult to predict whether a law or regulation will be deemed compliant.</w:t>
      </w:r>
    </w:p>
    <w:p w14:paraId="299C7B2B" w14:textId="77777777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t>Limits National Regulatory Autonomy:</w:t>
      </w:r>
    </w:p>
    <w:p w14:paraId="732DDF42" w14:textId="77777777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</w:p>
    <w:p w14:paraId="41DAE17C" w14:textId="77777777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t>Member states may find it challenging to adopt legitimate domestic measures (e.g., public health, consumer protection, or environmental standards) without risking them being classified as MEQRs.</w:t>
      </w:r>
    </w:p>
    <w:p w14:paraId="0D94F136" w14:textId="05092B4A" w:rsid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t>For example, in Keck (Cases C-267/91 and C-268/91), the CJEU narrowed the scope of MEQRs for "selling arrangements," recognizing that excessive interference could unduly restrict member state autonomy.</w:t>
      </w:r>
    </w:p>
    <w:p w14:paraId="4A9849FB" w14:textId="2DC47822" w:rsid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sym w:font="Wingdings" w:char="F0E0"/>
      </w:r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EA0042">
        <w:rPr>
          <w:rFonts w:ascii="Garamond" w:hAnsi="Garamond"/>
          <w:sz w:val="24"/>
          <w:szCs w:val="24"/>
        </w:rPr>
        <w:t>Dassonville</w:t>
      </w:r>
      <w:proofErr w:type="spellEnd"/>
      <w:r w:rsidRPr="00EA0042">
        <w:rPr>
          <w:rFonts w:ascii="Garamond" w:hAnsi="Garamond"/>
          <w:sz w:val="24"/>
          <w:szCs w:val="24"/>
        </w:rPr>
        <w:t xml:space="preserve"> (Case 8/74)</w:t>
      </w:r>
    </w:p>
    <w:p w14:paraId="1C59E2C1" w14:textId="77777777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</w:p>
    <w:p w14:paraId="114E8083" w14:textId="67897668" w:rsidR="00DA4E56" w:rsidRDefault="002752AE" w:rsidP="00DA4E5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“Keck had much to offer, but not enough”. Discuss. </w:t>
      </w:r>
    </w:p>
    <w:p w14:paraId="46D2EE9E" w14:textId="53C5DEE3" w:rsidR="00EA0042" w:rsidRPr="00EA0042" w:rsidRDefault="00EA0042" w:rsidP="00EA0042">
      <w:pPr>
        <w:spacing w:after="0" w:line="276" w:lineRule="auto"/>
        <w:ind w:left="1080"/>
        <w:jc w:val="both"/>
        <w:rPr>
          <w:rFonts w:ascii="Garamond" w:hAnsi="Garamond"/>
          <w:sz w:val="24"/>
          <w:szCs w:val="24"/>
        </w:rPr>
      </w:pPr>
      <w:r w:rsidRPr="00EA0042">
        <w:rPr>
          <w:rFonts w:ascii="Garamond" w:hAnsi="Garamond"/>
          <w:sz w:val="24"/>
          <w:szCs w:val="24"/>
        </w:rPr>
        <w:sym w:font="Wingdings" w:char="F0E0"/>
      </w:r>
      <w:r>
        <w:rPr>
          <w:rFonts w:ascii="Garamond" w:hAnsi="Garamond"/>
          <w:sz w:val="24"/>
          <w:szCs w:val="24"/>
        </w:rPr>
        <w:t xml:space="preserve"> selling arrangement and product-related restrictions </w:t>
      </w:r>
    </w:p>
    <w:p w14:paraId="5BEF0E30" w14:textId="77777777" w:rsidR="002752AE" w:rsidRPr="002752AE" w:rsidRDefault="002752AE" w:rsidP="00A6755B">
      <w:pPr>
        <w:pStyle w:val="ListParagraph"/>
        <w:spacing w:after="0" w:line="276" w:lineRule="auto"/>
        <w:ind w:left="1440"/>
        <w:jc w:val="both"/>
        <w:rPr>
          <w:rFonts w:ascii="Garamond" w:hAnsi="Garamond"/>
          <w:b/>
          <w:sz w:val="24"/>
          <w:szCs w:val="24"/>
        </w:rPr>
      </w:pPr>
    </w:p>
    <w:p w14:paraId="0046C904" w14:textId="46C1AEA1" w:rsidR="00E53C87" w:rsidRPr="00330E68" w:rsidRDefault="00E53C87" w:rsidP="00330E6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Garamond" w:hAnsi="Garamond"/>
          <w:b/>
          <w:sz w:val="24"/>
          <w:szCs w:val="24"/>
        </w:rPr>
      </w:pPr>
      <w:r w:rsidRPr="00330E68">
        <w:rPr>
          <w:rFonts w:ascii="Garamond" w:hAnsi="Garamond"/>
          <w:b/>
          <w:sz w:val="24"/>
          <w:szCs w:val="24"/>
        </w:rPr>
        <w:t>Problem question (prepare for discussion)</w:t>
      </w:r>
    </w:p>
    <w:p w14:paraId="369A5FF1" w14:textId="77777777" w:rsidR="00E53C87" w:rsidRDefault="00E53C87" w:rsidP="00E53C87">
      <w:pPr>
        <w:spacing w:after="0" w:line="276" w:lineRule="auto"/>
        <w:jc w:val="both"/>
        <w:rPr>
          <w:rFonts w:ascii="Garamond" w:hAnsi="Garamond"/>
          <w:b/>
          <w:sz w:val="24"/>
          <w:szCs w:val="24"/>
        </w:rPr>
      </w:pPr>
    </w:p>
    <w:p w14:paraId="0BD886FF" w14:textId="77777777" w:rsidR="009727D6" w:rsidRDefault="009727D6" w:rsidP="009727D6">
      <w:pPr>
        <w:spacing w:after="0" w:line="276" w:lineRule="auto"/>
        <w:jc w:val="both"/>
        <w:rPr>
          <w:rFonts w:ascii="Garamond" w:hAnsi="Garamond"/>
          <w:bCs/>
          <w:sz w:val="24"/>
          <w:szCs w:val="24"/>
        </w:rPr>
      </w:pPr>
      <w:r w:rsidRPr="00FE094F">
        <w:rPr>
          <w:rFonts w:ascii="Garamond" w:hAnsi="Garamond"/>
          <w:bCs/>
          <w:sz w:val="24"/>
          <w:szCs w:val="24"/>
        </w:rPr>
        <w:t xml:space="preserve">Stefano is an Italian retailer. He imports olive oil and pasta from Germany. </w:t>
      </w:r>
    </w:p>
    <w:p w14:paraId="0CBF981E" w14:textId="77777777" w:rsidR="009727D6" w:rsidRPr="00FE094F" w:rsidRDefault="009727D6" w:rsidP="009727D6">
      <w:pPr>
        <w:spacing w:after="0" w:line="276" w:lineRule="auto"/>
        <w:jc w:val="both"/>
        <w:rPr>
          <w:rFonts w:ascii="Garamond" w:hAnsi="Garamond"/>
          <w:b/>
          <w:sz w:val="24"/>
          <w:szCs w:val="24"/>
        </w:rPr>
      </w:pPr>
    </w:p>
    <w:p w14:paraId="2D3B6235" w14:textId="77777777" w:rsidR="009727D6" w:rsidRPr="00140D1B" w:rsidRDefault="009727D6" w:rsidP="009727D6">
      <w:pPr>
        <w:pStyle w:val="BodyText"/>
        <w:widowControl/>
        <w:numPr>
          <w:ilvl w:val="1"/>
          <w:numId w:val="3"/>
        </w:numPr>
        <w:tabs>
          <w:tab w:val="num" w:pos="567"/>
        </w:tabs>
        <w:spacing w:line="276" w:lineRule="auto"/>
        <w:ind w:left="567" w:hanging="567"/>
        <w:rPr>
          <w:rFonts w:ascii="Garamond" w:hAnsi="Garamond"/>
          <w:bCs/>
        </w:rPr>
      </w:pPr>
      <w:r w:rsidRPr="00AA1636">
        <w:rPr>
          <w:rFonts w:ascii="Garamond" w:hAnsi="Garamond"/>
          <w:bCs/>
        </w:rPr>
        <w:t>Italian authorities seize the pasta and prosecute Stefano on the grounds that the pasta label does not comply with Italian law</w:t>
      </w:r>
      <w:r>
        <w:rPr>
          <w:rFonts w:ascii="Garamond" w:hAnsi="Garamond"/>
          <w:bCs/>
        </w:rPr>
        <w:t>,</w:t>
      </w:r>
      <w:r w:rsidRPr="00AA1636">
        <w:rPr>
          <w:rFonts w:ascii="Garamond" w:hAnsi="Garamond"/>
          <w:bCs/>
        </w:rPr>
        <w:t xml:space="preserve"> which requires </w:t>
      </w:r>
      <w:r w:rsidRPr="007C6F27">
        <w:rPr>
          <w:rFonts w:ascii="Garamond" w:hAnsi="Garamond"/>
          <w:bCs/>
          <w:color w:val="FF0000"/>
        </w:rPr>
        <w:t>that pasta which is not 100% durum wheat should bear a red label indicating</w:t>
      </w:r>
      <w:r w:rsidRPr="00140D1B">
        <w:rPr>
          <w:rFonts w:ascii="Garamond" w:hAnsi="Garamond"/>
          <w:bCs/>
        </w:rPr>
        <w:t xml:space="preserve"> the ingredients in Italian (</w:t>
      </w:r>
      <w:r w:rsidRPr="007C6F27">
        <w:rPr>
          <w:rFonts w:ascii="Garamond" w:hAnsi="Garamond"/>
          <w:bCs/>
          <w:color w:val="FF0000"/>
        </w:rPr>
        <w:t>whilst Stefano’s pasta bears a black label which indicates the ingredients in French</w:t>
      </w:r>
      <w:r w:rsidRPr="00140D1B">
        <w:rPr>
          <w:rFonts w:ascii="Garamond" w:hAnsi="Garamond"/>
          <w:bCs/>
        </w:rPr>
        <w:t xml:space="preserve">), and that Stefano’s pasta contains a dangerous type of flour which might produce violent allergic reactions. </w:t>
      </w:r>
    </w:p>
    <w:p w14:paraId="35B35904" w14:textId="77777777" w:rsidR="00140D1B" w:rsidRDefault="00140D1B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4786CB9B" w14:textId="6CB1AA9C" w:rsidR="00EA0042" w:rsidRDefault="00320691" w:rsidP="00320691">
      <w:pPr>
        <w:pStyle w:val="BodyText"/>
        <w:tabs>
          <w:tab w:val="num" w:pos="1440"/>
        </w:tabs>
        <w:spacing w:line="276" w:lineRule="auto"/>
        <w:rPr>
          <w:rFonts w:ascii="Garamond" w:hAnsi="Garamond"/>
          <w:bCs/>
        </w:rPr>
      </w:pPr>
      <w:r w:rsidRPr="00320691">
        <w:rPr>
          <w:rFonts w:ascii="Garamond" w:hAnsi="Garamond"/>
          <w:bCs/>
        </w:rPr>
        <w:t>The free movement provisions only apply to cases that have a</w:t>
      </w:r>
      <w:r>
        <w:rPr>
          <w:rFonts w:ascii="Garamond" w:hAnsi="Garamond"/>
          <w:bCs/>
        </w:rPr>
        <w:t xml:space="preserve"> </w:t>
      </w:r>
      <w:r w:rsidRPr="00320691">
        <w:rPr>
          <w:rFonts w:ascii="Garamond" w:hAnsi="Garamond"/>
          <w:bCs/>
        </w:rPr>
        <w:t>cross-border dimension – there must be movement between</w:t>
      </w:r>
      <w:r>
        <w:rPr>
          <w:rFonts w:ascii="Garamond" w:hAnsi="Garamond"/>
          <w:bCs/>
        </w:rPr>
        <w:t xml:space="preserve"> </w:t>
      </w:r>
      <w:r w:rsidRPr="00320691">
        <w:rPr>
          <w:rFonts w:ascii="Garamond" w:hAnsi="Garamond"/>
          <w:bCs/>
        </w:rPr>
        <w:t>Member States.</w:t>
      </w:r>
    </w:p>
    <w:p w14:paraId="35B41C67" w14:textId="77777777" w:rsidR="00320691" w:rsidRDefault="00320691" w:rsidP="007C6F27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4C3AD511" w14:textId="76EB233F" w:rsidR="00140D1B" w:rsidRDefault="00140D1B" w:rsidP="007C6F27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Article 34, </w:t>
      </w:r>
      <w:r w:rsidR="007C6F27">
        <w:rPr>
          <w:rFonts w:ascii="Garamond" w:hAnsi="Garamond"/>
          <w:bCs/>
        </w:rPr>
        <w:t xml:space="preserve">Vertical, and cross border case </w:t>
      </w:r>
    </w:p>
    <w:p w14:paraId="705DB20A" w14:textId="77777777" w:rsidR="00140D1B" w:rsidRDefault="00140D1B" w:rsidP="00140D1B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0ADCAAA6" w14:textId="3D5E0E53" w:rsidR="00140D1B" w:rsidRPr="007C6F27" w:rsidRDefault="00140D1B" w:rsidP="00140D1B">
      <w:pPr>
        <w:pStyle w:val="BodyText"/>
        <w:widowControl/>
        <w:spacing w:line="276" w:lineRule="auto"/>
        <w:rPr>
          <w:rFonts w:ascii="Garamond" w:hAnsi="Garamond"/>
        </w:rPr>
      </w:pPr>
      <w:r w:rsidRPr="007C6F27">
        <w:rPr>
          <w:rFonts w:ascii="Garamond" w:hAnsi="Garamond"/>
        </w:rPr>
        <w:t xml:space="preserve">Product requirement </w:t>
      </w:r>
      <w:r w:rsidRPr="007C6F27">
        <w:rPr>
          <w:rFonts w:ascii="Garamond" w:hAnsi="Garamond"/>
        </w:rPr>
        <w:sym w:font="Wingdings" w:char="F0E0"/>
      </w:r>
      <w:r w:rsidRPr="007C6F27">
        <w:rPr>
          <w:rFonts w:ascii="Garamond" w:hAnsi="Garamond"/>
        </w:rPr>
        <w:t xml:space="preserve"> labelling requirement </w:t>
      </w:r>
      <w:r w:rsidRPr="007C6F27">
        <w:rPr>
          <w:rFonts w:ascii="Garamond" w:hAnsi="Garamond"/>
        </w:rPr>
        <w:sym w:font="Wingdings" w:char="F0E0"/>
      </w:r>
      <w:r w:rsidRPr="007C6F27">
        <w:rPr>
          <w:rFonts w:ascii="Garamond" w:hAnsi="Garamond"/>
        </w:rPr>
        <w:t xml:space="preserve"> problem with the flour </w:t>
      </w:r>
      <w:r w:rsidRPr="007C6F27">
        <w:rPr>
          <w:rFonts w:ascii="Garamond" w:hAnsi="Garamond"/>
        </w:rPr>
        <w:sym w:font="Wingdings" w:char="F0E0"/>
      </w:r>
      <w:r w:rsidRPr="007C6F27">
        <w:rPr>
          <w:rFonts w:ascii="Garamond" w:hAnsi="Garamond"/>
        </w:rPr>
        <w:t xml:space="preserve"> </w:t>
      </w:r>
      <w:r w:rsidR="007C6F27">
        <w:rPr>
          <w:rFonts w:ascii="Garamond" w:hAnsi="Garamond"/>
        </w:rPr>
        <w:t xml:space="preserve">to change the language and </w:t>
      </w:r>
      <w:proofErr w:type="spellStart"/>
      <w:r w:rsidR="007C6F27">
        <w:rPr>
          <w:rFonts w:ascii="Garamond" w:hAnsi="Garamond"/>
        </w:rPr>
        <w:t>colour</w:t>
      </w:r>
      <w:proofErr w:type="spellEnd"/>
      <w:r w:rsidR="007C6F27">
        <w:rPr>
          <w:rFonts w:ascii="Garamond" w:hAnsi="Garamond"/>
        </w:rPr>
        <w:t xml:space="preserve"> </w:t>
      </w:r>
      <w:r w:rsidR="007C6F27" w:rsidRPr="007C6F27">
        <w:rPr>
          <w:rFonts w:ascii="Garamond" w:hAnsi="Garamond"/>
        </w:rPr>
        <w:sym w:font="Wingdings" w:char="F0E0"/>
      </w:r>
      <w:r w:rsidR="007C6F27">
        <w:rPr>
          <w:rFonts w:ascii="Garamond" w:hAnsi="Garamond"/>
        </w:rPr>
        <w:t xml:space="preserve"> </w:t>
      </w:r>
      <w:r w:rsidRPr="007C6F27">
        <w:rPr>
          <w:rFonts w:ascii="Garamond" w:hAnsi="Garamond"/>
        </w:rPr>
        <w:t xml:space="preserve">barrier of the free movement </w:t>
      </w:r>
    </w:p>
    <w:p w14:paraId="5242AA24" w14:textId="5386BD34" w:rsidR="00140D1B" w:rsidRDefault="00140D1B" w:rsidP="00EA0042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4A5FA740" w14:textId="6D05FFCC" w:rsidR="00140D1B" w:rsidRDefault="00140D1B" w:rsidP="00EA0042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Health requirements </w:t>
      </w:r>
      <w:r w:rsidRPr="00140D1B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change the flour </w:t>
      </w:r>
      <w:r w:rsidRPr="00140D1B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public health risk </w:t>
      </w:r>
    </w:p>
    <w:p w14:paraId="7DF24D71" w14:textId="6DDCF34C" w:rsidR="00140D1B" w:rsidRDefault="00140D1B" w:rsidP="00EA0042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Q: Is the requirement to change the flour = banning the product = suitable </w:t>
      </w:r>
    </w:p>
    <w:p w14:paraId="3915754C" w14:textId="77777777" w:rsidR="00140D1B" w:rsidRDefault="00140D1B" w:rsidP="00EA0042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73B6368C" w14:textId="77777777" w:rsidR="007C6F27" w:rsidRDefault="00140D1B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Proportionality </w:t>
      </w:r>
    </w:p>
    <w:p w14:paraId="1F412F51" w14:textId="49554AAE" w:rsidR="007C6F27" w:rsidRDefault="00140D1B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necessity </w:t>
      </w:r>
      <w:r w:rsidR="007C6F27">
        <w:rPr>
          <w:rFonts w:ascii="Garamond" w:hAnsi="Garamond"/>
          <w:bCs/>
        </w:rPr>
        <w:t xml:space="preserve">– less restrictive measures </w:t>
      </w:r>
    </w:p>
    <w:p w14:paraId="1F2AF040" w14:textId="572AC7D6" w:rsidR="00EA0042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banning the product, suitability – suitable to protect the public </w:t>
      </w:r>
    </w:p>
    <w:p w14:paraId="02F100C4" w14:textId="77777777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756B4256" w14:textId="336C7D1D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Consumer protection – protecting consumers – ensuring that consumers is not misled </w:t>
      </w:r>
    </w:p>
    <w:p w14:paraId="352CF25D" w14:textId="591D930D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not misled the consumer – suitability </w:t>
      </w: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change the label </w:t>
      </w: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not misleading </w:t>
      </w:r>
    </w:p>
    <w:p w14:paraId="1CA98B90" w14:textId="106FB032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the </w:t>
      </w:r>
      <w:proofErr w:type="spellStart"/>
      <w:r>
        <w:rPr>
          <w:rFonts w:ascii="Garamond" w:hAnsi="Garamond"/>
          <w:bCs/>
        </w:rPr>
        <w:t>colour</w:t>
      </w:r>
      <w:proofErr w:type="spellEnd"/>
      <w:r>
        <w:rPr>
          <w:rFonts w:ascii="Garamond" w:hAnsi="Garamond"/>
          <w:bCs/>
        </w:rPr>
        <w:t xml:space="preserve"> </w:t>
      </w:r>
    </w:p>
    <w:p w14:paraId="2EC8664E" w14:textId="77777777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Necessary </w:t>
      </w: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change to Italian and </w:t>
      </w:r>
      <w:proofErr w:type="spellStart"/>
      <w:r>
        <w:rPr>
          <w:rFonts w:ascii="Garamond" w:hAnsi="Garamond"/>
          <w:bCs/>
        </w:rPr>
        <w:t>colour</w:t>
      </w:r>
      <w:proofErr w:type="spellEnd"/>
      <w:r>
        <w:rPr>
          <w:rFonts w:ascii="Garamond" w:hAnsi="Garamond"/>
          <w:bCs/>
        </w:rPr>
        <w:t xml:space="preserve"> </w:t>
      </w: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language is necessary (understanding</w:t>
      </w:r>
      <w:proofErr w:type="gramStart"/>
      <w:r>
        <w:rPr>
          <w:rFonts w:ascii="Garamond" w:hAnsi="Garamond"/>
          <w:bCs/>
        </w:rPr>
        <w:t>? )</w:t>
      </w:r>
      <w:proofErr w:type="gramEnd"/>
    </w:p>
    <w:p w14:paraId="608D031A" w14:textId="50F82E0E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366/98: </w:t>
      </w:r>
      <w:proofErr w:type="spellStart"/>
      <w:r>
        <w:rPr>
          <w:rFonts w:ascii="Garamond" w:hAnsi="Garamond"/>
          <w:bCs/>
        </w:rPr>
        <w:t>Coka</w:t>
      </w:r>
      <w:proofErr w:type="spellEnd"/>
      <w:r>
        <w:rPr>
          <w:rFonts w:ascii="Garamond" w:hAnsi="Garamond"/>
          <w:bCs/>
        </w:rPr>
        <w:t xml:space="preserve"> cola </w:t>
      </w: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</w:t>
      </w:r>
      <w:proofErr w:type="spellStart"/>
      <w:r>
        <w:rPr>
          <w:rFonts w:ascii="Garamond" w:hAnsi="Garamond"/>
          <w:bCs/>
        </w:rPr>
        <w:t>wellknown</w:t>
      </w:r>
      <w:proofErr w:type="spellEnd"/>
      <w:r>
        <w:rPr>
          <w:rFonts w:ascii="Garamond" w:hAnsi="Garamond"/>
          <w:bCs/>
        </w:rPr>
        <w:t xml:space="preserve"> product, is okay to display in English </w:t>
      </w:r>
    </w:p>
    <w:p w14:paraId="105F7FA4" w14:textId="77777777" w:rsidR="007C6F27" w:rsidRDefault="007C6F27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1F004FA1" w14:textId="546A184E" w:rsidR="007C6F27" w:rsidRDefault="007C6F27" w:rsidP="007C6F27">
      <w:pPr>
        <w:pStyle w:val="BodyText"/>
        <w:widowControl/>
        <w:spacing w:line="276" w:lineRule="auto"/>
        <w:rPr>
          <w:rFonts w:ascii="Garamond" w:hAnsi="Garamond"/>
          <w:bCs/>
        </w:rPr>
      </w:pP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color may not be</w:t>
      </w:r>
    </w:p>
    <w:p w14:paraId="0B042BA3" w14:textId="77777777" w:rsidR="00140D1B" w:rsidRDefault="00140D1B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01F9FAEB" w14:textId="77777777" w:rsidR="00EA0042" w:rsidRPr="00AA1636" w:rsidRDefault="00EA0042" w:rsidP="00EA0042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4D4F9420" w14:textId="77777777" w:rsidR="00EA0042" w:rsidRDefault="00EA0042" w:rsidP="00EA0042">
      <w:pPr>
        <w:pStyle w:val="BodyText"/>
        <w:widowControl/>
        <w:numPr>
          <w:ilvl w:val="1"/>
          <w:numId w:val="3"/>
        </w:numPr>
        <w:tabs>
          <w:tab w:val="num" w:pos="567"/>
        </w:tabs>
        <w:spacing w:line="276" w:lineRule="auto"/>
        <w:ind w:left="567" w:hanging="567"/>
        <w:rPr>
          <w:rFonts w:ascii="Garamond" w:hAnsi="Garamond"/>
          <w:bCs/>
        </w:rPr>
      </w:pPr>
      <w:proofErr w:type="spellStart"/>
      <w:r w:rsidRPr="00AA1636">
        <w:rPr>
          <w:rFonts w:ascii="Garamond" w:hAnsi="Garamond"/>
          <w:bCs/>
        </w:rPr>
        <w:t>Pasten</w:t>
      </w:r>
      <w:proofErr w:type="spellEnd"/>
      <w:r w:rsidRPr="00AA1636">
        <w:rPr>
          <w:rFonts w:ascii="Garamond" w:hAnsi="Garamond"/>
          <w:bCs/>
        </w:rPr>
        <w:t>, the German producer</w:t>
      </w:r>
      <w:r>
        <w:rPr>
          <w:rFonts w:ascii="Garamond" w:hAnsi="Garamond"/>
          <w:bCs/>
        </w:rPr>
        <w:t xml:space="preserve"> of pasta,</w:t>
      </w:r>
      <w:r w:rsidRPr="00AA1636">
        <w:rPr>
          <w:rFonts w:ascii="Garamond" w:hAnsi="Garamond"/>
          <w:bCs/>
        </w:rPr>
        <w:t xml:space="preserve"> has launched a </w:t>
      </w:r>
      <w:r>
        <w:rPr>
          <w:rFonts w:ascii="Garamond" w:hAnsi="Garamond"/>
          <w:bCs/>
        </w:rPr>
        <w:t>European-</w:t>
      </w:r>
      <w:r w:rsidRPr="00AA1636">
        <w:rPr>
          <w:rFonts w:ascii="Garamond" w:hAnsi="Garamond"/>
          <w:bCs/>
        </w:rPr>
        <w:t>wide advertising campaign to promote its pasta. The advertisement shows a priest enjoying some spaghetti and the motto “</w:t>
      </w:r>
      <w:r w:rsidRPr="00140D1B">
        <w:rPr>
          <w:rFonts w:ascii="Garamond" w:hAnsi="Garamond"/>
          <w:bCs/>
          <w:color w:val="FF0000"/>
        </w:rPr>
        <w:t xml:space="preserve">Not all good pasta is Italian: </w:t>
      </w:r>
      <w:proofErr w:type="spellStart"/>
      <w:r w:rsidRPr="00140D1B">
        <w:rPr>
          <w:rFonts w:ascii="Garamond" w:hAnsi="Garamond"/>
          <w:bCs/>
          <w:color w:val="FF0000"/>
        </w:rPr>
        <w:t>Pasten</w:t>
      </w:r>
      <w:proofErr w:type="spellEnd"/>
      <w:r w:rsidRPr="00140D1B">
        <w:rPr>
          <w:rFonts w:ascii="Garamond" w:hAnsi="Garamond"/>
          <w:bCs/>
          <w:color w:val="FF0000"/>
        </w:rPr>
        <w:t>, the pasta for the true Aryan</w:t>
      </w:r>
      <w:r w:rsidRPr="00AA1636">
        <w:rPr>
          <w:rFonts w:ascii="Garamond" w:hAnsi="Garamond"/>
          <w:bCs/>
        </w:rPr>
        <w:t xml:space="preserve">”. </w:t>
      </w:r>
      <w:r>
        <w:rPr>
          <w:rFonts w:ascii="Garamond" w:hAnsi="Garamond"/>
          <w:bCs/>
        </w:rPr>
        <w:t>In</w:t>
      </w:r>
      <w:r w:rsidRPr="00AA1636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>Ireland,</w:t>
      </w:r>
      <w:r w:rsidRPr="00AA1636">
        <w:rPr>
          <w:rFonts w:ascii="Garamond" w:hAnsi="Garamond"/>
          <w:bCs/>
        </w:rPr>
        <w:t xml:space="preserve"> the </w:t>
      </w:r>
      <w:r w:rsidRPr="00140D1B">
        <w:rPr>
          <w:rFonts w:ascii="Garamond" w:hAnsi="Garamond"/>
          <w:bCs/>
          <w:color w:val="FF0000"/>
        </w:rPr>
        <w:t xml:space="preserve">advertisement campaign is banned </w:t>
      </w:r>
      <w:r w:rsidRPr="00AA1636">
        <w:rPr>
          <w:rFonts w:ascii="Garamond" w:hAnsi="Garamond"/>
          <w:bCs/>
        </w:rPr>
        <w:t xml:space="preserve">because it constitutes incitement to racial hatred.     </w:t>
      </w:r>
    </w:p>
    <w:p w14:paraId="294510E3" w14:textId="77777777" w:rsidR="00320691" w:rsidRDefault="00320691" w:rsidP="007C6F27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60258CED" w14:textId="449F2B18" w:rsidR="007C6F27" w:rsidRDefault="007C6F27" w:rsidP="007C6F27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Vertical, and cross border case </w:t>
      </w:r>
    </w:p>
    <w:p w14:paraId="29A9375F" w14:textId="77777777" w:rsidR="00140D1B" w:rsidRDefault="00140D1B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2F5E0693" w14:textId="77777777" w:rsidR="007C6F27" w:rsidRDefault="00140D1B" w:rsidP="00140D1B">
      <w:pPr>
        <w:pStyle w:val="BodyText"/>
        <w:widowControl/>
        <w:spacing w:line="276" w:lineRule="auto"/>
      </w:pPr>
      <w:r w:rsidRPr="00140D1B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</w:t>
      </w:r>
      <w:r>
        <w:t xml:space="preserve"> The Irish ban on </w:t>
      </w:r>
      <w:proofErr w:type="spellStart"/>
      <w:r>
        <w:t>Pasten’s</w:t>
      </w:r>
      <w:proofErr w:type="spellEnd"/>
      <w:r>
        <w:t xml:space="preserve"> advertisement may indirectly restrict the marketing of its products in Ireland, which could constitute an MEQR under Article 34.</w:t>
      </w:r>
      <w:r w:rsidR="007C6F27">
        <w:t xml:space="preserve"> </w:t>
      </w:r>
    </w:p>
    <w:p w14:paraId="46220011" w14:textId="44043D1B" w:rsidR="00140D1B" w:rsidRDefault="007C6F27" w:rsidP="00140D1B">
      <w:pPr>
        <w:pStyle w:val="BodyText"/>
        <w:widowControl/>
        <w:spacing w:line="276" w:lineRule="auto"/>
      </w:pPr>
      <w:r>
        <w:lastRenderedPageBreak/>
        <w:sym w:font="Wingdings" w:char="F0E0"/>
      </w:r>
      <w:r>
        <w:t xml:space="preserve"> selling arrangement </w:t>
      </w:r>
      <w:r>
        <w:sym w:font="Wingdings" w:char="F0E0"/>
      </w:r>
      <w:r>
        <w:t xml:space="preserve"> outside the scope of art 34</w:t>
      </w:r>
    </w:p>
    <w:p w14:paraId="336D03CC" w14:textId="77777777" w:rsidR="00320691" w:rsidRDefault="00320691" w:rsidP="00320691">
      <w:pPr>
        <w:pStyle w:val="BodyText"/>
        <w:spacing w:line="276" w:lineRule="auto"/>
      </w:pPr>
    </w:p>
    <w:p w14:paraId="4628448D" w14:textId="3750D7A1" w:rsidR="00320691" w:rsidRDefault="00320691" w:rsidP="00320691">
      <w:pPr>
        <w:pStyle w:val="BodyText"/>
        <w:spacing w:line="276" w:lineRule="auto"/>
      </w:pPr>
      <w:proofErr w:type="gramStart"/>
      <w:r>
        <w:t>In order to</w:t>
      </w:r>
      <w:proofErr w:type="gramEnd"/>
      <w:r>
        <w:t xml:space="preserve"> fall outside the scope of Article 34 TFEU, selling arrangements</w:t>
      </w:r>
    </w:p>
    <w:p w14:paraId="11DAB249" w14:textId="77777777" w:rsidR="00320691" w:rsidRDefault="00320691" w:rsidP="00320691">
      <w:pPr>
        <w:pStyle w:val="BodyText"/>
        <w:spacing w:line="276" w:lineRule="auto"/>
      </w:pPr>
      <w:proofErr w:type="gramStart"/>
      <w:r>
        <w:t>have to</w:t>
      </w:r>
      <w:proofErr w:type="gramEnd"/>
      <w:r>
        <w:t xml:space="preserve"> comply with two conditions (the Keck provisos)</w:t>
      </w:r>
    </w:p>
    <w:p w14:paraId="0DF664ED" w14:textId="77777777" w:rsidR="00320691" w:rsidRDefault="00320691" w:rsidP="00320691">
      <w:pPr>
        <w:pStyle w:val="BodyText"/>
        <w:spacing w:line="276" w:lineRule="auto"/>
      </w:pPr>
      <w:r>
        <w:t xml:space="preserve">a. They </w:t>
      </w:r>
      <w:proofErr w:type="gramStart"/>
      <w:r>
        <w:t>have to</w:t>
      </w:r>
      <w:proofErr w:type="gramEnd"/>
      <w:r>
        <w:t xml:space="preserve"> apply to all relevant traders</w:t>
      </w:r>
    </w:p>
    <w:p w14:paraId="408A99BC" w14:textId="77777777" w:rsidR="00320691" w:rsidRDefault="00320691" w:rsidP="00320691">
      <w:pPr>
        <w:pStyle w:val="BodyText"/>
        <w:spacing w:line="276" w:lineRule="auto"/>
      </w:pPr>
      <w:r>
        <w:t>b. They do not discriminate – directly or indirectly – against imported</w:t>
      </w:r>
    </w:p>
    <w:p w14:paraId="5A577C72" w14:textId="20389FA2" w:rsidR="00320691" w:rsidRDefault="00320691" w:rsidP="00320691">
      <w:pPr>
        <w:pStyle w:val="BodyText"/>
        <w:widowControl/>
        <w:spacing w:line="276" w:lineRule="auto"/>
      </w:pPr>
      <w:r>
        <w:t>products</w:t>
      </w:r>
    </w:p>
    <w:p w14:paraId="228D5F52" w14:textId="21695DDA" w:rsidR="00140D1B" w:rsidRDefault="00140D1B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2B245ADC" w14:textId="52AFFD8F" w:rsidR="00320691" w:rsidRDefault="00320691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Advertising have </w:t>
      </w:r>
      <w:proofErr w:type="gramStart"/>
      <w:r>
        <w:rPr>
          <w:rFonts w:ascii="Garamond" w:hAnsi="Garamond"/>
          <w:bCs/>
        </w:rPr>
        <w:t>differentiate</w:t>
      </w:r>
      <w:proofErr w:type="gramEnd"/>
      <w:r>
        <w:rPr>
          <w:rFonts w:ascii="Garamond" w:hAnsi="Garamond"/>
          <w:bCs/>
        </w:rPr>
        <w:t xml:space="preserve"> impact </w:t>
      </w:r>
    </w:p>
    <w:p w14:paraId="3F3D3023" w14:textId="7346FBD8" w:rsidR="00320691" w:rsidRDefault="00320691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Ban on advertising, here just ban the language that is considered offending </w:t>
      </w:r>
    </w:p>
    <w:p w14:paraId="63DC40CD" w14:textId="77777777" w:rsidR="00320691" w:rsidRDefault="00320691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61A07F45" w14:textId="7B486E47" w:rsidR="00320691" w:rsidRPr="00AA1636" w:rsidRDefault="00320691" w:rsidP="00140D1B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If Ban on the use of certain words, is the language or words is essential to the consumers about the product </w:t>
      </w:r>
    </w:p>
    <w:p w14:paraId="00F27768" w14:textId="77777777" w:rsidR="00EA0042" w:rsidRDefault="00EA0042" w:rsidP="00EA0042">
      <w:pPr>
        <w:pStyle w:val="BodyText"/>
        <w:spacing w:line="276" w:lineRule="auto"/>
        <w:rPr>
          <w:rFonts w:ascii="Garamond" w:hAnsi="Garamond"/>
          <w:bCs/>
        </w:rPr>
      </w:pPr>
    </w:p>
    <w:p w14:paraId="7BFF8F3B" w14:textId="2B59E263" w:rsidR="00320691" w:rsidRDefault="00320691" w:rsidP="00EA0042">
      <w:pPr>
        <w:pStyle w:val="BodyText"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Specific words go to the product </w:t>
      </w:r>
      <w:r w:rsidRPr="00320691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will go to the producer </w:t>
      </w:r>
      <w:r w:rsidRPr="00320691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no differential impact on foreign producer </w:t>
      </w:r>
      <w:r w:rsidRPr="00320691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no applicable on art 34</w:t>
      </w:r>
    </w:p>
    <w:p w14:paraId="713E65C9" w14:textId="77777777" w:rsidR="00320691" w:rsidRDefault="00320691" w:rsidP="00EA0042">
      <w:pPr>
        <w:pStyle w:val="BodyText"/>
        <w:spacing w:line="276" w:lineRule="auto"/>
        <w:rPr>
          <w:rFonts w:ascii="Garamond" w:hAnsi="Garamond"/>
          <w:bCs/>
        </w:rPr>
      </w:pPr>
    </w:p>
    <w:p w14:paraId="348C1C07" w14:textId="30493778" w:rsidR="00320691" w:rsidRDefault="00320691" w:rsidP="00EA0042">
      <w:pPr>
        <w:pStyle w:val="BodyText"/>
        <w:spacing w:line="276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Not sure then check necessity and proportionality </w:t>
      </w:r>
    </w:p>
    <w:p w14:paraId="5439F293" w14:textId="77777777" w:rsidR="00320691" w:rsidRPr="00AA1636" w:rsidRDefault="00320691" w:rsidP="00EA0042">
      <w:pPr>
        <w:pStyle w:val="BodyText"/>
        <w:spacing w:line="276" w:lineRule="auto"/>
        <w:rPr>
          <w:rFonts w:ascii="Garamond" w:hAnsi="Garamond"/>
          <w:bCs/>
        </w:rPr>
      </w:pPr>
    </w:p>
    <w:p w14:paraId="70DB73D8" w14:textId="77777777" w:rsidR="00EA0042" w:rsidRDefault="00EA0042" w:rsidP="00EA0042">
      <w:pPr>
        <w:pStyle w:val="BodyText"/>
        <w:widowControl/>
        <w:numPr>
          <w:ilvl w:val="1"/>
          <w:numId w:val="3"/>
        </w:numPr>
        <w:tabs>
          <w:tab w:val="num" w:pos="567"/>
        </w:tabs>
        <w:spacing w:line="276" w:lineRule="auto"/>
        <w:ind w:left="567" w:hanging="567"/>
        <w:rPr>
          <w:rFonts w:ascii="Garamond" w:hAnsi="Garamond"/>
          <w:bCs/>
        </w:rPr>
      </w:pPr>
      <w:r w:rsidRPr="00AA1636">
        <w:rPr>
          <w:rFonts w:ascii="Garamond" w:hAnsi="Garamond"/>
          <w:bCs/>
        </w:rPr>
        <w:t xml:space="preserve">The group “United against Racism” together with local catholic groups </w:t>
      </w:r>
      <w:proofErr w:type="spellStart"/>
      <w:r w:rsidRPr="00AA1636">
        <w:rPr>
          <w:rFonts w:ascii="Garamond" w:hAnsi="Garamond"/>
          <w:bCs/>
        </w:rPr>
        <w:t>organises</w:t>
      </w:r>
      <w:proofErr w:type="spellEnd"/>
      <w:r w:rsidRPr="00AA1636">
        <w:rPr>
          <w:rFonts w:ascii="Garamond" w:hAnsi="Garamond"/>
          <w:bCs/>
        </w:rPr>
        <w:t xml:space="preserve"> a demonstratio</w:t>
      </w:r>
      <w:r>
        <w:rPr>
          <w:rFonts w:ascii="Garamond" w:hAnsi="Garamond"/>
          <w:bCs/>
        </w:rPr>
        <w:t>n picketing Stefano’s warehouse.</w:t>
      </w:r>
      <w:r w:rsidRPr="00AA1636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>A</w:t>
      </w:r>
      <w:r w:rsidRPr="00AA1636">
        <w:rPr>
          <w:rFonts w:ascii="Garamond" w:hAnsi="Garamond"/>
          <w:bCs/>
        </w:rPr>
        <w:t>s a result</w:t>
      </w:r>
      <w:r>
        <w:rPr>
          <w:rFonts w:ascii="Garamond" w:hAnsi="Garamond"/>
          <w:bCs/>
        </w:rPr>
        <w:t>,</w:t>
      </w:r>
      <w:r w:rsidRPr="00AA1636">
        <w:rPr>
          <w:rFonts w:ascii="Garamond" w:hAnsi="Garamond"/>
          <w:bCs/>
        </w:rPr>
        <w:t xml:space="preserve"> Stefano is unable to distribute his products and loses several contracts.</w:t>
      </w:r>
    </w:p>
    <w:p w14:paraId="198D14E3" w14:textId="77777777" w:rsidR="007C6F27" w:rsidRDefault="007C6F27" w:rsidP="007C6F27">
      <w:pPr>
        <w:pStyle w:val="BodyText"/>
        <w:widowControl/>
        <w:tabs>
          <w:tab w:val="num" w:pos="1440"/>
        </w:tabs>
        <w:spacing w:line="276" w:lineRule="auto"/>
        <w:rPr>
          <w:rFonts w:ascii="Garamond" w:hAnsi="Garamond"/>
          <w:bCs/>
        </w:rPr>
      </w:pPr>
    </w:p>
    <w:p w14:paraId="36B98856" w14:textId="77777777" w:rsidR="007C6F27" w:rsidRPr="007C6F27" w:rsidRDefault="007C6F27" w:rsidP="007C6F27">
      <w:pPr>
        <w:pStyle w:val="NormalWeb"/>
      </w:pPr>
      <w:r w:rsidRPr="007C6F27">
        <w:rPr>
          <w:rFonts w:ascii="Garamond" w:hAnsi="Garamond"/>
          <w:bCs/>
        </w:rPr>
        <w:sym w:font="Wingdings" w:char="F0E0"/>
      </w:r>
      <w:r>
        <w:rPr>
          <w:rFonts w:ascii="Garamond" w:hAnsi="Garamond"/>
          <w:bCs/>
        </w:rPr>
        <w:t xml:space="preserve"> </w:t>
      </w:r>
      <w:r w:rsidRPr="007C6F27">
        <w:rPr>
          <w:b/>
          <w:bCs/>
        </w:rPr>
        <w:t>Private Actions and Free Movement (Article 34 TFEU)</w:t>
      </w:r>
    </w:p>
    <w:p w14:paraId="06B02DDA" w14:textId="77777777" w:rsidR="007C6F27" w:rsidRPr="007C6F27" w:rsidRDefault="007C6F27" w:rsidP="007C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HK" w:eastAsia="zh-CN"/>
        </w:rPr>
      </w:pPr>
      <w:r w:rsidRPr="007C6F27">
        <w:rPr>
          <w:rFonts w:ascii="Times New Roman" w:eastAsia="Times New Roman" w:hAnsi="Times New Roman" w:cs="Times New Roman"/>
          <w:sz w:val="24"/>
          <w:szCs w:val="24"/>
          <w:lang w:val="en-HK" w:eastAsia="zh-CN"/>
        </w:rPr>
        <w:t xml:space="preserve">While Article 34 primarily addresses restrictions by </w:t>
      </w:r>
      <w:r w:rsidRPr="007C6F27">
        <w:rPr>
          <w:rFonts w:ascii="Times New Roman" w:eastAsia="Times New Roman" w:hAnsi="Times New Roman" w:cs="Times New Roman"/>
          <w:b/>
          <w:bCs/>
          <w:sz w:val="24"/>
          <w:szCs w:val="24"/>
          <w:lang w:val="en-HK" w:eastAsia="zh-CN"/>
        </w:rPr>
        <w:t>Member States</w:t>
      </w:r>
      <w:r w:rsidRPr="007C6F27">
        <w:rPr>
          <w:rFonts w:ascii="Times New Roman" w:eastAsia="Times New Roman" w:hAnsi="Times New Roman" w:cs="Times New Roman"/>
          <w:sz w:val="24"/>
          <w:szCs w:val="24"/>
          <w:lang w:val="en-HK" w:eastAsia="zh-CN"/>
        </w:rPr>
        <w:t xml:space="preserve">, the CJEU in </w:t>
      </w:r>
      <w:r w:rsidRPr="007C6F27">
        <w:rPr>
          <w:rFonts w:ascii="Times New Roman" w:eastAsia="Times New Roman" w:hAnsi="Times New Roman" w:cs="Times New Roman"/>
          <w:b/>
          <w:bCs/>
          <w:sz w:val="24"/>
          <w:szCs w:val="24"/>
          <w:lang w:val="en-HK" w:eastAsia="zh-CN"/>
        </w:rPr>
        <w:t>Commission v France (C-265/95)</w:t>
      </w:r>
      <w:r w:rsidRPr="007C6F27">
        <w:rPr>
          <w:rFonts w:ascii="Times New Roman" w:eastAsia="Times New Roman" w:hAnsi="Times New Roman" w:cs="Times New Roman"/>
          <w:sz w:val="24"/>
          <w:szCs w:val="24"/>
          <w:lang w:val="en-HK" w:eastAsia="zh-CN"/>
        </w:rPr>
        <w:t xml:space="preserve"> established that Member States must take </w:t>
      </w:r>
      <w:r w:rsidRPr="007C6F27">
        <w:rPr>
          <w:rFonts w:ascii="Times New Roman" w:eastAsia="Times New Roman" w:hAnsi="Times New Roman" w:cs="Times New Roman"/>
          <w:b/>
          <w:bCs/>
          <w:sz w:val="24"/>
          <w:szCs w:val="24"/>
          <w:lang w:val="en-HK" w:eastAsia="zh-CN"/>
        </w:rPr>
        <w:t>all necessary and appropriate measures</w:t>
      </w:r>
      <w:r w:rsidRPr="007C6F27">
        <w:rPr>
          <w:rFonts w:ascii="Times New Roman" w:eastAsia="Times New Roman" w:hAnsi="Times New Roman" w:cs="Times New Roman"/>
          <w:sz w:val="24"/>
          <w:szCs w:val="24"/>
          <w:lang w:val="en-HK" w:eastAsia="zh-CN"/>
        </w:rPr>
        <w:t xml:space="preserve"> to ensure the free movement of goods is not obstructed by private parties.</w:t>
      </w:r>
    </w:p>
    <w:p w14:paraId="1DF76B64" w14:textId="4E31860F" w:rsidR="00EA0042" w:rsidRPr="00AA1636" w:rsidRDefault="00EA0042" w:rsidP="008E7F90">
      <w:pPr>
        <w:pStyle w:val="BodyText"/>
        <w:widowControl/>
        <w:spacing w:line="276" w:lineRule="auto"/>
        <w:rPr>
          <w:rFonts w:ascii="Garamond" w:hAnsi="Garamond"/>
          <w:bCs/>
        </w:rPr>
      </w:pPr>
    </w:p>
    <w:p w14:paraId="5A3364A4" w14:textId="77777777" w:rsidR="009727D6" w:rsidRPr="00AA1636" w:rsidRDefault="009727D6" w:rsidP="009727D6">
      <w:pPr>
        <w:pStyle w:val="BodyText"/>
        <w:widowControl/>
        <w:spacing w:line="276" w:lineRule="auto"/>
        <w:rPr>
          <w:rFonts w:ascii="Garamond" w:hAnsi="Garamond"/>
          <w:bCs/>
        </w:rPr>
      </w:pPr>
      <w:r w:rsidRPr="00AA1636">
        <w:rPr>
          <w:rFonts w:ascii="Garamond" w:hAnsi="Garamond"/>
          <w:bCs/>
        </w:rPr>
        <w:t xml:space="preserve"> </w:t>
      </w:r>
    </w:p>
    <w:p w14:paraId="39317E8B" w14:textId="77777777" w:rsidR="009727D6" w:rsidRPr="00AA1636" w:rsidRDefault="009727D6" w:rsidP="008E7F90">
      <w:pPr>
        <w:pStyle w:val="BodyText"/>
        <w:spacing w:line="276" w:lineRule="auto"/>
        <w:rPr>
          <w:rFonts w:ascii="Garamond" w:hAnsi="Garamond"/>
          <w:bCs/>
        </w:rPr>
      </w:pPr>
    </w:p>
    <w:p w14:paraId="3AD06700" w14:textId="77777777" w:rsidR="009727D6" w:rsidRPr="009727D6" w:rsidRDefault="009727D6" w:rsidP="009727D6">
      <w:pPr>
        <w:pStyle w:val="BodyText"/>
        <w:spacing w:line="276" w:lineRule="auto"/>
        <w:rPr>
          <w:rFonts w:ascii="Garamond" w:hAnsi="Garamond"/>
          <w:b/>
          <w:bCs/>
          <w:iCs/>
        </w:rPr>
      </w:pPr>
      <w:r w:rsidRPr="009727D6">
        <w:rPr>
          <w:rFonts w:ascii="Garamond" w:hAnsi="Garamond"/>
          <w:b/>
          <w:bCs/>
          <w:iCs/>
        </w:rPr>
        <w:t xml:space="preserve">Advise Stefano and </w:t>
      </w:r>
      <w:proofErr w:type="spellStart"/>
      <w:r w:rsidRPr="009727D6">
        <w:rPr>
          <w:rFonts w:ascii="Garamond" w:hAnsi="Garamond"/>
          <w:b/>
          <w:bCs/>
          <w:iCs/>
        </w:rPr>
        <w:t>Pasten</w:t>
      </w:r>
      <w:proofErr w:type="spellEnd"/>
      <w:r w:rsidRPr="009727D6">
        <w:rPr>
          <w:rFonts w:ascii="Garamond" w:hAnsi="Garamond"/>
          <w:b/>
          <w:bCs/>
          <w:iCs/>
        </w:rPr>
        <w:t xml:space="preserve"> as to their rights under Union law. </w:t>
      </w:r>
    </w:p>
    <w:p w14:paraId="75AC760F" w14:textId="77777777" w:rsidR="009727D6" w:rsidRPr="009727D6" w:rsidRDefault="009727D6" w:rsidP="009727D6">
      <w:pPr>
        <w:pStyle w:val="BodyText"/>
        <w:spacing w:line="276" w:lineRule="auto"/>
        <w:rPr>
          <w:rFonts w:ascii="Garamond" w:hAnsi="Garamond"/>
          <w:b/>
          <w:bCs/>
        </w:rPr>
      </w:pPr>
    </w:p>
    <w:sectPr w:rsidR="009727D6" w:rsidRPr="00972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81097"/>
    <w:multiLevelType w:val="hybridMultilevel"/>
    <w:tmpl w:val="F3B85A6E"/>
    <w:lvl w:ilvl="0" w:tplc="444A5F36">
      <w:start w:val="1"/>
      <w:numFmt w:val="lowerRoman"/>
      <w:lvlText w:val="(%1)"/>
      <w:lvlJc w:val="left"/>
      <w:pPr>
        <w:ind w:left="1080" w:hanging="72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D6721"/>
    <w:multiLevelType w:val="hybridMultilevel"/>
    <w:tmpl w:val="C922AF0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6C921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C163A3"/>
    <w:multiLevelType w:val="hybridMultilevel"/>
    <w:tmpl w:val="3CA02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55A65"/>
    <w:multiLevelType w:val="multilevel"/>
    <w:tmpl w:val="2F0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E4EEE"/>
    <w:multiLevelType w:val="hybridMultilevel"/>
    <w:tmpl w:val="9FD07B68"/>
    <w:lvl w:ilvl="0" w:tplc="A8428A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30BFE"/>
    <w:multiLevelType w:val="hybridMultilevel"/>
    <w:tmpl w:val="F8DA631A"/>
    <w:lvl w:ilvl="0" w:tplc="CA304950">
      <w:start w:val="3"/>
      <w:numFmt w:val="bullet"/>
      <w:lvlText w:val="-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8878143">
    <w:abstractNumId w:val="5"/>
  </w:num>
  <w:num w:numId="2" w16cid:durableId="545146519">
    <w:abstractNumId w:val="4"/>
  </w:num>
  <w:num w:numId="3" w16cid:durableId="8126772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1617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7238579">
    <w:abstractNumId w:val="2"/>
  </w:num>
  <w:num w:numId="6" w16cid:durableId="507058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87"/>
    <w:rsid w:val="00040899"/>
    <w:rsid w:val="00085417"/>
    <w:rsid w:val="00101194"/>
    <w:rsid w:val="00140D1B"/>
    <w:rsid w:val="001542EF"/>
    <w:rsid w:val="001F00AD"/>
    <w:rsid w:val="00213EA8"/>
    <w:rsid w:val="002752AE"/>
    <w:rsid w:val="00284E02"/>
    <w:rsid w:val="002D4F2C"/>
    <w:rsid w:val="00300EEC"/>
    <w:rsid w:val="00300FD7"/>
    <w:rsid w:val="00320691"/>
    <w:rsid w:val="00330E68"/>
    <w:rsid w:val="0035047F"/>
    <w:rsid w:val="00353BDF"/>
    <w:rsid w:val="00400A3B"/>
    <w:rsid w:val="004351B3"/>
    <w:rsid w:val="00474094"/>
    <w:rsid w:val="00485AF9"/>
    <w:rsid w:val="005254E0"/>
    <w:rsid w:val="005A2D9B"/>
    <w:rsid w:val="005D5CDD"/>
    <w:rsid w:val="0062197D"/>
    <w:rsid w:val="006368E8"/>
    <w:rsid w:val="00670943"/>
    <w:rsid w:val="006A1BA9"/>
    <w:rsid w:val="007967F0"/>
    <w:rsid w:val="007C3122"/>
    <w:rsid w:val="007C6F27"/>
    <w:rsid w:val="00840CFD"/>
    <w:rsid w:val="008B3449"/>
    <w:rsid w:val="008E7F90"/>
    <w:rsid w:val="00924545"/>
    <w:rsid w:val="009256CA"/>
    <w:rsid w:val="0094007B"/>
    <w:rsid w:val="009727D6"/>
    <w:rsid w:val="009749D7"/>
    <w:rsid w:val="00982C50"/>
    <w:rsid w:val="009966A0"/>
    <w:rsid w:val="009A33A9"/>
    <w:rsid w:val="00A07157"/>
    <w:rsid w:val="00A31B51"/>
    <w:rsid w:val="00A34620"/>
    <w:rsid w:val="00A355F7"/>
    <w:rsid w:val="00A6755B"/>
    <w:rsid w:val="00A7398E"/>
    <w:rsid w:val="00A91446"/>
    <w:rsid w:val="00AA31A5"/>
    <w:rsid w:val="00AC5F9E"/>
    <w:rsid w:val="00B064AF"/>
    <w:rsid w:val="00B71AA7"/>
    <w:rsid w:val="00B8371E"/>
    <w:rsid w:val="00B95F45"/>
    <w:rsid w:val="00BE7831"/>
    <w:rsid w:val="00C458AE"/>
    <w:rsid w:val="00C96475"/>
    <w:rsid w:val="00D76216"/>
    <w:rsid w:val="00DA4E56"/>
    <w:rsid w:val="00DC0040"/>
    <w:rsid w:val="00E046FB"/>
    <w:rsid w:val="00E05375"/>
    <w:rsid w:val="00E53C87"/>
    <w:rsid w:val="00EA0042"/>
    <w:rsid w:val="00EA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806B"/>
  <w15:docId w15:val="{92CBC55D-46D6-4C51-B370-8E3D11F8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C87"/>
    <w:pPr>
      <w:spacing w:after="160" w:line="259" w:lineRule="auto"/>
    </w:pPr>
  </w:style>
  <w:style w:type="paragraph" w:styleId="Heading2">
    <w:name w:val="heading 2"/>
    <w:basedOn w:val="Normal"/>
    <w:next w:val="Normal"/>
    <w:link w:val="Heading2Char"/>
    <w:qFormat/>
    <w:rsid w:val="00E53C8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53C87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53C87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E53C87"/>
    <w:pPr>
      <w:widowControl w:val="0"/>
      <w:snapToGrid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E53C87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8B34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4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312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A00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6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Durham University</Company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LEEUWEN, BAREND J.</dc:creator>
  <cp:lastModifiedBy>TSANG, AGNES H.L. (Student)</cp:lastModifiedBy>
  <cp:revision>6</cp:revision>
  <dcterms:created xsi:type="dcterms:W3CDTF">2024-11-01T13:45:00Z</dcterms:created>
  <dcterms:modified xsi:type="dcterms:W3CDTF">2025-03-28T12:43:00Z</dcterms:modified>
</cp:coreProperties>
</file>