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BCE9D" w14:textId="77777777" w:rsidR="0051144E" w:rsidRPr="001875CF" w:rsidRDefault="0051144E" w:rsidP="001875CF">
      <w:pPr>
        <w:pStyle w:val="NormalWeb"/>
        <w:spacing w:before="0" w:beforeAutospacing="0" w:after="240" w:afterAutospacing="0" w:line="276" w:lineRule="auto"/>
      </w:pPr>
      <w:r w:rsidRPr="001875CF">
        <w:rPr>
          <w:rFonts w:ascii="Garamond" w:hAnsi="Garamond"/>
          <w:b/>
          <w:bCs/>
        </w:rPr>
        <w:t xml:space="preserve">Questions </w:t>
      </w:r>
    </w:p>
    <w:p w14:paraId="62E21202" w14:textId="77777777" w:rsidR="0051144E" w:rsidRPr="001875CF" w:rsidRDefault="0051144E" w:rsidP="001875CF">
      <w:pPr>
        <w:pStyle w:val="NormalWeb"/>
        <w:numPr>
          <w:ilvl w:val="0"/>
          <w:numId w:val="1"/>
        </w:numPr>
        <w:spacing w:before="0" w:beforeAutospacing="0" w:after="240" w:afterAutospacing="0" w:line="276" w:lineRule="auto"/>
        <w:rPr>
          <w:rFonts w:ascii="SymbolMT" w:hAnsi="SymbolMT"/>
        </w:rPr>
      </w:pPr>
      <w:r w:rsidRPr="001875CF">
        <w:rPr>
          <w:rFonts w:ascii="Garamond" w:hAnsi="Garamond"/>
        </w:rPr>
        <w:t xml:space="preserve">Discuss the Court’s reasoning in Collins, as applied to work seekers. </w:t>
      </w:r>
    </w:p>
    <w:p w14:paraId="535E729D" w14:textId="77777777" w:rsidR="0051144E" w:rsidRPr="001875CF" w:rsidRDefault="0051144E" w:rsidP="001875CF">
      <w:pPr>
        <w:spacing w:before="100" w:beforeAutospacing="1" w:after="100" w:afterAutospacing="1" w:line="276" w:lineRule="auto"/>
      </w:pPr>
      <w:r w:rsidRPr="001875CF">
        <w:t xml:space="preserve">The Court’s reasoning in </w:t>
      </w:r>
      <w:r w:rsidRPr="001875CF">
        <w:rPr>
          <w:i/>
          <w:iCs/>
        </w:rPr>
        <w:t>Collins</w:t>
      </w:r>
      <w:r w:rsidRPr="001875CF">
        <w:t xml:space="preserve"> (Case C-138/02) as applied to work seekers is a critical element of the jurisprudence on free movement of workers, particularly in defining the extent to which job seekers can claim social benefits in a host Member State. The ruling clarifies that while job seekers fall within the scope of Article 45 TFEU, their rights differ from those of workers, particularly in relation to access to social assistance. This discussion will examine the Court’s reasoning in </w:t>
      </w:r>
      <w:r w:rsidRPr="001875CF">
        <w:rPr>
          <w:i/>
          <w:iCs/>
        </w:rPr>
        <w:t>Collins</w:t>
      </w:r>
      <w:r w:rsidRPr="001875CF">
        <w:t>, as framed by the EU’s legal framework, relevant case law, and the scholarly analysis provided in the uploaded documents.</w:t>
      </w:r>
    </w:p>
    <w:p w14:paraId="695FC52D" w14:textId="77777777" w:rsidR="0051144E" w:rsidRPr="001875CF" w:rsidRDefault="0051144E" w:rsidP="001875CF">
      <w:pPr>
        <w:spacing w:before="100" w:beforeAutospacing="1" w:after="100" w:afterAutospacing="1" w:line="276" w:lineRule="auto"/>
        <w:outlineLvl w:val="2"/>
        <w:rPr>
          <w:b/>
          <w:bCs/>
        </w:rPr>
      </w:pPr>
      <w:r w:rsidRPr="001875CF">
        <w:rPr>
          <w:b/>
          <w:bCs/>
        </w:rPr>
        <w:t>1. The Legal Framework: Free Movement of Workers and Job Seekers</w:t>
      </w:r>
    </w:p>
    <w:p w14:paraId="1A1C4EE1" w14:textId="77777777" w:rsidR="0051144E" w:rsidRPr="001875CF" w:rsidRDefault="0051144E" w:rsidP="001875CF">
      <w:pPr>
        <w:spacing w:before="100" w:beforeAutospacing="1" w:after="100" w:afterAutospacing="1" w:line="276" w:lineRule="auto"/>
      </w:pPr>
      <w:r w:rsidRPr="001875CF">
        <w:t>Article 45 TFEU enshrines the principle of free movement of workers, guaranteeing:</w:t>
      </w:r>
    </w:p>
    <w:p w14:paraId="4B0AC70F" w14:textId="77777777" w:rsidR="0051144E" w:rsidRPr="001875CF" w:rsidRDefault="0051144E" w:rsidP="001875CF">
      <w:pPr>
        <w:numPr>
          <w:ilvl w:val="0"/>
          <w:numId w:val="2"/>
        </w:numPr>
        <w:spacing w:before="100" w:beforeAutospacing="1" w:after="100" w:afterAutospacing="1" w:line="276" w:lineRule="auto"/>
      </w:pPr>
      <w:r w:rsidRPr="001875CF">
        <w:t>The right to accept employment in any Member State.</w:t>
      </w:r>
    </w:p>
    <w:p w14:paraId="77836290" w14:textId="77777777" w:rsidR="0051144E" w:rsidRPr="001875CF" w:rsidRDefault="0051144E" w:rsidP="001875CF">
      <w:pPr>
        <w:numPr>
          <w:ilvl w:val="0"/>
          <w:numId w:val="2"/>
        </w:numPr>
        <w:spacing w:before="100" w:beforeAutospacing="1" w:after="100" w:afterAutospacing="1" w:line="276" w:lineRule="auto"/>
      </w:pPr>
      <w:r w:rsidRPr="001875CF">
        <w:t>The abolition of discrimination based on nationality in employment, remuneration, and working conditions.</w:t>
      </w:r>
    </w:p>
    <w:p w14:paraId="06691F88" w14:textId="77777777" w:rsidR="0051144E" w:rsidRPr="001875CF" w:rsidRDefault="0051144E" w:rsidP="001875CF">
      <w:pPr>
        <w:numPr>
          <w:ilvl w:val="0"/>
          <w:numId w:val="2"/>
        </w:numPr>
        <w:spacing w:before="100" w:beforeAutospacing="1" w:after="100" w:afterAutospacing="1" w:line="276" w:lineRule="auto"/>
      </w:pPr>
      <w:r w:rsidRPr="001875CF">
        <w:t>The right to move freely for employment purposes.</w:t>
      </w:r>
    </w:p>
    <w:p w14:paraId="09EB6992" w14:textId="77777777" w:rsidR="0051144E" w:rsidRPr="001875CF" w:rsidRDefault="0051144E" w:rsidP="001875CF">
      <w:pPr>
        <w:numPr>
          <w:ilvl w:val="0"/>
          <w:numId w:val="2"/>
        </w:numPr>
        <w:spacing w:before="100" w:beforeAutospacing="1" w:after="100" w:afterAutospacing="1" w:line="276" w:lineRule="auto"/>
      </w:pPr>
      <w:r w:rsidRPr="001875CF">
        <w:t xml:space="preserve">The right to remain in a Member State after employment has ended (Lecture 11 - </w:t>
      </w:r>
      <w:r w:rsidRPr="001875CF">
        <w:rPr>
          <w:i/>
          <w:iCs/>
        </w:rPr>
        <w:t>Internal Market Law 2024-2025</w:t>
      </w:r>
      <w:r w:rsidRPr="001875CF">
        <w:t>, 2024)​.</w:t>
      </w:r>
    </w:p>
    <w:p w14:paraId="273DAC41" w14:textId="77777777" w:rsidR="0051144E" w:rsidRPr="001875CF" w:rsidRDefault="0051144E" w:rsidP="001875CF">
      <w:pPr>
        <w:spacing w:before="100" w:beforeAutospacing="1" w:after="100" w:afterAutospacing="1" w:line="276" w:lineRule="auto"/>
      </w:pPr>
      <w:r w:rsidRPr="001875CF">
        <w:t xml:space="preserve">However, the scope of Article 45 varies between workers and job seekers. As established in </w:t>
      </w:r>
      <w:proofErr w:type="spellStart"/>
      <w:r w:rsidRPr="001875CF">
        <w:rPr>
          <w:i/>
          <w:iCs/>
        </w:rPr>
        <w:t>Antonissen</w:t>
      </w:r>
      <w:proofErr w:type="spellEnd"/>
      <w:r w:rsidRPr="001875CF">
        <w:t xml:space="preserve"> (Case C-292/89), job seekers benefit from Article 45 but with more limited rights. They have the right to reside in another Member State for a reasonable period while searching for work, but they do not automatically qualify for the same social benefits as workers (Lecture 12 - </w:t>
      </w:r>
      <w:r w:rsidRPr="001875CF">
        <w:rPr>
          <w:i/>
          <w:iCs/>
        </w:rPr>
        <w:t>Internal Market Law 2024-2025</w:t>
      </w:r>
      <w:r w:rsidRPr="001875CF">
        <w:t>, 2024)​.</w:t>
      </w:r>
    </w:p>
    <w:p w14:paraId="04060585" w14:textId="77777777" w:rsidR="0051144E" w:rsidRPr="001875CF" w:rsidRDefault="0051144E" w:rsidP="001875CF">
      <w:pPr>
        <w:spacing w:before="100" w:beforeAutospacing="1" w:after="100" w:afterAutospacing="1" w:line="276" w:lineRule="auto"/>
      </w:pPr>
      <w:r w:rsidRPr="001875CF">
        <w:t xml:space="preserve">Directive 2004/38/EC (Citizenship Directive) further clarifies that while workers benefit from equal treatment concerning social advantages (Article 7(2) of Regulation 492/2011), job seekers are only entitled to residence rights under Article 14(4)(b) so long as they can prove they are actively looking for work (Barnard, </w:t>
      </w:r>
      <w:r w:rsidRPr="001875CF">
        <w:rPr>
          <w:i/>
          <w:iCs/>
        </w:rPr>
        <w:t>The Free Movement of Persons: Key Principles</w:t>
      </w:r>
      <w:r w:rsidRPr="001875CF">
        <w:t xml:space="preserve">, 2022)​. The </w:t>
      </w:r>
      <w:r w:rsidRPr="001875CF">
        <w:rPr>
          <w:i/>
          <w:iCs/>
        </w:rPr>
        <w:t>Collins</w:t>
      </w:r>
      <w:r w:rsidRPr="001875CF">
        <w:t xml:space="preserve"> judgment operates within this legal framework, addressing the extent to which job seekers can claim social assistance.</w:t>
      </w:r>
    </w:p>
    <w:p w14:paraId="760E72DD" w14:textId="77777777" w:rsidR="0051144E" w:rsidRPr="001875CF" w:rsidRDefault="0051144E" w:rsidP="001875CF">
      <w:pPr>
        <w:spacing w:before="100" w:beforeAutospacing="1" w:after="100" w:afterAutospacing="1" w:line="276" w:lineRule="auto"/>
        <w:outlineLvl w:val="2"/>
        <w:rPr>
          <w:b/>
          <w:bCs/>
        </w:rPr>
      </w:pPr>
      <w:r w:rsidRPr="001875CF">
        <w:rPr>
          <w:b/>
          <w:bCs/>
        </w:rPr>
        <w:t xml:space="preserve">2. The Court’s Ruling in </w:t>
      </w:r>
      <w:r w:rsidRPr="001875CF">
        <w:rPr>
          <w:b/>
          <w:bCs/>
          <w:i/>
          <w:iCs/>
        </w:rPr>
        <w:t>Collins</w:t>
      </w:r>
    </w:p>
    <w:p w14:paraId="2359874A" w14:textId="77777777" w:rsidR="0051144E" w:rsidRPr="001875CF" w:rsidRDefault="0051144E" w:rsidP="001875CF">
      <w:pPr>
        <w:spacing w:before="100" w:beforeAutospacing="1" w:after="100" w:afterAutospacing="1" w:line="276" w:lineRule="auto"/>
      </w:pPr>
      <w:r w:rsidRPr="001875CF">
        <w:t xml:space="preserve">The core issue in </w:t>
      </w:r>
      <w:r w:rsidRPr="001875CF">
        <w:rPr>
          <w:i/>
          <w:iCs/>
        </w:rPr>
        <w:t>Collins</w:t>
      </w:r>
      <w:r w:rsidRPr="001875CF">
        <w:t xml:space="preserve"> was whether a job seeker could claim a job-seeker’s allowance in the host state under the same conditions as nationals. The Court ruled that financial benefits intended to facilitate access to employment fall within the scope of Article 45 TFEU, thereby granting job seekers a right to claim such benefits. However, it allowed Member States to impose conditions to ensure that a </w:t>
      </w:r>
      <w:r w:rsidRPr="001875CF">
        <w:rPr>
          <w:i/>
          <w:iCs/>
        </w:rPr>
        <w:t>genuine link</w:t>
      </w:r>
      <w:r w:rsidRPr="001875CF">
        <w:t xml:space="preserve"> exists between the job seeker and the host state’s labour market.</w:t>
      </w:r>
    </w:p>
    <w:p w14:paraId="3CA7F73A" w14:textId="77777777" w:rsidR="0051144E" w:rsidRPr="001875CF" w:rsidRDefault="0051144E" w:rsidP="001875CF">
      <w:pPr>
        <w:spacing w:before="100" w:beforeAutospacing="1" w:after="100" w:afterAutospacing="1" w:line="276" w:lineRule="auto"/>
      </w:pPr>
      <w:r w:rsidRPr="001875CF">
        <w:lastRenderedPageBreak/>
        <w:t>The Court stated:</w:t>
      </w:r>
    </w:p>
    <w:p w14:paraId="12C441A4" w14:textId="77777777" w:rsidR="0051144E" w:rsidRPr="001875CF" w:rsidRDefault="0051144E" w:rsidP="001875CF">
      <w:pPr>
        <w:spacing w:beforeAutospacing="1" w:afterAutospacing="1" w:line="276" w:lineRule="auto"/>
      </w:pPr>
      <w:r w:rsidRPr="001875CF">
        <w:t>“It may be regarded as legitimate for a Member State to grant such an allowance only after it has been possible to establish that a genuine link exists between the person seeking work and the employment market of that State.” (</w:t>
      </w:r>
      <w:r w:rsidRPr="001875CF">
        <w:rPr>
          <w:i/>
          <w:iCs/>
        </w:rPr>
        <w:t>Collins</w:t>
      </w:r>
      <w:r w:rsidRPr="001875CF">
        <w:t xml:space="preserve">, para. 67) (Lecture 12 - </w:t>
      </w:r>
      <w:r w:rsidRPr="001875CF">
        <w:rPr>
          <w:i/>
          <w:iCs/>
        </w:rPr>
        <w:t>Internal Market Law 2024-2025</w:t>
      </w:r>
      <w:r w:rsidRPr="001875CF">
        <w:t>, 2024)​.</w:t>
      </w:r>
    </w:p>
    <w:p w14:paraId="0E16F4B1" w14:textId="77777777" w:rsidR="0051144E" w:rsidRPr="001875CF" w:rsidRDefault="0051144E" w:rsidP="001875CF">
      <w:pPr>
        <w:spacing w:before="100" w:beforeAutospacing="1" w:after="100" w:afterAutospacing="1" w:line="276" w:lineRule="auto"/>
      </w:pPr>
      <w:r w:rsidRPr="001875CF">
        <w:t xml:space="preserve">This requirement of a </w:t>
      </w:r>
      <w:r w:rsidRPr="001875CF">
        <w:rPr>
          <w:i/>
          <w:iCs/>
        </w:rPr>
        <w:t>genuine link</w:t>
      </w:r>
      <w:r w:rsidRPr="001875CF">
        <w:t xml:space="preserve"> serves a dual function: it prevents "welfare tourism" while ensuring that individuals who have integrated into the host state's economy are not unfairly excluded from social benefits.</w:t>
      </w:r>
    </w:p>
    <w:p w14:paraId="21B5E20D" w14:textId="77777777" w:rsidR="0051144E" w:rsidRPr="001875CF" w:rsidRDefault="0051144E" w:rsidP="001875CF">
      <w:pPr>
        <w:spacing w:before="100" w:beforeAutospacing="1" w:after="100" w:afterAutospacing="1" w:line="276" w:lineRule="auto"/>
        <w:outlineLvl w:val="2"/>
        <w:rPr>
          <w:b/>
          <w:bCs/>
        </w:rPr>
      </w:pPr>
      <w:r w:rsidRPr="001875CF">
        <w:rPr>
          <w:b/>
          <w:bCs/>
        </w:rPr>
        <w:t>3. The Genuine Link Requirement: Balancing Rights and State Interests</w:t>
      </w:r>
    </w:p>
    <w:p w14:paraId="59ADC598" w14:textId="77777777" w:rsidR="0051144E" w:rsidRPr="001875CF" w:rsidRDefault="0051144E" w:rsidP="001875CF">
      <w:pPr>
        <w:spacing w:before="100" w:beforeAutospacing="1" w:after="100" w:afterAutospacing="1" w:line="276" w:lineRule="auto"/>
      </w:pPr>
      <w:r w:rsidRPr="001875CF">
        <w:t xml:space="preserve">The Court’s reasoning in </w:t>
      </w:r>
      <w:r w:rsidRPr="001875CF">
        <w:rPr>
          <w:i/>
          <w:iCs/>
        </w:rPr>
        <w:t>Collins</w:t>
      </w:r>
      <w:r w:rsidRPr="001875CF">
        <w:t xml:space="preserve"> aligns with the proportionality principle, which dictates that restrictions on free movement must be appropriate and necessary to achieve a legitimate aim (Barnard, </w:t>
      </w:r>
      <w:r w:rsidRPr="001875CF">
        <w:rPr>
          <w:i/>
          <w:iCs/>
        </w:rPr>
        <w:t>The Free Movement of Persons: Key Principles</w:t>
      </w:r>
      <w:r w:rsidRPr="001875CF">
        <w:t xml:space="preserve">, 2022)​. This principle was reinforced in subsequent cases, particularly </w:t>
      </w:r>
      <w:proofErr w:type="spellStart"/>
      <w:r w:rsidRPr="001875CF">
        <w:rPr>
          <w:i/>
          <w:iCs/>
        </w:rPr>
        <w:t>Vatsouras</w:t>
      </w:r>
      <w:proofErr w:type="spellEnd"/>
      <w:r w:rsidRPr="001875CF">
        <w:t xml:space="preserve"> (Joined Cases C-22/08 &amp; C-23/08), where the Court reconciled </w:t>
      </w:r>
      <w:r w:rsidRPr="001875CF">
        <w:rPr>
          <w:i/>
          <w:iCs/>
        </w:rPr>
        <w:t>Collins</w:t>
      </w:r>
      <w:r w:rsidRPr="001875CF">
        <w:t xml:space="preserve"> with Article 24(2) of Directive 2004/38.</w:t>
      </w:r>
    </w:p>
    <w:p w14:paraId="7A822CE2" w14:textId="77777777" w:rsidR="0051144E" w:rsidRPr="001875CF" w:rsidRDefault="0051144E" w:rsidP="001875CF">
      <w:pPr>
        <w:spacing w:before="100" w:beforeAutospacing="1" w:after="100" w:afterAutospacing="1" w:line="276" w:lineRule="auto"/>
      </w:pPr>
      <w:r w:rsidRPr="001875CF">
        <w:t xml:space="preserve">In </w:t>
      </w:r>
      <w:proofErr w:type="spellStart"/>
      <w:r w:rsidRPr="001875CF">
        <w:rPr>
          <w:i/>
          <w:iCs/>
        </w:rPr>
        <w:t>Vatsouras</w:t>
      </w:r>
      <w:proofErr w:type="spellEnd"/>
      <w:r w:rsidRPr="001875CF">
        <w:t xml:space="preserve">, the Court ruled that job seekers could not be outright denied financial benefits that facilitate employment access but could be required to establish a connection with the host state’s labour market (Lecture 12 - </w:t>
      </w:r>
      <w:r w:rsidRPr="001875CF">
        <w:rPr>
          <w:i/>
          <w:iCs/>
        </w:rPr>
        <w:t>Internal Market Law 2024-2025</w:t>
      </w:r>
      <w:r w:rsidRPr="001875CF">
        <w:t>, 2024)​.</w:t>
      </w:r>
    </w:p>
    <w:p w14:paraId="6F00E40B" w14:textId="77777777" w:rsidR="0051144E" w:rsidRPr="001875CF" w:rsidRDefault="0051144E" w:rsidP="001875CF">
      <w:pPr>
        <w:spacing w:before="100" w:beforeAutospacing="1" w:after="100" w:afterAutospacing="1" w:line="276" w:lineRule="auto"/>
      </w:pPr>
      <w:r w:rsidRPr="001875CF">
        <w:t xml:space="preserve">The concept of a </w:t>
      </w:r>
      <w:r w:rsidRPr="001875CF">
        <w:rPr>
          <w:i/>
          <w:iCs/>
        </w:rPr>
        <w:t>genuine link</w:t>
      </w:r>
      <w:r w:rsidRPr="001875CF">
        <w:t xml:space="preserve"> was further examined in </w:t>
      </w:r>
      <w:proofErr w:type="spellStart"/>
      <w:r w:rsidRPr="001875CF">
        <w:rPr>
          <w:i/>
          <w:iCs/>
        </w:rPr>
        <w:t>Alimanovic</w:t>
      </w:r>
      <w:proofErr w:type="spellEnd"/>
      <w:r w:rsidRPr="001875CF">
        <w:t xml:space="preserve"> (Case C-67/14), where the Court restricted access to social assistance for job seekers who had not sufficiently integrated into the host state’s labour market. The Court defined social assistance broadly as:</w:t>
      </w:r>
    </w:p>
    <w:p w14:paraId="10396346" w14:textId="77777777" w:rsidR="0051144E" w:rsidRPr="001875CF" w:rsidRDefault="0051144E" w:rsidP="001875CF">
      <w:pPr>
        <w:spacing w:beforeAutospacing="1" w:afterAutospacing="1" w:line="276" w:lineRule="auto"/>
      </w:pPr>
      <w:r w:rsidRPr="001875CF">
        <w:t>“That concept refers to all assistance schemes established by the public authorities, … to which recourse may be had by an individual who does not have resources sufficient to meet his own basic needs and those of his family and who by reason of that fact may, during his period of residence, become a burden on the public finances …” (</w:t>
      </w:r>
      <w:proofErr w:type="spellStart"/>
      <w:r w:rsidRPr="001875CF">
        <w:rPr>
          <w:i/>
          <w:iCs/>
        </w:rPr>
        <w:t>Alimanovic</w:t>
      </w:r>
      <w:proofErr w:type="spellEnd"/>
      <w:r w:rsidRPr="001875CF">
        <w:t xml:space="preserve">, para. 44) (Lecture 12 - </w:t>
      </w:r>
      <w:r w:rsidRPr="001875CF">
        <w:rPr>
          <w:i/>
          <w:iCs/>
        </w:rPr>
        <w:t>Internal Market Law 2024-2025</w:t>
      </w:r>
      <w:r w:rsidRPr="001875CF">
        <w:t>, 2024)​.</w:t>
      </w:r>
    </w:p>
    <w:p w14:paraId="04A22FDA" w14:textId="77777777" w:rsidR="0051144E" w:rsidRPr="001875CF" w:rsidRDefault="0051144E" w:rsidP="001875CF">
      <w:pPr>
        <w:spacing w:before="100" w:beforeAutospacing="1" w:after="100" w:afterAutospacing="1" w:line="276" w:lineRule="auto"/>
      </w:pPr>
      <w:r w:rsidRPr="001875CF">
        <w:t xml:space="preserve">This interpretation de facto narrowed the significance of </w:t>
      </w:r>
      <w:r w:rsidRPr="001875CF">
        <w:rPr>
          <w:i/>
          <w:iCs/>
        </w:rPr>
        <w:t>Collins</w:t>
      </w:r>
      <w:r w:rsidRPr="001875CF">
        <w:t xml:space="preserve"> by classifying certain job-seeker benefits as social assistance rather than employment-related benefits.</w:t>
      </w:r>
    </w:p>
    <w:p w14:paraId="5D12733E" w14:textId="77777777" w:rsidR="0051144E" w:rsidRPr="001875CF" w:rsidRDefault="0051144E" w:rsidP="001875CF">
      <w:pPr>
        <w:spacing w:before="100" w:beforeAutospacing="1" w:after="100" w:afterAutospacing="1" w:line="276" w:lineRule="auto"/>
        <w:outlineLvl w:val="2"/>
        <w:rPr>
          <w:b/>
          <w:bCs/>
        </w:rPr>
      </w:pPr>
      <w:r w:rsidRPr="001875CF">
        <w:rPr>
          <w:b/>
          <w:bCs/>
        </w:rPr>
        <w:t>4. Justifications for Restricting Job Seeker Benefits</w:t>
      </w:r>
    </w:p>
    <w:p w14:paraId="27DC0271" w14:textId="77777777" w:rsidR="0051144E" w:rsidRPr="001875CF" w:rsidRDefault="0051144E" w:rsidP="001875CF">
      <w:pPr>
        <w:spacing w:before="100" w:beforeAutospacing="1" w:after="100" w:afterAutospacing="1" w:line="276" w:lineRule="auto"/>
      </w:pPr>
      <w:r w:rsidRPr="001875CF">
        <w:t>Member States retain discretion to impose conditions on job-seeker benefits based on the derogations under Article 45(3) TFEU and the public interest justifications recognized by the Court. These justifications include:</w:t>
      </w:r>
    </w:p>
    <w:p w14:paraId="3E5678A0" w14:textId="77777777" w:rsidR="0051144E" w:rsidRPr="001875CF" w:rsidRDefault="0051144E" w:rsidP="001875CF">
      <w:pPr>
        <w:numPr>
          <w:ilvl w:val="0"/>
          <w:numId w:val="3"/>
        </w:numPr>
        <w:spacing w:before="100" w:beforeAutospacing="1" w:after="100" w:afterAutospacing="1" w:line="276" w:lineRule="auto"/>
      </w:pPr>
      <w:r w:rsidRPr="001875CF">
        <w:t>Preventing undue financial burdens on the welfare system.</w:t>
      </w:r>
    </w:p>
    <w:p w14:paraId="165E6838" w14:textId="77777777" w:rsidR="0051144E" w:rsidRPr="001875CF" w:rsidRDefault="0051144E" w:rsidP="001875CF">
      <w:pPr>
        <w:numPr>
          <w:ilvl w:val="0"/>
          <w:numId w:val="3"/>
        </w:numPr>
        <w:spacing w:before="100" w:beforeAutospacing="1" w:after="100" w:afterAutospacing="1" w:line="276" w:lineRule="auto"/>
      </w:pPr>
      <w:r w:rsidRPr="001875CF">
        <w:t>Ensuring that social benefits are allocated to individuals genuinely integrated into the host state’s economy.</w:t>
      </w:r>
    </w:p>
    <w:p w14:paraId="3ED0FADE" w14:textId="77777777" w:rsidR="0051144E" w:rsidRPr="001875CF" w:rsidRDefault="0051144E" w:rsidP="001875CF">
      <w:pPr>
        <w:numPr>
          <w:ilvl w:val="0"/>
          <w:numId w:val="3"/>
        </w:numPr>
        <w:spacing w:before="100" w:beforeAutospacing="1" w:after="100" w:afterAutospacing="1" w:line="276" w:lineRule="auto"/>
      </w:pPr>
      <w:r w:rsidRPr="001875CF">
        <w:lastRenderedPageBreak/>
        <w:t xml:space="preserve">Maintaining economic stability and preventing "welfare tourism" (Barnard, </w:t>
      </w:r>
      <w:r w:rsidRPr="001875CF">
        <w:rPr>
          <w:i/>
          <w:iCs/>
        </w:rPr>
        <w:t>The Free Movement of Workers and the Self-Employed</w:t>
      </w:r>
      <w:r w:rsidRPr="001875CF">
        <w:t>, 2022)​.</w:t>
      </w:r>
    </w:p>
    <w:p w14:paraId="7234FE46" w14:textId="77777777" w:rsidR="0051144E" w:rsidRPr="001875CF" w:rsidRDefault="0051144E" w:rsidP="001875CF">
      <w:pPr>
        <w:spacing w:before="100" w:beforeAutospacing="1" w:after="100" w:afterAutospacing="1" w:line="276" w:lineRule="auto"/>
      </w:pPr>
      <w:r w:rsidRPr="001875CF">
        <w:t>The proportionality test is crucial in assessing whether restrictions are justified. According to Barnard:</w:t>
      </w:r>
    </w:p>
    <w:p w14:paraId="760BA548" w14:textId="77777777" w:rsidR="0051144E" w:rsidRPr="001875CF" w:rsidRDefault="0051144E" w:rsidP="001875CF">
      <w:pPr>
        <w:spacing w:beforeAutospacing="1" w:afterAutospacing="1" w:line="276" w:lineRule="auto"/>
      </w:pPr>
      <w:r w:rsidRPr="001875CF">
        <w:t>“Restrictions on the free movement of persons must be justified by reference to public interest objectives and must satisfy the proportionality test” (</w:t>
      </w:r>
      <w:r w:rsidRPr="001875CF">
        <w:rPr>
          <w:i/>
          <w:iCs/>
        </w:rPr>
        <w:t>The Free Movement of Persons: Key Principles</w:t>
      </w:r>
      <w:r w:rsidRPr="001875CF">
        <w:t>, 2022)​.</w:t>
      </w:r>
    </w:p>
    <w:p w14:paraId="37D0C3E7" w14:textId="77777777" w:rsidR="0051144E" w:rsidRPr="001875CF" w:rsidRDefault="0051144E" w:rsidP="001875CF">
      <w:pPr>
        <w:spacing w:before="100" w:beforeAutospacing="1" w:after="100" w:afterAutospacing="1" w:line="276" w:lineRule="auto"/>
      </w:pPr>
      <w:r w:rsidRPr="001875CF">
        <w:t xml:space="preserve">The requirement of a </w:t>
      </w:r>
      <w:r w:rsidRPr="001875CF">
        <w:rPr>
          <w:i/>
          <w:iCs/>
        </w:rPr>
        <w:t>genuine link</w:t>
      </w:r>
      <w:r w:rsidRPr="001875CF">
        <w:t xml:space="preserve"> meets the proportionality test as it prevents abuse while allowing individuals with legitimate ties to the host state to access job-seeker benefits.</w:t>
      </w:r>
    </w:p>
    <w:p w14:paraId="5EF83B6D" w14:textId="77777777" w:rsidR="0051144E" w:rsidRPr="001875CF" w:rsidRDefault="0051144E" w:rsidP="001875CF">
      <w:pPr>
        <w:spacing w:before="100" w:beforeAutospacing="1" w:after="100" w:afterAutospacing="1" w:line="276" w:lineRule="auto"/>
        <w:outlineLvl w:val="2"/>
        <w:rPr>
          <w:b/>
          <w:bCs/>
        </w:rPr>
      </w:pPr>
      <w:r w:rsidRPr="001875CF">
        <w:rPr>
          <w:b/>
          <w:bCs/>
        </w:rPr>
        <w:t xml:space="preserve">5. Implications of </w:t>
      </w:r>
      <w:r w:rsidRPr="001875CF">
        <w:rPr>
          <w:b/>
          <w:bCs/>
          <w:i/>
          <w:iCs/>
        </w:rPr>
        <w:t>Collins</w:t>
      </w:r>
      <w:r w:rsidRPr="001875CF">
        <w:rPr>
          <w:b/>
          <w:bCs/>
        </w:rPr>
        <w:t xml:space="preserve"> for Job Seekers</w:t>
      </w:r>
    </w:p>
    <w:p w14:paraId="740C9B83" w14:textId="77777777" w:rsidR="0051144E" w:rsidRPr="001875CF" w:rsidRDefault="0051144E" w:rsidP="001875CF">
      <w:pPr>
        <w:spacing w:before="100" w:beforeAutospacing="1" w:after="100" w:afterAutospacing="1" w:line="276" w:lineRule="auto"/>
      </w:pPr>
      <w:r w:rsidRPr="001875CF">
        <w:t xml:space="preserve">The </w:t>
      </w:r>
      <w:r w:rsidRPr="001875CF">
        <w:rPr>
          <w:i/>
          <w:iCs/>
        </w:rPr>
        <w:t>Collins</w:t>
      </w:r>
      <w:r w:rsidRPr="001875CF">
        <w:t xml:space="preserve"> ruling provides a structured approach to assessing the rights of job seekers:</w:t>
      </w:r>
    </w:p>
    <w:p w14:paraId="22B6E568" w14:textId="77777777" w:rsidR="0051144E" w:rsidRPr="001875CF" w:rsidRDefault="0051144E" w:rsidP="001875CF">
      <w:pPr>
        <w:numPr>
          <w:ilvl w:val="0"/>
          <w:numId w:val="4"/>
        </w:numPr>
        <w:spacing w:before="100" w:beforeAutospacing="1" w:after="100" w:afterAutospacing="1" w:line="276" w:lineRule="auto"/>
      </w:pPr>
      <w:r w:rsidRPr="001875CF">
        <w:rPr>
          <w:b/>
          <w:bCs/>
        </w:rPr>
        <w:t>Job seekers have the right to reside and seek employment under Article 45 TFEU</w:t>
      </w:r>
      <w:r w:rsidRPr="001875CF">
        <w:t xml:space="preserve"> (</w:t>
      </w:r>
      <w:proofErr w:type="spellStart"/>
      <w:r w:rsidRPr="001875CF">
        <w:rPr>
          <w:i/>
          <w:iCs/>
        </w:rPr>
        <w:t>Antonissen</w:t>
      </w:r>
      <w:proofErr w:type="spellEnd"/>
      <w:r w:rsidRPr="001875CF">
        <w:t xml:space="preserve">, Lecture 11 - </w:t>
      </w:r>
      <w:r w:rsidRPr="001875CF">
        <w:rPr>
          <w:i/>
          <w:iCs/>
        </w:rPr>
        <w:t>Internal Market Law 2024-2025</w:t>
      </w:r>
      <w:r w:rsidRPr="001875CF">
        <w:t>, 2024)​.</w:t>
      </w:r>
    </w:p>
    <w:p w14:paraId="5D8B8126" w14:textId="77777777" w:rsidR="0051144E" w:rsidRPr="001875CF" w:rsidRDefault="0051144E" w:rsidP="001875CF">
      <w:pPr>
        <w:numPr>
          <w:ilvl w:val="0"/>
          <w:numId w:val="4"/>
        </w:numPr>
        <w:spacing w:before="100" w:beforeAutospacing="1" w:after="100" w:afterAutospacing="1" w:line="276" w:lineRule="auto"/>
      </w:pPr>
      <w:r w:rsidRPr="001875CF">
        <w:rPr>
          <w:b/>
          <w:bCs/>
        </w:rPr>
        <w:t>They are entitled to equal treatment concerning employment-related benefits but not general social assistance</w:t>
      </w:r>
      <w:r w:rsidRPr="001875CF">
        <w:t xml:space="preserve"> (</w:t>
      </w:r>
      <w:r w:rsidRPr="001875CF">
        <w:rPr>
          <w:i/>
          <w:iCs/>
        </w:rPr>
        <w:t>Collins</w:t>
      </w:r>
      <w:r w:rsidRPr="001875CF">
        <w:t xml:space="preserve">, Lecture 12 - </w:t>
      </w:r>
      <w:r w:rsidRPr="001875CF">
        <w:rPr>
          <w:i/>
          <w:iCs/>
        </w:rPr>
        <w:t>Internal Market Law 2024-2025</w:t>
      </w:r>
      <w:r w:rsidRPr="001875CF">
        <w:t>, 2024)​.</w:t>
      </w:r>
    </w:p>
    <w:p w14:paraId="4BE67BC0" w14:textId="77777777" w:rsidR="0051144E" w:rsidRPr="001875CF" w:rsidRDefault="0051144E" w:rsidP="001875CF">
      <w:pPr>
        <w:numPr>
          <w:ilvl w:val="0"/>
          <w:numId w:val="4"/>
        </w:numPr>
        <w:spacing w:before="100" w:beforeAutospacing="1" w:after="100" w:afterAutospacing="1" w:line="276" w:lineRule="auto"/>
      </w:pPr>
      <w:r w:rsidRPr="001875CF">
        <w:rPr>
          <w:b/>
          <w:bCs/>
        </w:rPr>
        <w:t>A Member State may require a genuine link before granting job-seeker benefits</w:t>
      </w:r>
      <w:r w:rsidRPr="001875CF">
        <w:t xml:space="preserve"> (</w:t>
      </w:r>
      <w:r w:rsidRPr="001875CF">
        <w:rPr>
          <w:i/>
          <w:iCs/>
        </w:rPr>
        <w:t>Collins</w:t>
      </w:r>
      <w:r w:rsidRPr="001875CF">
        <w:t>, para. 67)​.</w:t>
      </w:r>
    </w:p>
    <w:p w14:paraId="642652A2" w14:textId="77777777" w:rsidR="0051144E" w:rsidRPr="001875CF" w:rsidRDefault="0051144E" w:rsidP="001875CF">
      <w:pPr>
        <w:numPr>
          <w:ilvl w:val="0"/>
          <w:numId w:val="4"/>
        </w:numPr>
        <w:spacing w:before="100" w:beforeAutospacing="1" w:after="100" w:afterAutospacing="1" w:line="276" w:lineRule="auto"/>
      </w:pPr>
      <w:r w:rsidRPr="001875CF">
        <w:rPr>
          <w:b/>
          <w:bCs/>
        </w:rPr>
        <w:t>Restrictions on benefits must be proportionate and justified under Article 45(3) TFEU</w:t>
      </w:r>
      <w:r w:rsidRPr="001875CF">
        <w:t xml:space="preserve"> (Barnard, </w:t>
      </w:r>
      <w:r w:rsidRPr="001875CF">
        <w:rPr>
          <w:i/>
          <w:iCs/>
        </w:rPr>
        <w:t>The Free Movement of Persons: Key Principles</w:t>
      </w:r>
      <w:r w:rsidRPr="001875CF">
        <w:t>, 2022)​.</w:t>
      </w:r>
    </w:p>
    <w:p w14:paraId="2D3D018C" w14:textId="77777777" w:rsidR="0051144E" w:rsidRPr="001875CF" w:rsidRDefault="0051144E" w:rsidP="001875CF">
      <w:pPr>
        <w:spacing w:before="100" w:beforeAutospacing="1" w:after="100" w:afterAutospacing="1" w:line="276" w:lineRule="auto"/>
      </w:pPr>
      <w:r w:rsidRPr="001875CF">
        <w:t xml:space="preserve">The Court’s approach in </w:t>
      </w:r>
      <w:r w:rsidRPr="001875CF">
        <w:rPr>
          <w:i/>
          <w:iCs/>
        </w:rPr>
        <w:t>Collins</w:t>
      </w:r>
      <w:r w:rsidRPr="001875CF">
        <w:t xml:space="preserve"> was reaffirmed in </w:t>
      </w:r>
      <w:proofErr w:type="spellStart"/>
      <w:r w:rsidRPr="001875CF">
        <w:rPr>
          <w:i/>
          <w:iCs/>
        </w:rPr>
        <w:t>Vatsouras</w:t>
      </w:r>
      <w:proofErr w:type="spellEnd"/>
      <w:r w:rsidRPr="001875CF">
        <w:t xml:space="preserve"> and </w:t>
      </w:r>
      <w:proofErr w:type="spellStart"/>
      <w:r w:rsidRPr="001875CF">
        <w:rPr>
          <w:i/>
          <w:iCs/>
        </w:rPr>
        <w:t>Alimanovic</w:t>
      </w:r>
      <w:proofErr w:type="spellEnd"/>
      <w:r w:rsidRPr="001875CF">
        <w:t>, which clarified the scope of social assistance and employment-related benefits. The ruling strikes a balance between protecting the rights of job seekers under Article 45 TFEU and allowing Member States to safeguard their welfare systems.</w:t>
      </w:r>
    </w:p>
    <w:p w14:paraId="18711288" w14:textId="77777777" w:rsidR="0051144E" w:rsidRPr="001875CF" w:rsidRDefault="0051144E" w:rsidP="001875CF">
      <w:pPr>
        <w:spacing w:before="100" w:beforeAutospacing="1" w:after="100" w:afterAutospacing="1" w:line="276" w:lineRule="auto"/>
        <w:outlineLvl w:val="2"/>
        <w:rPr>
          <w:b/>
          <w:bCs/>
        </w:rPr>
      </w:pPr>
      <w:r w:rsidRPr="001875CF">
        <w:rPr>
          <w:b/>
          <w:bCs/>
        </w:rPr>
        <w:t>6. Conclusion</w:t>
      </w:r>
    </w:p>
    <w:p w14:paraId="5C2F0089" w14:textId="38A50B60" w:rsidR="0051144E" w:rsidRDefault="0051144E" w:rsidP="001875CF">
      <w:pPr>
        <w:spacing w:before="100" w:beforeAutospacing="1" w:after="100" w:afterAutospacing="1" w:line="276" w:lineRule="auto"/>
      </w:pPr>
      <w:r w:rsidRPr="001875CF">
        <w:t xml:space="preserve">The Court’s reasoning in </w:t>
      </w:r>
      <w:r w:rsidRPr="001875CF">
        <w:rPr>
          <w:i/>
          <w:iCs/>
        </w:rPr>
        <w:t>Collins</w:t>
      </w:r>
      <w:r w:rsidRPr="001875CF">
        <w:t xml:space="preserve"> represents a pivotal moment in the jurisprudence on free movement and job seekers. While it acknowledges that financial benefits facilitating access to employment fall within Article 45, it also affirms that Member States can impose conditions ensuring a </w:t>
      </w:r>
      <w:r w:rsidRPr="001875CF">
        <w:rPr>
          <w:i/>
          <w:iCs/>
        </w:rPr>
        <w:t>genuine link</w:t>
      </w:r>
      <w:r w:rsidRPr="001875CF">
        <w:t xml:space="preserve"> to the host state’s labour market. This reasoning has been refined in later case law, notably </w:t>
      </w:r>
      <w:proofErr w:type="spellStart"/>
      <w:r w:rsidRPr="001875CF">
        <w:rPr>
          <w:i/>
          <w:iCs/>
        </w:rPr>
        <w:t>Vatsouras</w:t>
      </w:r>
      <w:proofErr w:type="spellEnd"/>
      <w:r w:rsidRPr="001875CF">
        <w:t xml:space="preserve"> and </w:t>
      </w:r>
      <w:proofErr w:type="spellStart"/>
      <w:r w:rsidRPr="001875CF">
        <w:rPr>
          <w:i/>
          <w:iCs/>
        </w:rPr>
        <w:t>Alimanovic</w:t>
      </w:r>
      <w:proofErr w:type="spellEnd"/>
      <w:r w:rsidRPr="001875CF">
        <w:t xml:space="preserve">, which further defined the boundaries of social assistance and employment-related benefits. Ultimately, </w:t>
      </w:r>
      <w:r w:rsidRPr="001875CF">
        <w:rPr>
          <w:i/>
          <w:iCs/>
        </w:rPr>
        <w:t>Collins</w:t>
      </w:r>
      <w:r w:rsidRPr="001875CF">
        <w:t xml:space="preserve"> establishes that job seekers benefit from free movement rights, but with legitimate limitations aimed at preventing an undue burden on the host state’s resources.</w:t>
      </w:r>
    </w:p>
    <w:p w14:paraId="1DCC45FE" w14:textId="77777777" w:rsidR="00B14AED" w:rsidRPr="001875CF" w:rsidRDefault="00B14AED" w:rsidP="001875CF">
      <w:pPr>
        <w:spacing w:before="100" w:beforeAutospacing="1" w:after="100" w:afterAutospacing="1" w:line="276" w:lineRule="auto"/>
      </w:pPr>
    </w:p>
    <w:p w14:paraId="5DC1808B" w14:textId="4B0EF8B3" w:rsidR="0051144E" w:rsidRPr="00B14AED" w:rsidRDefault="0051144E" w:rsidP="001875CF">
      <w:pPr>
        <w:pStyle w:val="NormalWeb"/>
        <w:numPr>
          <w:ilvl w:val="0"/>
          <w:numId w:val="1"/>
        </w:numPr>
        <w:spacing w:before="0" w:beforeAutospacing="0" w:after="240" w:afterAutospacing="0" w:line="276" w:lineRule="auto"/>
        <w:rPr>
          <w:rFonts w:ascii="SymbolMT" w:hAnsi="SymbolMT"/>
        </w:rPr>
      </w:pPr>
      <w:r w:rsidRPr="001875CF">
        <w:rPr>
          <w:rFonts w:ascii="Garamond" w:hAnsi="Garamond"/>
        </w:rPr>
        <w:lastRenderedPageBreak/>
        <w:t xml:space="preserve">Do workers benefit from more extensive rights than Union citizens relying on Article </w:t>
      </w:r>
      <w:r w:rsidRPr="001875CF">
        <w:rPr>
          <w:rFonts w:ascii="SymbolMT" w:hAnsi="SymbolMT"/>
        </w:rPr>
        <w:t xml:space="preserve"> </w:t>
      </w:r>
      <w:r w:rsidRPr="001875CF">
        <w:rPr>
          <w:rFonts w:ascii="Garamond" w:hAnsi="Garamond"/>
        </w:rPr>
        <w:t xml:space="preserve">21TFEU? Why? </w:t>
      </w:r>
    </w:p>
    <w:p w14:paraId="772C0A9A" w14:textId="0334DDF7" w:rsidR="00B14AED" w:rsidRPr="001875CF" w:rsidRDefault="00B14AED" w:rsidP="00B14AED">
      <w:pPr>
        <w:pStyle w:val="NormalWeb"/>
        <w:spacing w:before="0" w:beforeAutospacing="0" w:after="240" w:afterAutospacing="0" w:line="276" w:lineRule="auto"/>
        <w:rPr>
          <w:rFonts w:ascii="SymbolMT" w:hAnsi="SymbolMT"/>
        </w:rPr>
      </w:pPr>
      <w:r w:rsidRPr="00B14AED">
        <w:rPr>
          <w:rFonts w:ascii="Garamond" w:hAnsi="Garamond"/>
        </w:rPr>
        <w:sym w:font="Wingdings" w:char="F0E0"/>
      </w:r>
      <w:r>
        <w:rPr>
          <w:rFonts w:ascii="Garamond" w:hAnsi="Garamond"/>
        </w:rPr>
        <w:t xml:space="preserve"> economically active vs not active </w:t>
      </w:r>
    </w:p>
    <w:p w14:paraId="6259C312" w14:textId="77777777" w:rsidR="003607EE" w:rsidRPr="001875CF" w:rsidRDefault="003607EE" w:rsidP="001875CF">
      <w:pPr>
        <w:spacing w:before="100" w:beforeAutospacing="1" w:after="100" w:afterAutospacing="1" w:line="276" w:lineRule="auto"/>
        <w:outlineLvl w:val="2"/>
        <w:rPr>
          <w:b/>
          <w:bCs/>
        </w:rPr>
      </w:pPr>
      <w:r w:rsidRPr="001875CF">
        <w:rPr>
          <w:b/>
          <w:bCs/>
        </w:rPr>
        <w:t>I. Do Workers Benefit from More Extensive Rights Than Union Citizens?</w:t>
      </w:r>
    </w:p>
    <w:p w14:paraId="289D7CB5" w14:textId="77777777" w:rsidR="003607EE" w:rsidRPr="001875CF" w:rsidRDefault="003607EE" w:rsidP="001875CF">
      <w:pPr>
        <w:spacing w:before="100" w:beforeAutospacing="1" w:after="100" w:afterAutospacing="1" w:line="276" w:lineRule="auto"/>
      </w:pPr>
      <w:r w:rsidRPr="001875CF">
        <w:t xml:space="preserve">Workers within the meaning of Article 45 TFEU enjoy significantly broader rights than Union citizens relying solely on Article 21 TFEU. The key distinction arises from the legal frameworks governing each category. Workers benefit from </w:t>
      </w:r>
      <w:r w:rsidRPr="001875CF">
        <w:rPr>
          <w:b/>
          <w:bCs/>
        </w:rPr>
        <w:t>a directly enforceable right to free movement</w:t>
      </w:r>
      <w:r w:rsidRPr="001875CF">
        <w:t xml:space="preserve"> and </w:t>
      </w:r>
      <w:r w:rsidRPr="001875CF">
        <w:rPr>
          <w:b/>
          <w:bCs/>
        </w:rPr>
        <w:t>non-discrimination in employment-related matters</w:t>
      </w:r>
      <w:r w:rsidRPr="001875CF">
        <w:t xml:space="preserve">, reinforced by </w:t>
      </w:r>
      <w:r w:rsidRPr="001875CF">
        <w:rPr>
          <w:b/>
          <w:bCs/>
        </w:rPr>
        <w:t>Regulation 492/2011</w:t>
      </w:r>
      <w:r w:rsidRPr="001875CF">
        <w:t xml:space="preserve"> and </w:t>
      </w:r>
      <w:r w:rsidRPr="001875CF">
        <w:rPr>
          <w:b/>
          <w:bCs/>
        </w:rPr>
        <w:t>Directive 2004/38</w:t>
      </w:r>
      <w:r w:rsidRPr="001875CF">
        <w:t xml:space="preserve"> (Lecture 11 - </w:t>
      </w:r>
      <w:r w:rsidRPr="001875CF">
        <w:rPr>
          <w:i/>
          <w:iCs/>
        </w:rPr>
        <w:t>Internal Market Law 2024-2025</w:t>
      </w:r>
      <w:r w:rsidRPr="001875CF">
        <w:t>, 2024)​.</w:t>
      </w:r>
    </w:p>
    <w:p w14:paraId="3CC5E633" w14:textId="77777777" w:rsidR="003607EE" w:rsidRPr="001875CF" w:rsidRDefault="003607EE" w:rsidP="001875CF">
      <w:pPr>
        <w:spacing w:before="100" w:beforeAutospacing="1" w:after="100" w:afterAutospacing="1" w:line="276" w:lineRule="auto"/>
      </w:pPr>
      <w:r w:rsidRPr="001875CF">
        <w:t>Article 45(1) TFEU states:</w:t>
      </w:r>
    </w:p>
    <w:p w14:paraId="0F1D0015" w14:textId="77777777" w:rsidR="003607EE" w:rsidRPr="001875CF" w:rsidRDefault="003607EE" w:rsidP="001875CF">
      <w:pPr>
        <w:spacing w:beforeAutospacing="1" w:afterAutospacing="1" w:line="276" w:lineRule="auto"/>
      </w:pPr>
      <w:r w:rsidRPr="001875CF">
        <w:t xml:space="preserve">"Freedom of movement for workers shall be secured within the Union" (Handout 3 - </w:t>
      </w:r>
      <w:r w:rsidRPr="001875CF">
        <w:rPr>
          <w:i/>
          <w:iCs/>
        </w:rPr>
        <w:t>Free Movement of Workers 2024-25</w:t>
      </w:r>
      <w:r w:rsidRPr="001875CF">
        <w:t>, 2024)​.</w:t>
      </w:r>
    </w:p>
    <w:p w14:paraId="6698D907" w14:textId="77777777" w:rsidR="003607EE" w:rsidRPr="001875CF" w:rsidRDefault="003607EE" w:rsidP="001875CF">
      <w:pPr>
        <w:spacing w:before="100" w:beforeAutospacing="1" w:after="100" w:afterAutospacing="1" w:line="276" w:lineRule="auto"/>
      </w:pPr>
      <w:r w:rsidRPr="001875CF">
        <w:t xml:space="preserve">This provision guarantees workers unrestricted mobility within the EU and ensures that they are </w:t>
      </w:r>
      <w:r w:rsidRPr="001875CF">
        <w:rPr>
          <w:b/>
          <w:bCs/>
        </w:rPr>
        <w:t>not subjected to nationality-based discrimination</w:t>
      </w:r>
      <w:r w:rsidRPr="001875CF">
        <w:t xml:space="preserve"> in employment, wages, and social security. </w:t>
      </w:r>
      <w:r w:rsidRPr="001875CF">
        <w:rPr>
          <w:b/>
          <w:bCs/>
        </w:rPr>
        <w:t>Regulation 492/2011</w:t>
      </w:r>
      <w:r w:rsidRPr="001875CF">
        <w:t xml:space="preserve"> extends this principle by affirming that migrant workers must be treated equally to nationals concerning employment, remuneration, and other conditions of work (Lecture 12 - </w:t>
      </w:r>
      <w:r w:rsidRPr="001875CF">
        <w:rPr>
          <w:i/>
          <w:iCs/>
        </w:rPr>
        <w:t>Internal Market Law 2024-2025</w:t>
      </w:r>
      <w:r w:rsidRPr="001875CF">
        <w:t>, 2024)​.</w:t>
      </w:r>
    </w:p>
    <w:p w14:paraId="10CAD29D" w14:textId="77777777" w:rsidR="003607EE" w:rsidRPr="001875CF" w:rsidRDefault="003607EE" w:rsidP="001875CF">
      <w:pPr>
        <w:spacing w:before="100" w:beforeAutospacing="1" w:after="100" w:afterAutospacing="1" w:line="276" w:lineRule="auto"/>
      </w:pPr>
      <w:r w:rsidRPr="001875CF">
        <w:t xml:space="preserve">By contrast, </w:t>
      </w:r>
      <w:r w:rsidRPr="001875CF">
        <w:rPr>
          <w:b/>
          <w:bCs/>
        </w:rPr>
        <w:t>Union citizens relying on Article 21 TFEU do not have an automatic right to equal treatment in employment-related matters</w:t>
      </w:r>
      <w:r w:rsidRPr="001875CF">
        <w:t>. Article 21 TFEU provides:</w:t>
      </w:r>
    </w:p>
    <w:p w14:paraId="4FFE882F" w14:textId="77777777" w:rsidR="003607EE" w:rsidRPr="001875CF" w:rsidRDefault="003607EE" w:rsidP="001875CF">
      <w:pPr>
        <w:spacing w:beforeAutospacing="1" w:afterAutospacing="1" w:line="276" w:lineRule="auto"/>
      </w:pPr>
      <w:r w:rsidRPr="001875CF">
        <w:t xml:space="preserve">"Every citizen of the Union shall have the right to move and reside freely within the territory of the Member States, subject to the limitations and conditions laid down in the Treaties and by the measures adopted to give them effect" (Barnard, </w:t>
      </w:r>
      <w:r w:rsidRPr="001875CF">
        <w:rPr>
          <w:i/>
          <w:iCs/>
        </w:rPr>
        <w:t>The Free Movement of Persons: Key Principles</w:t>
      </w:r>
      <w:r w:rsidRPr="001875CF">
        <w:t>, 2022)​.</w:t>
      </w:r>
    </w:p>
    <w:p w14:paraId="72BB40EC" w14:textId="77777777" w:rsidR="003607EE" w:rsidRPr="001875CF" w:rsidRDefault="003607EE" w:rsidP="001875CF">
      <w:pPr>
        <w:spacing w:before="100" w:beforeAutospacing="1" w:after="100" w:afterAutospacing="1" w:line="276" w:lineRule="auto"/>
      </w:pPr>
      <w:r w:rsidRPr="001875CF">
        <w:t xml:space="preserve">Unlike Article 45 TFEU, which provides </w:t>
      </w:r>
      <w:r w:rsidRPr="001875CF">
        <w:rPr>
          <w:b/>
          <w:bCs/>
        </w:rPr>
        <w:t>comprehensive protections for workers</w:t>
      </w:r>
      <w:r w:rsidRPr="001875CF">
        <w:t xml:space="preserve">, Article 21 TFEU establishes a </w:t>
      </w:r>
      <w:r w:rsidRPr="001875CF">
        <w:rPr>
          <w:b/>
          <w:bCs/>
        </w:rPr>
        <w:t>general right of residence</w:t>
      </w:r>
      <w:r w:rsidRPr="001875CF">
        <w:t xml:space="preserve"> but subjects non-economically active individuals to </w:t>
      </w:r>
      <w:r w:rsidRPr="001875CF">
        <w:rPr>
          <w:b/>
          <w:bCs/>
        </w:rPr>
        <w:t>conditions such as self-sufficiency and comprehensive health insurance</w:t>
      </w:r>
      <w:r w:rsidRPr="001875CF">
        <w:t xml:space="preserve"> under </w:t>
      </w:r>
      <w:r w:rsidRPr="001875CF">
        <w:rPr>
          <w:b/>
          <w:bCs/>
        </w:rPr>
        <w:t>Directive 2004/38</w:t>
      </w:r>
      <w:r w:rsidRPr="001875CF">
        <w:t xml:space="preserve"> (Lecture 11 - </w:t>
      </w:r>
      <w:r w:rsidRPr="001875CF">
        <w:rPr>
          <w:i/>
          <w:iCs/>
        </w:rPr>
        <w:t>Internal Market Law 2024-2025</w:t>
      </w:r>
      <w:r w:rsidRPr="001875CF">
        <w:t xml:space="preserve">, 2024)​. The </w:t>
      </w:r>
      <w:r w:rsidRPr="001875CF">
        <w:rPr>
          <w:b/>
          <w:bCs/>
        </w:rPr>
        <w:t>Court of Justice of the European Union (CJEU)</w:t>
      </w:r>
      <w:r w:rsidRPr="001875CF">
        <w:t xml:space="preserve"> has clarified that </w:t>
      </w:r>
      <w:r w:rsidRPr="001875CF">
        <w:rPr>
          <w:b/>
          <w:bCs/>
        </w:rPr>
        <w:t>social benefits can be denied to economically inactive Union citizens unless they demonstrate a sufficient degree of integration in the host Member State</w:t>
      </w:r>
      <w:r w:rsidRPr="001875CF">
        <w:t xml:space="preserve"> (</w:t>
      </w:r>
      <w:proofErr w:type="spellStart"/>
      <w:r w:rsidRPr="001875CF">
        <w:rPr>
          <w:i/>
          <w:iCs/>
        </w:rPr>
        <w:t>Dano</w:t>
      </w:r>
      <w:proofErr w:type="spellEnd"/>
      <w:r w:rsidRPr="001875CF">
        <w:t>, Case C-333/13).</w:t>
      </w:r>
    </w:p>
    <w:p w14:paraId="14B69360" w14:textId="77777777" w:rsidR="003607EE" w:rsidRPr="001875CF" w:rsidRDefault="003607EE" w:rsidP="001875CF">
      <w:pPr>
        <w:spacing w:before="100" w:beforeAutospacing="1" w:after="100" w:afterAutospacing="1" w:line="276" w:lineRule="auto"/>
      </w:pPr>
      <w:r w:rsidRPr="001875CF">
        <w:t xml:space="preserve">Thus, </w:t>
      </w:r>
      <w:r w:rsidRPr="001875CF">
        <w:rPr>
          <w:b/>
          <w:bCs/>
        </w:rPr>
        <w:t>workers have more extensive rights than economically inactive Union citizens because their status grants them an inherent right to equal treatment and social advantages, while non-workers must satisfy additional conditions to access even basic residency rights</w:t>
      </w:r>
      <w:r w:rsidRPr="001875CF">
        <w:t>.</w:t>
      </w:r>
    </w:p>
    <w:p w14:paraId="3B408418" w14:textId="77777777" w:rsidR="003607EE" w:rsidRPr="001875CF" w:rsidRDefault="00613D9E" w:rsidP="001875CF">
      <w:pPr>
        <w:spacing w:line="276" w:lineRule="auto"/>
      </w:pPr>
      <w:r w:rsidRPr="00613D9E">
        <w:rPr>
          <w:noProof/>
          <w14:ligatures w14:val="standardContextual"/>
        </w:rPr>
        <w:lastRenderedPageBreak/>
        <w:pict w14:anchorId="2B1FAB29">
          <v:rect id="_x0000_i1038" alt="" style="width:451.3pt;height:.05pt;mso-width-percent:0;mso-height-percent:0;mso-width-percent:0;mso-height-percent:0" o:hralign="center" o:hrstd="t" o:hr="t" fillcolor="#a0a0a0" stroked="f"/>
        </w:pict>
      </w:r>
    </w:p>
    <w:p w14:paraId="35186BBB" w14:textId="77777777" w:rsidR="003607EE" w:rsidRPr="001875CF" w:rsidRDefault="003607EE" w:rsidP="001875CF">
      <w:pPr>
        <w:spacing w:before="100" w:beforeAutospacing="1" w:after="100" w:afterAutospacing="1" w:line="276" w:lineRule="auto"/>
        <w:outlineLvl w:val="2"/>
        <w:rPr>
          <w:b/>
          <w:bCs/>
        </w:rPr>
      </w:pPr>
      <w:r w:rsidRPr="001875CF">
        <w:rPr>
          <w:b/>
          <w:bCs/>
        </w:rPr>
        <w:t>II. Why Do Workers Benefit from More Extensive Rights?</w:t>
      </w:r>
    </w:p>
    <w:p w14:paraId="34D13C12" w14:textId="59FA462B" w:rsidR="00B14AED" w:rsidRPr="001875CF" w:rsidRDefault="003607EE" w:rsidP="001875CF">
      <w:pPr>
        <w:spacing w:before="100" w:beforeAutospacing="1" w:after="100" w:afterAutospacing="1" w:line="276" w:lineRule="auto"/>
      </w:pPr>
      <w:r w:rsidRPr="001875CF">
        <w:t>There are several reasons why workers benefit from broader rights than Union citizens relying on Article 21 TFEU:</w:t>
      </w:r>
    </w:p>
    <w:p w14:paraId="1260309C" w14:textId="77777777" w:rsidR="003607EE" w:rsidRPr="001875CF" w:rsidRDefault="003607EE" w:rsidP="001875CF">
      <w:pPr>
        <w:spacing w:before="100" w:beforeAutospacing="1" w:after="100" w:afterAutospacing="1" w:line="276" w:lineRule="auto"/>
        <w:outlineLvl w:val="3"/>
        <w:rPr>
          <w:b/>
          <w:bCs/>
        </w:rPr>
      </w:pPr>
      <w:r w:rsidRPr="001875CF">
        <w:rPr>
          <w:b/>
          <w:bCs/>
        </w:rPr>
        <w:t>1. The Economic Foundations of Free Movement</w:t>
      </w:r>
    </w:p>
    <w:p w14:paraId="0F359263" w14:textId="77777777" w:rsidR="003607EE" w:rsidRPr="001875CF" w:rsidRDefault="003607EE" w:rsidP="001875CF">
      <w:pPr>
        <w:spacing w:before="100" w:beforeAutospacing="1" w:after="100" w:afterAutospacing="1" w:line="276" w:lineRule="auto"/>
      </w:pPr>
      <w:r w:rsidRPr="001875CF">
        <w:t xml:space="preserve">The EU’s internal market is </w:t>
      </w:r>
      <w:r w:rsidRPr="001875CF">
        <w:rPr>
          <w:b/>
          <w:bCs/>
        </w:rPr>
        <w:t>fundamentally economic in nature</w:t>
      </w:r>
      <w:r w:rsidRPr="001875CF">
        <w:t xml:space="preserve">. Article 45 TFEU reflects this by </w:t>
      </w:r>
      <w:r w:rsidRPr="001875CF">
        <w:rPr>
          <w:b/>
          <w:bCs/>
        </w:rPr>
        <w:t>prioritizing the free movement of workers</w:t>
      </w:r>
      <w:r w:rsidRPr="001875CF">
        <w:t xml:space="preserve"> to facilitate </w:t>
      </w:r>
      <w:r w:rsidRPr="001875CF">
        <w:rPr>
          <w:b/>
          <w:bCs/>
        </w:rPr>
        <w:t>labour mobility and economic integration</w:t>
      </w:r>
      <w:r w:rsidRPr="001875CF">
        <w:t xml:space="preserve"> (Lecture 12 - </w:t>
      </w:r>
      <w:r w:rsidRPr="001875CF">
        <w:rPr>
          <w:i/>
          <w:iCs/>
        </w:rPr>
        <w:t>Internal Market Law 2024-2025</w:t>
      </w:r>
      <w:r w:rsidRPr="001875CF">
        <w:t>, 2024)​.</w:t>
      </w:r>
    </w:p>
    <w:p w14:paraId="153D9EE8" w14:textId="77777777" w:rsidR="003607EE" w:rsidRPr="001875CF" w:rsidRDefault="003607EE" w:rsidP="001875CF">
      <w:pPr>
        <w:spacing w:before="100" w:beforeAutospacing="1" w:after="100" w:afterAutospacing="1" w:line="276" w:lineRule="auto"/>
      </w:pPr>
      <w:r w:rsidRPr="001875CF">
        <w:t>Barnard explains:</w:t>
      </w:r>
    </w:p>
    <w:p w14:paraId="7805F3EF" w14:textId="77777777" w:rsidR="003607EE" w:rsidRPr="001875CF" w:rsidRDefault="003607EE" w:rsidP="001875CF">
      <w:pPr>
        <w:spacing w:beforeAutospacing="1" w:afterAutospacing="1" w:line="276" w:lineRule="auto"/>
      </w:pPr>
      <w:r w:rsidRPr="001875CF">
        <w:t>“The original idea behind Articles 45–62 TFEU was to ensure that the so-called ‘factors of production’ (workers, the self-employed, and service providers) could move from regions where jobs were hard to find to those areas needing extra workers” (</w:t>
      </w:r>
      <w:r w:rsidRPr="001875CF">
        <w:rPr>
          <w:i/>
          <w:iCs/>
        </w:rPr>
        <w:t>The Free Movement of Persons: Key Principles</w:t>
      </w:r>
      <w:r w:rsidRPr="001875CF">
        <w:t>, 2022)​.</w:t>
      </w:r>
    </w:p>
    <w:p w14:paraId="176C06DF" w14:textId="77777777" w:rsidR="003607EE" w:rsidRPr="001875CF" w:rsidRDefault="003607EE" w:rsidP="001875CF">
      <w:pPr>
        <w:spacing w:before="100" w:beforeAutospacing="1" w:after="100" w:afterAutospacing="1" w:line="276" w:lineRule="auto"/>
      </w:pPr>
      <w:r w:rsidRPr="001875CF">
        <w:t xml:space="preserve">Workers are seen as contributing directly to </w:t>
      </w:r>
      <w:r w:rsidRPr="001875CF">
        <w:rPr>
          <w:b/>
          <w:bCs/>
        </w:rPr>
        <w:t>the host state’s economy</w:t>
      </w:r>
      <w:r w:rsidRPr="001875CF">
        <w:t xml:space="preserve">, which </w:t>
      </w:r>
      <w:r w:rsidRPr="001875CF">
        <w:rPr>
          <w:b/>
          <w:bCs/>
        </w:rPr>
        <w:t>justifies their entitlement to equal treatment in employment, social security, and other advantages</w:t>
      </w:r>
      <w:r w:rsidRPr="001875CF">
        <w:t xml:space="preserve"> (</w:t>
      </w:r>
      <w:r w:rsidRPr="001875CF">
        <w:rPr>
          <w:i/>
          <w:iCs/>
        </w:rPr>
        <w:t>Lawrie-Blum</w:t>
      </w:r>
      <w:r w:rsidRPr="001875CF">
        <w:t xml:space="preserve">, Case 66/85) (Handout 3 - </w:t>
      </w:r>
      <w:r w:rsidRPr="001875CF">
        <w:rPr>
          <w:i/>
          <w:iCs/>
        </w:rPr>
        <w:t>Free Movement of Workers 2024-25</w:t>
      </w:r>
      <w:r w:rsidRPr="001875CF">
        <w:t>, 2024)​.</w:t>
      </w:r>
    </w:p>
    <w:p w14:paraId="265053D5" w14:textId="77777777" w:rsidR="003607EE" w:rsidRPr="001875CF" w:rsidRDefault="003607EE" w:rsidP="001875CF">
      <w:pPr>
        <w:spacing w:before="100" w:beforeAutospacing="1" w:after="100" w:afterAutospacing="1" w:line="276" w:lineRule="auto"/>
      </w:pPr>
      <w:r w:rsidRPr="001875CF">
        <w:t xml:space="preserve">By contrast, the </w:t>
      </w:r>
      <w:r w:rsidRPr="001875CF">
        <w:rPr>
          <w:b/>
          <w:bCs/>
        </w:rPr>
        <w:t>Court has consistently held that non-workers must not impose an unreasonable burden on the host state’s economy</w:t>
      </w:r>
      <w:r w:rsidRPr="001875CF">
        <w:t xml:space="preserve">. In </w:t>
      </w:r>
      <w:proofErr w:type="spellStart"/>
      <w:r w:rsidRPr="001875CF">
        <w:rPr>
          <w:i/>
          <w:iCs/>
        </w:rPr>
        <w:t>Dano</w:t>
      </w:r>
      <w:proofErr w:type="spellEnd"/>
      <w:r w:rsidRPr="001875CF">
        <w:t xml:space="preserve"> (C-333/13), the Court ruled that a Union citizen who had never worked and lacked sufficient resources </w:t>
      </w:r>
      <w:r w:rsidRPr="001875CF">
        <w:rPr>
          <w:b/>
          <w:bCs/>
        </w:rPr>
        <w:t>could be lawfully denied social benefits</w:t>
      </w:r>
      <w:r w:rsidRPr="001875CF">
        <w:t xml:space="preserve"> under </w:t>
      </w:r>
      <w:r w:rsidRPr="001875CF">
        <w:rPr>
          <w:b/>
          <w:bCs/>
        </w:rPr>
        <w:t>Directive 2004/38</w:t>
      </w:r>
      <w:r w:rsidRPr="001875CF">
        <w:t xml:space="preserve">. This reflects a broader policy that </w:t>
      </w:r>
      <w:r w:rsidRPr="001875CF">
        <w:rPr>
          <w:b/>
          <w:bCs/>
        </w:rPr>
        <w:t>free movement is not intended to facilitate “welfare tourism”</w:t>
      </w:r>
      <w:r w:rsidRPr="001875CF">
        <w:t xml:space="preserve"> (Lecture 12 - </w:t>
      </w:r>
      <w:r w:rsidRPr="001875CF">
        <w:rPr>
          <w:i/>
          <w:iCs/>
        </w:rPr>
        <w:t>Internal Market Law 2024-2025</w:t>
      </w:r>
      <w:r w:rsidRPr="001875CF">
        <w:t>, 2024)​.</w:t>
      </w:r>
    </w:p>
    <w:p w14:paraId="72ACDC68" w14:textId="77777777" w:rsidR="003607EE" w:rsidRPr="001875CF" w:rsidRDefault="00613D9E" w:rsidP="001875CF">
      <w:pPr>
        <w:spacing w:line="276" w:lineRule="auto"/>
      </w:pPr>
      <w:r>
        <w:pict w14:anchorId="20024B3C">
          <v:rect id="Horizontal Line 7" o:spid="_x0000_s1028"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C906D4D" w14:textId="77777777" w:rsidR="003607EE" w:rsidRPr="001875CF" w:rsidRDefault="003607EE" w:rsidP="001875CF">
      <w:pPr>
        <w:spacing w:before="100" w:beforeAutospacing="1" w:after="100" w:afterAutospacing="1" w:line="276" w:lineRule="auto"/>
        <w:outlineLvl w:val="3"/>
        <w:rPr>
          <w:b/>
          <w:bCs/>
        </w:rPr>
      </w:pPr>
      <w:r w:rsidRPr="001875CF">
        <w:rPr>
          <w:b/>
          <w:bCs/>
        </w:rPr>
        <w:t>2. Rights to Equal Treatment and Social Advantages</w:t>
      </w:r>
    </w:p>
    <w:p w14:paraId="7BBE15FC" w14:textId="77777777" w:rsidR="003607EE" w:rsidRPr="001875CF" w:rsidRDefault="003607EE" w:rsidP="001875CF">
      <w:pPr>
        <w:spacing w:before="100" w:beforeAutospacing="1" w:after="100" w:afterAutospacing="1" w:line="276" w:lineRule="auto"/>
      </w:pPr>
      <w:r w:rsidRPr="001875CF">
        <w:t xml:space="preserve">Workers benefit from </w:t>
      </w:r>
      <w:r w:rsidRPr="001875CF">
        <w:rPr>
          <w:b/>
          <w:bCs/>
        </w:rPr>
        <w:t>Article 7(2) of Regulation 492/2011</w:t>
      </w:r>
      <w:r w:rsidRPr="001875CF">
        <w:t>, which explicitly states:</w:t>
      </w:r>
    </w:p>
    <w:p w14:paraId="465E5DDB" w14:textId="77777777" w:rsidR="003607EE" w:rsidRPr="001875CF" w:rsidRDefault="003607EE" w:rsidP="001875CF">
      <w:pPr>
        <w:spacing w:beforeAutospacing="1" w:afterAutospacing="1" w:line="276" w:lineRule="auto"/>
      </w:pPr>
      <w:r w:rsidRPr="001875CF">
        <w:t xml:space="preserve">“[A worker who is a national of a Member State] shall enjoy the same social and tax advantages as national workers” (Lecture 13 - </w:t>
      </w:r>
      <w:r w:rsidRPr="001875CF">
        <w:rPr>
          <w:i/>
          <w:iCs/>
        </w:rPr>
        <w:t>Internal Market Law 2024-2025</w:t>
      </w:r>
      <w:r w:rsidRPr="001875CF">
        <w:t>, 2024)​.</w:t>
      </w:r>
    </w:p>
    <w:p w14:paraId="2D437765" w14:textId="77777777" w:rsidR="003607EE" w:rsidRPr="001875CF" w:rsidRDefault="003607EE" w:rsidP="001875CF">
      <w:pPr>
        <w:spacing w:before="100" w:beforeAutospacing="1" w:after="100" w:afterAutospacing="1" w:line="276" w:lineRule="auto"/>
      </w:pPr>
      <w:r w:rsidRPr="001875CF">
        <w:t xml:space="preserve">This provision entitles workers to </w:t>
      </w:r>
      <w:r w:rsidRPr="001875CF">
        <w:rPr>
          <w:b/>
          <w:bCs/>
        </w:rPr>
        <w:t>a wide range of benefits</w:t>
      </w:r>
      <w:r w:rsidRPr="001875CF">
        <w:t>, including:</w:t>
      </w:r>
    </w:p>
    <w:p w14:paraId="1048398F" w14:textId="77777777" w:rsidR="003607EE" w:rsidRPr="001875CF" w:rsidRDefault="003607EE" w:rsidP="001875CF">
      <w:pPr>
        <w:numPr>
          <w:ilvl w:val="0"/>
          <w:numId w:val="5"/>
        </w:numPr>
        <w:spacing w:before="100" w:beforeAutospacing="1" w:after="100" w:afterAutospacing="1" w:line="276" w:lineRule="auto"/>
      </w:pPr>
      <w:r w:rsidRPr="001875CF">
        <w:t>Family benefits (</w:t>
      </w:r>
      <w:r w:rsidRPr="001875CF">
        <w:rPr>
          <w:i/>
          <w:iCs/>
        </w:rPr>
        <w:t>Reina</w:t>
      </w:r>
      <w:r w:rsidRPr="001875CF">
        <w:t>, Case 65/81),</w:t>
      </w:r>
    </w:p>
    <w:p w14:paraId="3DD4CA96" w14:textId="77777777" w:rsidR="003607EE" w:rsidRPr="001875CF" w:rsidRDefault="003607EE" w:rsidP="001875CF">
      <w:pPr>
        <w:numPr>
          <w:ilvl w:val="0"/>
          <w:numId w:val="5"/>
        </w:numPr>
        <w:spacing w:before="100" w:beforeAutospacing="1" w:after="100" w:afterAutospacing="1" w:line="276" w:lineRule="auto"/>
      </w:pPr>
      <w:r w:rsidRPr="001875CF">
        <w:t>Housing rights (</w:t>
      </w:r>
      <w:proofErr w:type="spellStart"/>
      <w:r w:rsidRPr="001875CF">
        <w:rPr>
          <w:i/>
          <w:iCs/>
        </w:rPr>
        <w:t>Lebon</w:t>
      </w:r>
      <w:proofErr w:type="spellEnd"/>
      <w:r w:rsidRPr="001875CF">
        <w:t>, Case 316/85),</w:t>
      </w:r>
    </w:p>
    <w:p w14:paraId="276CB9B4" w14:textId="77777777" w:rsidR="003607EE" w:rsidRPr="001875CF" w:rsidRDefault="003607EE" w:rsidP="001875CF">
      <w:pPr>
        <w:numPr>
          <w:ilvl w:val="0"/>
          <w:numId w:val="5"/>
        </w:numPr>
        <w:spacing w:before="100" w:beforeAutospacing="1" w:after="100" w:afterAutospacing="1" w:line="276" w:lineRule="auto"/>
      </w:pPr>
      <w:r w:rsidRPr="001875CF">
        <w:lastRenderedPageBreak/>
        <w:t>Employment-related social security benefits (</w:t>
      </w:r>
      <w:proofErr w:type="spellStart"/>
      <w:r w:rsidRPr="001875CF">
        <w:rPr>
          <w:i/>
          <w:iCs/>
        </w:rPr>
        <w:t>Christini</w:t>
      </w:r>
      <w:proofErr w:type="spellEnd"/>
      <w:r w:rsidRPr="001875CF">
        <w:t xml:space="preserve">, Case 32/75) (Lecture 13 - </w:t>
      </w:r>
      <w:r w:rsidRPr="001875CF">
        <w:rPr>
          <w:i/>
          <w:iCs/>
        </w:rPr>
        <w:t>Internal Market Law 2024-2025</w:t>
      </w:r>
      <w:r w:rsidRPr="001875CF">
        <w:t>, 2024)​.</w:t>
      </w:r>
    </w:p>
    <w:p w14:paraId="111D06BC" w14:textId="77777777" w:rsidR="003607EE" w:rsidRPr="001875CF" w:rsidRDefault="003607EE" w:rsidP="001875CF">
      <w:pPr>
        <w:spacing w:before="100" w:beforeAutospacing="1" w:after="100" w:afterAutospacing="1" w:line="276" w:lineRule="auto"/>
      </w:pPr>
      <w:r w:rsidRPr="001875CF">
        <w:t xml:space="preserve">By contrast, </w:t>
      </w:r>
      <w:r w:rsidRPr="001875CF">
        <w:rPr>
          <w:b/>
          <w:bCs/>
        </w:rPr>
        <w:t>Union citizens relying on Article 21 TFEU do not have the same right to social advantages unless they can demonstrate sufficient integration into the host state’s society</w:t>
      </w:r>
      <w:r w:rsidRPr="001875CF">
        <w:t xml:space="preserve"> (</w:t>
      </w:r>
      <w:proofErr w:type="spellStart"/>
      <w:r w:rsidRPr="001875CF">
        <w:rPr>
          <w:i/>
          <w:iCs/>
        </w:rPr>
        <w:t>Alimanovic</w:t>
      </w:r>
      <w:proofErr w:type="spellEnd"/>
      <w:r w:rsidRPr="001875CF">
        <w:t xml:space="preserve">, Case C-67/14). The </w:t>
      </w:r>
      <w:r w:rsidRPr="001875CF">
        <w:rPr>
          <w:b/>
          <w:bCs/>
        </w:rPr>
        <w:t>CJEU</w:t>
      </w:r>
      <w:r w:rsidRPr="001875CF">
        <w:t xml:space="preserve"> has drawn a </w:t>
      </w:r>
      <w:r w:rsidRPr="001875CF">
        <w:rPr>
          <w:b/>
          <w:bCs/>
        </w:rPr>
        <w:t>sharp distinction between workers and economically inactive citizens</w:t>
      </w:r>
      <w:r w:rsidRPr="001875CF">
        <w:t xml:space="preserve"> in this regard. In </w:t>
      </w:r>
      <w:r w:rsidRPr="001875CF">
        <w:rPr>
          <w:i/>
          <w:iCs/>
        </w:rPr>
        <w:t>Collins</w:t>
      </w:r>
      <w:r w:rsidRPr="001875CF">
        <w:t xml:space="preserve"> (C-138/02), the Court ruled that job seekers could be required to establish a </w:t>
      </w:r>
      <w:r w:rsidRPr="001875CF">
        <w:rPr>
          <w:b/>
          <w:bCs/>
        </w:rPr>
        <w:t>genuine link</w:t>
      </w:r>
      <w:r w:rsidRPr="001875CF">
        <w:t xml:space="preserve"> with the host state before receiving employment-related benefits (Lecture 12 - </w:t>
      </w:r>
      <w:r w:rsidRPr="001875CF">
        <w:rPr>
          <w:i/>
          <w:iCs/>
        </w:rPr>
        <w:t>Internal Market Law 2024-2025</w:t>
      </w:r>
      <w:r w:rsidRPr="001875CF">
        <w:t>, 2024)​.</w:t>
      </w:r>
    </w:p>
    <w:p w14:paraId="219813B2" w14:textId="77777777" w:rsidR="003607EE" w:rsidRPr="001875CF" w:rsidRDefault="00613D9E" w:rsidP="001875CF">
      <w:pPr>
        <w:spacing w:line="276" w:lineRule="auto"/>
      </w:pPr>
      <w:r>
        <w:pict w14:anchorId="42828922">
          <v:rect id="Horizontal Line 8" o:spid="_x0000_s1027"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384C62" w14:textId="77777777" w:rsidR="003607EE" w:rsidRPr="001875CF" w:rsidRDefault="003607EE" w:rsidP="001875CF">
      <w:pPr>
        <w:spacing w:before="100" w:beforeAutospacing="1" w:after="100" w:afterAutospacing="1" w:line="276" w:lineRule="auto"/>
        <w:outlineLvl w:val="3"/>
        <w:rPr>
          <w:b/>
          <w:bCs/>
        </w:rPr>
      </w:pPr>
      <w:r w:rsidRPr="001875CF">
        <w:rPr>
          <w:b/>
          <w:bCs/>
        </w:rPr>
        <w:t>3. Derogations and Justifications</w:t>
      </w:r>
    </w:p>
    <w:p w14:paraId="24D738B3" w14:textId="77777777" w:rsidR="003607EE" w:rsidRPr="001875CF" w:rsidRDefault="003607EE" w:rsidP="001875CF">
      <w:pPr>
        <w:spacing w:before="100" w:beforeAutospacing="1" w:after="100" w:afterAutospacing="1" w:line="276" w:lineRule="auto"/>
      </w:pPr>
      <w:r w:rsidRPr="001875CF">
        <w:t xml:space="preserve">Workers are protected against discrimination under </w:t>
      </w:r>
      <w:r w:rsidRPr="001875CF">
        <w:rPr>
          <w:b/>
          <w:bCs/>
        </w:rPr>
        <w:t>Article 45 TFEU</w:t>
      </w:r>
      <w:r w:rsidRPr="001875CF">
        <w:t xml:space="preserve">, but </w:t>
      </w:r>
      <w:r w:rsidRPr="001875CF">
        <w:rPr>
          <w:b/>
          <w:bCs/>
        </w:rPr>
        <w:t>Member States can restrict their rights only under strict conditions</w:t>
      </w:r>
      <w:r w:rsidRPr="001875CF">
        <w:t xml:space="preserve">. The </w:t>
      </w:r>
      <w:r w:rsidRPr="001875CF">
        <w:rPr>
          <w:b/>
          <w:bCs/>
        </w:rPr>
        <w:t>express derogations</w:t>
      </w:r>
      <w:r w:rsidRPr="001875CF">
        <w:t xml:space="preserve"> under </w:t>
      </w:r>
      <w:r w:rsidRPr="001875CF">
        <w:rPr>
          <w:b/>
          <w:bCs/>
        </w:rPr>
        <w:t>Article 45(3) TFEU</w:t>
      </w:r>
      <w:r w:rsidRPr="001875CF">
        <w:t xml:space="preserve"> allow limitations on free movement for </w:t>
      </w:r>
      <w:r w:rsidRPr="001875CF">
        <w:rPr>
          <w:b/>
          <w:bCs/>
        </w:rPr>
        <w:t>public policy, public security, and public health reasons</w:t>
      </w:r>
      <w:r w:rsidRPr="001875CF">
        <w:t>. However, such restrictions must:</w:t>
      </w:r>
    </w:p>
    <w:p w14:paraId="6FA6F07C" w14:textId="77777777" w:rsidR="003607EE" w:rsidRPr="001875CF" w:rsidRDefault="003607EE" w:rsidP="001875CF">
      <w:pPr>
        <w:numPr>
          <w:ilvl w:val="0"/>
          <w:numId w:val="6"/>
        </w:numPr>
        <w:spacing w:before="100" w:beforeAutospacing="1" w:after="100" w:afterAutospacing="1" w:line="276" w:lineRule="auto"/>
      </w:pPr>
      <w:r w:rsidRPr="001875CF">
        <w:rPr>
          <w:b/>
          <w:bCs/>
        </w:rPr>
        <w:t>Be proportionate</w:t>
      </w:r>
      <w:r w:rsidRPr="001875CF">
        <w:t xml:space="preserve"> (</w:t>
      </w:r>
      <w:proofErr w:type="spellStart"/>
      <w:r w:rsidRPr="001875CF">
        <w:rPr>
          <w:i/>
          <w:iCs/>
        </w:rPr>
        <w:t>Orfanopoulos</w:t>
      </w:r>
      <w:proofErr w:type="spellEnd"/>
      <w:r w:rsidRPr="001875CF">
        <w:t>, Case C-482/01),</w:t>
      </w:r>
    </w:p>
    <w:p w14:paraId="7264AD7F" w14:textId="77777777" w:rsidR="003607EE" w:rsidRPr="001875CF" w:rsidRDefault="003607EE" w:rsidP="001875CF">
      <w:pPr>
        <w:numPr>
          <w:ilvl w:val="0"/>
          <w:numId w:val="6"/>
        </w:numPr>
        <w:spacing w:before="100" w:beforeAutospacing="1" w:after="100" w:afterAutospacing="1" w:line="276" w:lineRule="auto"/>
      </w:pPr>
      <w:r w:rsidRPr="001875CF">
        <w:rPr>
          <w:b/>
          <w:bCs/>
        </w:rPr>
        <w:t>Be based on personal conduct</w:t>
      </w:r>
      <w:r w:rsidRPr="001875CF">
        <w:t xml:space="preserve"> (</w:t>
      </w:r>
      <w:r w:rsidRPr="001875CF">
        <w:rPr>
          <w:i/>
          <w:iCs/>
        </w:rPr>
        <w:t xml:space="preserve">Van </w:t>
      </w:r>
      <w:proofErr w:type="spellStart"/>
      <w:r w:rsidRPr="001875CF">
        <w:rPr>
          <w:i/>
          <w:iCs/>
        </w:rPr>
        <w:t>Duyn</w:t>
      </w:r>
      <w:proofErr w:type="spellEnd"/>
      <w:r w:rsidRPr="001875CF">
        <w:t>, Case C-41/74),</w:t>
      </w:r>
    </w:p>
    <w:p w14:paraId="1B60C2EC" w14:textId="77777777" w:rsidR="003607EE" w:rsidRPr="001875CF" w:rsidRDefault="003607EE" w:rsidP="001875CF">
      <w:pPr>
        <w:numPr>
          <w:ilvl w:val="0"/>
          <w:numId w:val="6"/>
        </w:numPr>
        <w:spacing w:before="100" w:beforeAutospacing="1" w:after="100" w:afterAutospacing="1" w:line="276" w:lineRule="auto"/>
      </w:pPr>
      <w:r w:rsidRPr="001875CF">
        <w:rPr>
          <w:b/>
          <w:bCs/>
        </w:rPr>
        <w:t>Not serve purely economic objectives</w:t>
      </w:r>
      <w:r w:rsidRPr="001875CF">
        <w:t xml:space="preserve"> (</w:t>
      </w:r>
      <w:proofErr w:type="spellStart"/>
      <w:r w:rsidRPr="001875CF">
        <w:rPr>
          <w:i/>
          <w:iCs/>
        </w:rPr>
        <w:t>Bouchereau</w:t>
      </w:r>
      <w:proofErr w:type="spellEnd"/>
      <w:r w:rsidRPr="001875CF">
        <w:t xml:space="preserve">, Case C-30/77) (Lecture 12 - </w:t>
      </w:r>
      <w:r w:rsidRPr="001875CF">
        <w:rPr>
          <w:i/>
          <w:iCs/>
        </w:rPr>
        <w:t>Derogations and Justifications</w:t>
      </w:r>
      <w:r w:rsidRPr="001875CF">
        <w:t>, 2024)​.</w:t>
      </w:r>
    </w:p>
    <w:p w14:paraId="6A228CDB" w14:textId="77777777" w:rsidR="003607EE" w:rsidRPr="001875CF" w:rsidRDefault="003607EE" w:rsidP="001875CF">
      <w:pPr>
        <w:spacing w:before="100" w:beforeAutospacing="1" w:after="100" w:afterAutospacing="1" w:line="276" w:lineRule="auto"/>
      </w:pPr>
      <w:r w:rsidRPr="001875CF">
        <w:t xml:space="preserve">For Union citizens relying on </w:t>
      </w:r>
      <w:r w:rsidRPr="001875CF">
        <w:rPr>
          <w:b/>
          <w:bCs/>
        </w:rPr>
        <w:t>Article 21 TFEU</w:t>
      </w:r>
      <w:r w:rsidRPr="001875CF">
        <w:t xml:space="preserve">, the </w:t>
      </w:r>
      <w:r w:rsidRPr="001875CF">
        <w:rPr>
          <w:b/>
          <w:bCs/>
        </w:rPr>
        <w:t>conditions for restricting movement are more flexible</w:t>
      </w:r>
      <w:r w:rsidRPr="001875CF">
        <w:t xml:space="preserve">. Under </w:t>
      </w:r>
      <w:r w:rsidRPr="001875CF">
        <w:rPr>
          <w:b/>
          <w:bCs/>
        </w:rPr>
        <w:t>Directive 2004/38</w:t>
      </w:r>
      <w:r w:rsidRPr="001875CF">
        <w:t>, economically inactive citizens must show:</w:t>
      </w:r>
    </w:p>
    <w:p w14:paraId="4A82A572" w14:textId="77777777" w:rsidR="003607EE" w:rsidRPr="001875CF" w:rsidRDefault="003607EE" w:rsidP="001875CF">
      <w:pPr>
        <w:numPr>
          <w:ilvl w:val="0"/>
          <w:numId w:val="7"/>
        </w:numPr>
        <w:spacing w:before="100" w:beforeAutospacing="1" w:after="100" w:afterAutospacing="1" w:line="276" w:lineRule="auto"/>
      </w:pPr>
      <w:r w:rsidRPr="001875CF">
        <w:rPr>
          <w:b/>
          <w:bCs/>
        </w:rPr>
        <w:t>Sufficient resources</w:t>
      </w:r>
      <w:r w:rsidRPr="001875CF">
        <w:t xml:space="preserve"> to support themselves,</w:t>
      </w:r>
    </w:p>
    <w:p w14:paraId="1111D1DF" w14:textId="77777777" w:rsidR="003607EE" w:rsidRPr="001875CF" w:rsidRDefault="003607EE" w:rsidP="001875CF">
      <w:pPr>
        <w:numPr>
          <w:ilvl w:val="0"/>
          <w:numId w:val="7"/>
        </w:numPr>
        <w:spacing w:before="100" w:beforeAutospacing="1" w:after="100" w:afterAutospacing="1" w:line="276" w:lineRule="auto"/>
      </w:pPr>
      <w:r w:rsidRPr="001875CF">
        <w:rPr>
          <w:b/>
          <w:bCs/>
        </w:rPr>
        <w:t>Comprehensive health insurance</w:t>
      </w:r>
      <w:r w:rsidRPr="001875CF">
        <w:t>,</w:t>
      </w:r>
    </w:p>
    <w:p w14:paraId="73AD081D" w14:textId="77777777" w:rsidR="003607EE" w:rsidRPr="001875CF" w:rsidRDefault="003607EE" w:rsidP="001875CF">
      <w:pPr>
        <w:numPr>
          <w:ilvl w:val="0"/>
          <w:numId w:val="7"/>
        </w:numPr>
        <w:spacing w:before="100" w:beforeAutospacing="1" w:after="100" w:afterAutospacing="1" w:line="276" w:lineRule="auto"/>
      </w:pPr>
      <w:r w:rsidRPr="001875CF">
        <w:rPr>
          <w:b/>
          <w:bCs/>
        </w:rPr>
        <w:t>A degree of integration into the host state’s society</w:t>
      </w:r>
      <w:r w:rsidRPr="001875CF">
        <w:t xml:space="preserve"> (Lecture 12 - </w:t>
      </w:r>
      <w:r w:rsidRPr="001875CF">
        <w:rPr>
          <w:i/>
          <w:iCs/>
        </w:rPr>
        <w:t>Internal Market Law 2024-2025</w:t>
      </w:r>
      <w:r w:rsidRPr="001875CF">
        <w:t>, 2024)​.</w:t>
      </w:r>
    </w:p>
    <w:p w14:paraId="501D31E7" w14:textId="77777777" w:rsidR="003607EE" w:rsidRPr="001875CF" w:rsidRDefault="003607EE" w:rsidP="001875CF">
      <w:pPr>
        <w:spacing w:before="100" w:beforeAutospacing="1" w:after="100" w:afterAutospacing="1" w:line="276" w:lineRule="auto"/>
      </w:pPr>
      <w:r w:rsidRPr="001875CF">
        <w:t xml:space="preserve">The Court has upheld these restrictions in </w:t>
      </w:r>
      <w:r w:rsidRPr="001875CF">
        <w:rPr>
          <w:i/>
          <w:iCs/>
        </w:rPr>
        <w:t>Brey</w:t>
      </w:r>
      <w:r w:rsidRPr="001875CF">
        <w:t xml:space="preserve"> (C-140/12) and </w:t>
      </w:r>
      <w:proofErr w:type="spellStart"/>
      <w:r w:rsidRPr="001875CF">
        <w:rPr>
          <w:i/>
          <w:iCs/>
        </w:rPr>
        <w:t>Dano</w:t>
      </w:r>
      <w:proofErr w:type="spellEnd"/>
      <w:r w:rsidRPr="001875CF">
        <w:t xml:space="preserve"> (C-333/13), ruling that Member States </w:t>
      </w:r>
      <w:r w:rsidRPr="001875CF">
        <w:rPr>
          <w:b/>
          <w:bCs/>
        </w:rPr>
        <w:t>can lawfully deny benefits to economically inactive migrants who do not contribute sufficiently to the host state's economy</w:t>
      </w:r>
      <w:r w:rsidRPr="001875CF">
        <w:t>.</w:t>
      </w:r>
    </w:p>
    <w:p w14:paraId="0B103E04" w14:textId="77777777" w:rsidR="003607EE" w:rsidRDefault="00613D9E" w:rsidP="001875CF">
      <w:pPr>
        <w:spacing w:line="276" w:lineRule="auto"/>
      </w:pPr>
      <w:r>
        <w:pict w14:anchorId="52F2174C">
          <v:rect id="Horizontal Line 9" o:spid="_x0000_s1026" alt="" style="width:451.3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F66596" w14:textId="77777777" w:rsidR="00B14AED" w:rsidRDefault="00B14AED" w:rsidP="001875CF">
      <w:pPr>
        <w:spacing w:line="276" w:lineRule="auto"/>
      </w:pPr>
    </w:p>
    <w:p w14:paraId="44982697" w14:textId="77777777" w:rsidR="00B14AED" w:rsidRDefault="00B14AED" w:rsidP="001875CF">
      <w:pPr>
        <w:spacing w:line="276" w:lineRule="auto"/>
      </w:pPr>
    </w:p>
    <w:p w14:paraId="46233565" w14:textId="77777777" w:rsidR="00B14AED" w:rsidRDefault="00B14AED" w:rsidP="001875CF">
      <w:pPr>
        <w:spacing w:line="276" w:lineRule="auto"/>
      </w:pPr>
    </w:p>
    <w:p w14:paraId="35FDC1A4" w14:textId="77777777" w:rsidR="00B14AED" w:rsidRDefault="00B14AED" w:rsidP="001875CF">
      <w:pPr>
        <w:spacing w:line="276" w:lineRule="auto"/>
      </w:pPr>
    </w:p>
    <w:p w14:paraId="3E5B368A" w14:textId="77777777" w:rsidR="00B14AED" w:rsidRDefault="00B14AED" w:rsidP="001875CF">
      <w:pPr>
        <w:spacing w:line="276" w:lineRule="auto"/>
      </w:pPr>
    </w:p>
    <w:p w14:paraId="047B8EF0" w14:textId="77777777" w:rsidR="00B14AED" w:rsidRDefault="00B14AED" w:rsidP="001875CF">
      <w:pPr>
        <w:spacing w:line="276" w:lineRule="auto"/>
      </w:pPr>
    </w:p>
    <w:p w14:paraId="646425DE" w14:textId="77777777" w:rsidR="00B14AED" w:rsidRDefault="00B14AED" w:rsidP="001875CF">
      <w:pPr>
        <w:spacing w:line="276" w:lineRule="auto"/>
      </w:pPr>
    </w:p>
    <w:p w14:paraId="3265C7A4" w14:textId="77777777" w:rsidR="00B14AED" w:rsidRPr="001875CF" w:rsidRDefault="00B14AED" w:rsidP="001875CF">
      <w:pPr>
        <w:spacing w:line="276" w:lineRule="auto"/>
      </w:pPr>
    </w:p>
    <w:p w14:paraId="636D2A36" w14:textId="5EE07A9D" w:rsidR="0051144E" w:rsidRPr="001875CF" w:rsidRDefault="0051144E" w:rsidP="001875CF">
      <w:pPr>
        <w:pStyle w:val="NormalWeb"/>
        <w:numPr>
          <w:ilvl w:val="0"/>
          <w:numId w:val="1"/>
        </w:numPr>
        <w:spacing w:before="0" w:beforeAutospacing="0" w:after="240" w:afterAutospacing="0" w:line="276" w:lineRule="auto"/>
        <w:rPr>
          <w:rFonts w:ascii="SymbolMT" w:hAnsi="SymbolMT"/>
        </w:rPr>
      </w:pPr>
      <w:r w:rsidRPr="001875CF">
        <w:rPr>
          <w:rFonts w:ascii="Garamond" w:hAnsi="Garamond"/>
        </w:rPr>
        <w:lastRenderedPageBreak/>
        <w:t xml:space="preserve">Should the free movement of workers only apply to those EU citizens that at the time of moving were already offered a job in the host Member? </w:t>
      </w:r>
    </w:p>
    <w:p w14:paraId="458D23F6" w14:textId="77777777" w:rsidR="00E73779" w:rsidRPr="001875CF" w:rsidRDefault="00E73779" w:rsidP="001875CF">
      <w:pPr>
        <w:spacing w:before="100" w:beforeAutospacing="1" w:after="100" w:afterAutospacing="1" w:line="276" w:lineRule="auto"/>
        <w:outlineLvl w:val="2"/>
        <w:rPr>
          <w:b/>
          <w:bCs/>
        </w:rPr>
      </w:pPr>
      <w:r w:rsidRPr="001875CF">
        <w:rPr>
          <w:b/>
          <w:bCs/>
        </w:rPr>
        <w:t>Should the Free Movement of Workers Only Apply to Those EU Citizens Who Had a Job Offer Before Moving?</w:t>
      </w:r>
    </w:p>
    <w:p w14:paraId="52A96A29" w14:textId="77777777" w:rsidR="00E73779" w:rsidRPr="001875CF" w:rsidRDefault="00E73779" w:rsidP="001875CF">
      <w:pPr>
        <w:spacing w:before="100" w:beforeAutospacing="1" w:after="100" w:afterAutospacing="1" w:line="276" w:lineRule="auto"/>
        <w:outlineLvl w:val="3"/>
        <w:rPr>
          <w:b/>
          <w:bCs/>
        </w:rPr>
      </w:pPr>
      <w:r w:rsidRPr="001875CF">
        <w:rPr>
          <w:b/>
          <w:bCs/>
        </w:rPr>
        <w:t>I. The Rule for Free Movement of Workers and Its Current Scope</w:t>
      </w:r>
    </w:p>
    <w:p w14:paraId="485A7FE9" w14:textId="77777777" w:rsidR="00E73779" w:rsidRPr="001875CF" w:rsidRDefault="00E73779" w:rsidP="001875CF">
      <w:pPr>
        <w:spacing w:before="100" w:beforeAutospacing="1" w:after="100" w:afterAutospacing="1" w:line="276" w:lineRule="auto"/>
      </w:pPr>
      <w:r w:rsidRPr="001875CF">
        <w:t xml:space="preserve">The principle of the free movement of workers is enshrined in </w:t>
      </w:r>
      <w:r w:rsidRPr="001875CF">
        <w:rPr>
          <w:b/>
          <w:bCs/>
        </w:rPr>
        <w:t>Article 45 TFEU</w:t>
      </w:r>
      <w:r w:rsidRPr="001875CF">
        <w:t xml:space="preserve">, which provides that “freedom of movement for workers shall be secured within the Union” and prohibits discrimination based on nationality in matters of employment, remuneration, and other conditions of work (Barnard, </w:t>
      </w:r>
      <w:r w:rsidRPr="001875CF">
        <w:rPr>
          <w:i/>
          <w:iCs/>
        </w:rPr>
        <w:t>The Free Movement of Persons: Key Principles</w:t>
      </w:r>
      <w:r w:rsidRPr="001875CF">
        <w:t>, 2024)</w:t>
      </w:r>
      <w:proofErr w:type="spellStart"/>
      <w:r w:rsidRPr="001875CF">
        <w:t>ental</w:t>
      </w:r>
      <w:proofErr w:type="spellEnd"/>
      <w:r w:rsidRPr="001875CF">
        <w:t xml:space="preserve"> right is further reinforced by </w:t>
      </w:r>
      <w:r w:rsidRPr="001875CF">
        <w:rPr>
          <w:b/>
          <w:bCs/>
        </w:rPr>
        <w:t>Regulation 492/2011</w:t>
      </w:r>
      <w:r w:rsidRPr="001875CF">
        <w:t xml:space="preserve">, which guarantees equal access to employment, and </w:t>
      </w:r>
      <w:r w:rsidRPr="001875CF">
        <w:rPr>
          <w:b/>
          <w:bCs/>
        </w:rPr>
        <w:t>Directive 2004/38</w:t>
      </w:r>
      <w:r w:rsidRPr="001875CF">
        <w:t xml:space="preserve">, which governs the residence rights of Union citizens (Barnard, </w:t>
      </w:r>
      <w:r w:rsidRPr="001875CF">
        <w:rPr>
          <w:i/>
          <w:iCs/>
        </w:rPr>
        <w:t>The Free Movement of Persons: Key Principles</w:t>
      </w:r>
      <w:r w:rsidRPr="001875CF">
        <w:t>, 2024) .</w:t>
      </w:r>
    </w:p>
    <w:p w14:paraId="52E9DF64" w14:textId="77777777" w:rsidR="00E73779" w:rsidRPr="001875CF" w:rsidRDefault="00E73779" w:rsidP="001875CF">
      <w:pPr>
        <w:spacing w:before="100" w:beforeAutospacing="1" w:after="100" w:afterAutospacing="1" w:line="276" w:lineRule="auto"/>
      </w:pPr>
      <w:r w:rsidRPr="001875CF">
        <w:t xml:space="preserve">The </w:t>
      </w:r>
      <w:proofErr w:type="spellStart"/>
      <w:r w:rsidRPr="001875CF">
        <w:rPr>
          <w:b/>
          <w:bCs/>
        </w:rPr>
        <w:t>Couof</w:t>
      </w:r>
      <w:proofErr w:type="spellEnd"/>
      <w:r w:rsidRPr="001875CF">
        <w:rPr>
          <w:b/>
          <w:bCs/>
        </w:rPr>
        <w:t xml:space="preserve"> the European Union (CJEU)</w:t>
      </w:r>
      <w:r w:rsidRPr="001875CF">
        <w:t xml:space="preserve"> has consistently interpreted the concept of “worker” in broad terms. In </w:t>
      </w:r>
      <w:r w:rsidRPr="001875CF">
        <w:rPr>
          <w:b/>
          <w:bCs/>
        </w:rPr>
        <w:t xml:space="preserve">Case 66/85 </w:t>
      </w:r>
      <w:r w:rsidRPr="001875CF">
        <w:rPr>
          <w:b/>
          <w:bCs/>
          <w:i/>
          <w:iCs/>
        </w:rPr>
        <w:t>Lawrie-Blum</w:t>
      </w:r>
      <w:r w:rsidRPr="001875CF">
        <w:t xml:space="preserve">, the Court held that an individual qualifies as a worker if they perform services under the direction of another in return for remuneration (Handout 3 - </w:t>
      </w:r>
      <w:r w:rsidRPr="001875CF">
        <w:rPr>
          <w:i/>
          <w:iCs/>
        </w:rPr>
        <w:t>Free Movement of Workers 2024-25</w:t>
      </w:r>
      <w:r w:rsidRPr="001875CF">
        <w:t xml:space="preserve">, 2025) . This definition has </w:t>
      </w:r>
      <w:proofErr w:type="spellStart"/>
      <w:r w:rsidRPr="001875CF">
        <w:t>beeencompass</w:t>
      </w:r>
      <w:proofErr w:type="spellEnd"/>
      <w:r w:rsidRPr="001875CF">
        <w:t xml:space="preserve"> part-time workers (</w:t>
      </w:r>
      <w:r w:rsidRPr="001875CF">
        <w:rPr>
          <w:b/>
          <w:bCs/>
        </w:rPr>
        <w:t xml:space="preserve">Case 53/81 </w:t>
      </w:r>
      <w:r w:rsidRPr="001875CF">
        <w:rPr>
          <w:b/>
          <w:bCs/>
          <w:i/>
          <w:iCs/>
        </w:rPr>
        <w:t>Levin</w:t>
      </w:r>
      <w:r w:rsidRPr="001875CF">
        <w:t>), individuals earning below the subsistence level (</w:t>
      </w:r>
      <w:r w:rsidRPr="001875CF">
        <w:rPr>
          <w:b/>
          <w:bCs/>
        </w:rPr>
        <w:t xml:space="preserve">Case C-139/85 </w:t>
      </w:r>
      <w:proofErr w:type="spellStart"/>
      <w:r w:rsidRPr="001875CF">
        <w:rPr>
          <w:b/>
          <w:bCs/>
          <w:i/>
          <w:iCs/>
        </w:rPr>
        <w:t>Kempf</w:t>
      </w:r>
      <w:proofErr w:type="spellEnd"/>
      <w:r w:rsidRPr="001875CF">
        <w:t>), and those engaged in atypical employment (</w:t>
      </w:r>
      <w:r w:rsidRPr="001875CF">
        <w:rPr>
          <w:b/>
          <w:bCs/>
        </w:rPr>
        <w:t xml:space="preserve">Case C-357/89 </w:t>
      </w:r>
      <w:proofErr w:type="spellStart"/>
      <w:r w:rsidRPr="001875CF">
        <w:rPr>
          <w:b/>
          <w:bCs/>
          <w:i/>
          <w:iCs/>
        </w:rPr>
        <w:t>Raulin</w:t>
      </w:r>
      <w:proofErr w:type="spellEnd"/>
      <w:r w:rsidRPr="001875CF">
        <w:t xml:space="preserve">) (Lecture 11 - </w:t>
      </w:r>
      <w:r w:rsidRPr="001875CF">
        <w:rPr>
          <w:i/>
          <w:iCs/>
        </w:rPr>
        <w:t>Internal Market Law 2024-2025</w:t>
      </w:r>
      <w:r w:rsidRPr="001875CF">
        <w:t>, 2025) .</w:t>
      </w:r>
    </w:p>
    <w:p w14:paraId="712BDFAF" w14:textId="77777777" w:rsidR="00E73779" w:rsidRPr="001875CF" w:rsidRDefault="00E73779" w:rsidP="001875CF">
      <w:pPr>
        <w:spacing w:before="100" w:beforeAutospacing="1" w:after="100" w:afterAutospacing="1" w:line="276" w:lineRule="auto"/>
      </w:pPr>
      <w:r w:rsidRPr="001875CF">
        <w:t xml:space="preserve">Importantly, the right to free </w:t>
      </w:r>
      <w:proofErr w:type="spellStart"/>
      <w:r w:rsidRPr="001875CF">
        <w:t>moverestricted</w:t>
      </w:r>
      <w:proofErr w:type="spellEnd"/>
      <w:r w:rsidRPr="001875CF">
        <w:t xml:space="preserve"> to individuals who already have a job offer**. In </w:t>
      </w:r>
      <w:r w:rsidRPr="001875CF">
        <w:rPr>
          <w:b/>
          <w:bCs/>
        </w:rPr>
        <w:t xml:space="preserve">Case C-292/89 </w:t>
      </w:r>
      <w:proofErr w:type="spellStart"/>
      <w:r w:rsidRPr="001875CF">
        <w:rPr>
          <w:b/>
          <w:bCs/>
          <w:i/>
          <w:iCs/>
        </w:rPr>
        <w:t>Antonissen</w:t>
      </w:r>
      <w:proofErr w:type="spellEnd"/>
      <w:r w:rsidRPr="001875CF">
        <w:t xml:space="preserve">, the CJEU ruled that </w:t>
      </w:r>
      <w:r w:rsidRPr="001875CF">
        <w:rPr>
          <w:b/>
          <w:bCs/>
        </w:rPr>
        <w:t>jobseekers also benefit from Article 45 TFEU</w:t>
      </w:r>
      <w:r w:rsidRPr="001875CF">
        <w:t xml:space="preserve">, provided they have a genuine chance of securing employment (Barnard, </w:t>
      </w:r>
      <w:r w:rsidRPr="001875CF">
        <w:rPr>
          <w:i/>
          <w:iCs/>
        </w:rPr>
        <w:t>The Free Movement of Persons: Key Principles</w:t>
      </w:r>
      <w:r w:rsidRPr="001875CF">
        <w:t xml:space="preserve">, 2024) . The Court reasoned that limiting free movement toe-arranged employment would undermine the effectiveness of Article 45. This principle was subsequently codified in </w:t>
      </w:r>
      <w:r w:rsidRPr="001875CF">
        <w:rPr>
          <w:b/>
          <w:bCs/>
        </w:rPr>
        <w:t>Article 14(4)(b) of Directive 2004/38</w:t>
      </w:r>
      <w:r w:rsidRPr="001875CF">
        <w:t xml:space="preserve">, which protects jobseekers from expulsion provided they can demonstrate that they are actively seeking employment and have a realistic prospect of securing work (Lecture 12 - </w:t>
      </w:r>
      <w:r w:rsidRPr="001875CF">
        <w:rPr>
          <w:i/>
          <w:iCs/>
        </w:rPr>
        <w:t>Internal Market Law 2024-2025</w:t>
      </w:r>
      <w:r w:rsidRPr="001875CF">
        <w:t>, 2025) .</w:t>
      </w:r>
    </w:p>
    <w:p w14:paraId="3B312D0B" w14:textId="77777777" w:rsidR="00E73779" w:rsidRPr="001875CF" w:rsidRDefault="00E73779" w:rsidP="001875CF">
      <w:pPr>
        <w:spacing w:before="100" w:beforeAutospacing="1" w:after="100" w:afterAutospacing="1" w:line="276" w:lineRule="auto"/>
      </w:pPr>
      <w:r w:rsidRPr="001875CF">
        <w:t xml:space="preserve">Nevertheless, while jobseekers enjoy the right to move and </w:t>
      </w:r>
      <w:proofErr w:type="spellStart"/>
      <w:r w:rsidRPr="001875CF">
        <w:t>rer</w:t>
      </w:r>
      <w:proofErr w:type="spellEnd"/>
      <w:r w:rsidRPr="001875CF">
        <w:t xml:space="preserve"> Member State, they do not possess </w:t>
      </w:r>
      <w:r w:rsidRPr="001875CF">
        <w:rPr>
          <w:b/>
          <w:bCs/>
        </w:rPr>
        <w:t>the same level of social benefits as workers</w:t>
      </w:r>
      <w:r w:rsidRPr="001875CF">
        <w:t xml:space="preserve">. In </w:t>
      </w:r>
      <w:r w:rsidRPr="001875CF">
        <w:rPr>
          <w:b/>
          <w:bCs/>
        </w:rPr>
        <w:t xml:space="preserve">Case C-138/02 </w:t>
      </w:r>
      <w:r w:rsidRPr="001875CF">
        <w:rPr>
          <w:b/>
          <w:bCs/>
          <w:i/>
          <w:iCs/>
        </w:rPr>
        <w:t>Collins</w:t>
      </w:r>
      <w:r w:rsidRPr="001875CF">
        <w:t xml:space="preserve">, the CJEU held that Member States may impose </w:t>
      </w:r>
      <w:r w:rsidRPr="001875CF">
        <w:rPr>
          <w:b/>
          <w:bCs/>
        </w:rPr>
        <w:t>a requirement of a "genuine link" between the jobseeker and the host state’s labour market</w:t>
      </w:r>
      <w:r w:rsidRPr="001875CF">
        <w:t xml:space="preserve"> before granting access to jobseeker’s allowances (Handout 3 - </w:t>
      </w:r>
      <w:r w:rsidRPr="001875CF">
        <w:rPr>
          <w:i/>
          <w:iCs/>
        </w:rPr>
        <w:t>Free Movement of Workers 2024-25</w:t>
      </w:r>
      <w:r w:rsidRPr="001875CF">
        <w:t xml:space="preserve">, 2025) . This reasoning was further confirmed in </w:t>
      </w:r>
      <w:r w:rsidRPr="001875CF">
        <w:rPr>
          <w:b/>
          <w:bCs/>
        </w:rPr>
        <w:t xml:space="preserve">Case C-67/14 </w:t>
      </w:r>
      <w:proofErr w:type="spellStart"/>
      <w:r w:rsidRPr="001875CF">
        <w:rPr>
          <w:b/>
          <w:bCs/>
          <w:i/>
          <w:iCs/>
        </w:rPr>
        <w:t>Alimanovic</w:t>
      </w:r>
      <w:proofErr w:type="spellEnd"/>
      <w:r w:rsidRPr="001875CF">
        <w:t xml:space="preserve">, </w:t>
      </w:r>
      <w:proofErr w:type="spellStart"/>
      <w:r w:rsidRPr="001875CF">
        <w:t>wherled</w:t>
      </w:r>
      <w:proofErr w:type="spellEnd"/>
      <w:r w:rsidRPr="001875CF">
        <w:t xml:space="preserve"> that jobseekers could be lawfully excluded from certain forms of social assistance if they did not meet the necessary residence conditions (Lecture 12 - </w:t>
      </w:r>
      <w:r w:rsidRPr="001875CF">
        <w:rPr>
          <w:i/>
          <w:iCs/>
        </w:rPr>
        <w:t>Internal Market Law 2024-2025</w:t>
      </w:r>
      <w:r w:rsidRPr="001875CF">
        <w:t>, 2025) .</w:t>
      </w:r>
    </w:p>
    <w:p w14:paraId="6899CB32" w14:textId="77777777" w:rsidR="00E73779" w:rsidRPr="001875CF" w:rsidRDefault="00E73779" w:rsidP="001875CF">
      <w:pPr>
        <w:spacing w:before="100" w:beforeAutospacing="1" w:after="100" w:afterAutospacing="1" w:line="276" w:lineRule="auto"/>
      </w:pPr>
      <w:r w:rsidRPr="001875CF">
        <w:lastRenderedPageBreak/>
        <w:t xml:space="preserve">Thus, the existing legal framework unequivocally establishes that </w:t>
      </w:r>
      <w:r w:rsidRPr="001875CF">
        <w:rPr>
          <w:b/>
          <w:bCs/>
        </w:rPr>
        <w:t xml:space="preserve">free movement </w:t>
      </w:r>
      <w:proofErr w:type="spellStart"/>
      <w:r w:rsidRPr="001875CF">
        <w:rPr>
          <w:b/>
          <w:bCs/>
        </w:rPr>
        <w:t>extenkers</w:t>
      </w:r>
      <w:proofErr w:type="spellEnd"/>
      <w:r w:rsidRPr="001875CF">
        <w:rPr>
          <w:b/>
          <w:bCs/>
        </w:rPr>
        <w:t xml:space="preserve"> and jobseekers</w:t>
      </w:r>
      <w:r w:rsidRPr="001875CF">
        <w:t xml:space="preserve">, affirming that </w:t>
      </w:r>
      <w:r w:rsidRPr="001875CF">
        <w:rPr>
          <w:b/>
          <w:bCs/>
        </w:rPr>
        <w:t>possession of a job offer is not a precondition for mobility under Article 45 TFEU</w:t>
      </w:r>
      <w:r w:rsidRPr="001875CF">
        <w:t>.</w:t>
      </w:r>
    </w:p>
    <w:p w14:paraId="6F1532F3" w14:textId="77777777" w:rsidR="00E73779" w:rsidRPr="001875CF" w:rsidRDefault="00613D9E" w:rsidP="001875CF">
      <w:pPr>
        <w:spacing w:line="276" w:lineRule="auto"/>
      </w:pPr>
      <w:r w:rsidRPr="00613D9E">
        <w:rPr>
          <w:noProof/>
          <w14:ligatures w14:val="standardContextual"/>
        </w:rPr>
        <w:pict w14:anchorId="0B0A810D">
          <v:rect id="_x0000_i1034" alt="" style="width:451.3pt;height:.05pt;mso-width-percent:0;mso-height-percent:0;mso-width-percent:0;mso-height-percent:0" o:hralign="center" o:hrstd="t" o:hr="t" fillcolor="#a0a0a0" stroked="f"/>
        </w:pict>
      </w:r>
    </w:p>
    <w:p w14:paraId="1B5082CD" w14:textId="77777777" w:rsidR="00E73779" w:rsidRPr="001875CF" w:rsidRDefault="00E73779" w:rsidP="001875CF">
      <w:pPr>
        <w:spacing w:before="100" w:beforeAutospacing="1" w:after="100" w:afterAutospacing="1" w:line="276" w:lineRule="auto"/>
        <w:outlineLvl w:val="3"/>
        <w:rPr>
          <w:b/>
          <w:bCs/>
        </w:rPr>
      </w:pPr>
      <w:r w:rsidRPr="001875CF">
        <w:rPr>
          <w:b/>
          <w:bCs/>
        </w:rPr>
        <w:t>II. Should Free Movement Apply Only to Those with a Job Offer?</w:t>
      </w:r>
    </w:p>
    <w:p w14:paraId="7AB6A2F3" w14:textId="77777777" w:rsidR="00E73779" w:rsidRPr="001875CF" w:rsidRDefault="00E73779" w:rsidP="001875CF">
      <w:pPr>
        <w:spacing w:before="100" w:beforeAutospacing="1" w:after="100" w:afterAutospacing="1" w:line="276" w:lineRule="auto"/>
      </w:pPr>
      <w:r w:rsidRPr="001875CF">
        <w:t xml:space="preserve">Restricting the free movement of workers </w:t>
      </w:r>
      <w:r w:rsidRPr="001875CF">
        <w:rPr>
          <w:b/>
          <w:bCs/>
        </w:rPr>
        <w:t>only to those who have secured a job offer prior to moving</w:t>
      </w:r>
      <w:r w:rsidRPr="001875CF">
        <w:t xml:space="preserve"> would be fundamentally inconsistent with the underlying objectives of EU law. </w:t>
      </w:r>
      <w:r w:rsidRPr="001875CF">
        <w:rPr>
          <w:b/>
          <w:bCs/>
        </w:rPr>
        <w:t>Article 45 TFEU was designed to promote labour mobility by ensuring that all EU citizens have the right to seek and obtain employment under equal conditions</w:t>
      </w:r>
      <w:r w:rsidRPr="001875CF">
        <w:t xml:space="preserve"> (Barnard, </w:t>
      </w:r>
      <w:r w:rsidRPr="001875CF">
        <w:rPr>
          <w:i/>
          <w:iCs/>
        </w:rPr>
        <w:t>The Free Movement of Persons: Key Principles</w:t>
      </w:r>
      <w:r w:rsidRPr="001875CF">
        <w:t xml:space="preserve">, 2024) . Imposing a </w:t>
      </w:r>
      <w:r w:rsidRPr="001875CF">
        <w:rPr>
          <w:b/>
          <w:bCs/>
        </w:rPr>
        <w:t>pre-employment requirement</w:t>
      </w:r>
      <w:r w:rsidRPr="001875CF">
        <w:t xml:space="preserve"> would </w:t>
      </w:r>
      <w:r w:rsidRPr="001875CF">
        <w:rPr>
          <w:b/>
          <w:bCs/>
        </w:rPr>
        <w:t>undermine the principle of equal treatment</w:t>
      </w:r>
      <w:r w:rsidRPr="001875CF">
        <w:t xml:space="preserve"> and </w:t>
      </w:r>
      <w:proofErr w:type="spellStart"/>
      <w:r w:rsidRPr="001875CF">
        <w:t>diict</w:t>
      </w:r>
      <w:proofErr w:type="spellEnd"/>
      <w:r w:rsidRPr="001875CF">
        <w:t xml:space="preserve"> established CJEU jurisprudence.</w:t>
      </w:r>
    </w:p>
    <w:p w14:paraId="4B96321F" w14:textId="77777777" w:rsidR="00E73779" w:rsidRPr="001875CF" w:rsidRDefault="00E73779" w:rsidP="001875CF">
      <w:pPr>
        <w:numPr>
          <w:ilvl w:val="0"/>
          <w:numId w:val="8"/>
        </w:numPr>
        <w:spacing w:before="100" w:beforeAutospacing="1" w:after="100" w:afterAutospacing="1" w:line="276" w:lineRule="auto"/>
      </w:pPr>
      <w:r w:rsidRPr="001875CF">
        <w:rPr>
          <w:b/>
          <w:bCs/>
        </w:rPr>
        <w:t>Legal Precedent Rejects Such a Restriction</w:t>
      </w:r>
      <w:r w:rsidRPr="001875CF">
        <w:br/>
        <w:t xml:space="preserve">The </w:t>
      </w:r>
      <w:r w:rsidRPr="001875CF">
        <w:rPr>
          <w:b/>
          <w:bCs/>
        </w:rPr>
        <w:t>CJEU has consistently held that jobseekers enjoy movement rights under Article 45 TFEU</w:t>
      </w:r>
      <w:r w:rsidRPr="001875CF">
        <w:t xml:space="preserve">. In </w:t>
      </w:r>
      <w:proofErr w:type="spellStart"/>
      <w:r w:rsidRPr="001875CF">
        <w:rPr>
          <w:b/>
          <w:bCs/>
        </w:rPr>
        <w:t>Antonissen</w:t>
      </w:r>
      <w:proofErr w:type="spellEnd"/>
      <w:r w:rsidRPr="001875CF">
        <w:t xml:space="preserve">, the Court ruled that free movement </w:t>
      </w:r>
      <w:r w:rsidRPr="001875CF">
        <w:rPr>
          <w:b/>
          <w:bCs/>
        </w:rPr>
        <w:t>includes the right to move to another Member State to seek employment</w:t>
      </w:r>
      <w:r w:rsidRPr="001875CF">
        <w:t xml:space="preserve">, reasoning that requiring individuals to secure employment before migrating would render Article 45 largely ineffective (Handout 3 - </w:t>
      </w:r>
      <w:r w:rsidRPr="001875CF">
        <w:rPr>
          <w:i/>
          <w:iCs/>
        </w:rPr>
        <w:t>Free Movement of Workers 2024-25</w:t>
      </w:r>
      <w:r w:rsidRPr="001875CF">
        <w:t xml:space="preserve">, 2025) . Similarly, the </w:t>
      </w:r>
      <w:r w:rsidRPr="001875CF">
        <w:rPr>
          <w:b/>
          <w:bCs/>
        </w:rPr>
        <w:t>Collins judgment</w:t>
      </w:r>
      <w:r w:rsidRPr="001875CF">
        <w:t xml:space="preserve"> reaffirmed that **jobseekers have the right to reside in another Member State*</w:t>
      </w:r>
      <w:proofErr w:type="spellStart"/>
      <w:r w:rsidRPr="001875CF">
        <w:t>ect</w:t>
      </w:r>
      <w:proofErr w:type="spellEnd"/>
      <w:r w:rsidRPr="001875CF">
        <w:t xml:space="preserve"> to conditions concerning their access to social benefits (Lecture 12 - </w:t>
      </w:r>
      <w:r w:rsidRPr="001875CF">
        <w:rPr>
          <w:i/>
          <w:iCs/>
        </w:rPr>
        <w:t>Internal Market Law 2024-2025</w:t>
      </w:r>
      <w:r w:rsidRPr="001875CF">
        <w:t>, 2025) .</w:t>
      </w:r>
    </w:p>
    <w:p w14:paraId="5C0DB40A" w14:textId="77777777" w:rsidR="00E73779" w:rsidRPr="001875CF" w:rsidRDefault="00E73779" w:rsidP="001875CF">
      <w:pPr>
        <w:numPr>
          <w:ilvl w:val="0"/>
          <w:numId w:val="8"/>
        </w:numPr>
        <w:spacing w:before="100" w:beforeAutospacing="1" w:after="100" w:afterAutospacing="1" w:line="276" w:lineRule="auto"/>
      </w:pPr>
      <w:r w:rsidRPr="001875CF">
        <w:rPr>
          <w:b/>
          <w:bCs/>
        </w:rPr>
        <w:t>Labour Market Efficiency and Economic Benefits</w:t>
      </w:r>
      <w:r w:rsidRPr="001875CF">
        <w:br/>
        <w:t xml:space="preserve">The </w:t>
      </w:r>
      <w:r w:rsidRPr="001875CF">
        <w:rPr>
          <w:b/>
          <w:bCs/>
        </w:rPr>
        <w:t xml:space="preserve">free movement of workers is an essential mechanism for </w:t>
      </w:r>
      <w:proofErr w:type="spellStart"/>
      <w:r w:rsidRPr="001875CF">
        <w:rPr>
          <w:b/>
          <w:bCs/>
        </w:rPr>
        <w:t>addresrket</w:t>
      </w:r>
      <w:proofErr w:type="spellEnd"/>
      <w:r w:rsidRPr="001875CF">
        <w:rPr>
          <w:b/>
          <w:bCs/>
        </w:rPr>
        <w:t xml:space="preserve"> imbalances</w:t>
      </w:r>
      <w:r w:rsidRPr="001875CF">
        <w:t xml:space="preserve">. As </w:t>
      </w:r>
      <w:r w:rsidRPr="001875CF">
        <w:rPr>
          <w:b/>
          <w:bCs/>
        </w:rPr>
        <w:t>Barnard (The Free Movement of Persons: Key Principles, 2024)</w:t>
      </w:r>
      <w:r w:rsidRPr="001875CF">
        <w:t xml:space="preserve"> observes, the mobility of workers allows for </w:t>
      </w:r>
      <w:r w:rsidRPr="001875CF">
        <w:rPr>
          <w:b/>
          <w:bCs/>
        </w:rPr>
        <w:t>economic realignment by enabling individuals to move from high-unemployment regions to areas where demand for labour is higher</w:t>
      </w:r>
      <w:r w:rsidRPr="001875CF">
        <w:t xml:space="preserve"> . If free movement were restricted to those with pre-arranged employment, it would </w:t>
      </w:r>
      <w:r w:rsidRPr="001875CF">
        <w:rPr>
          <w:b/>
          <w:bCs/>
        </w:rPr>
        <w:t>inhibit economic flexibility</w:t>
      </w:r>
      <w:r w:rsidRPr="001875CF">
        <w:t xml:space="preserve"> and </w:t>
      </w:r>
      <w:r w:rsidRPr="001875CF">
        <w:rPr>
          <w:b/>
          <w:bCs/>
        </w:rPr>
        <w:t>create barriers for eking to improve their economic prospects</w:t>
      </w:r>
      <w:r w:rsidRPr="001875CF">
        <w:t>.</w:t>
      </w:r>
    </w:p>
    <w:p w14:paraId="14C0C93D" w14:textId="77777777" w:rsidR="00E73779" w:rsidRPr="001875CF" w:rsidRDefault="00E73779" w:rsidP="001875CF">
      <w:pPr>
        <w:numPr>
          <w:ilvl w:val="0"/>
          <w:numId w:val="8"/>
        </w:numPr>
        <w:spacing w:before="100" w:beforeAutospacing="1" w:after="100" w:afterAutospacing="1" w:line="276" w:lineRule="auto"/>
      </w:pPr>
      <w:r w:rsidRPr="001875CF">
        <w:rPr>
          <w:b/>
          <w:bCs/>
        </w:rPr>
        <w:t>Disproportionate Impact on Certain Categories of Workers</w:t>
      </w:r>
      <w:r w:rsidRPr="001875CF">
        <w:br/>
        <w:t xml:space="preserve">Imposing a </w:t>
      </w:r>
      <w:r w:rsidRPr="001875CF">
        <w:rPr>
          <w:b/>
          <w:bCs/>
        </w:rPr>
        <w:t>pre-employment requirement</w:t>
      </w:r>
      <w:r w:rsidRPr="001875CF">
        <w:t xml:space="preserve"> would </w:t>
      </w:r>
      <w:r w:rsidRPr="001875CF">
        <w:rPr>
          <w:b/>
          <w:bCs/>
        </w:rPr>
        <w:t>disproportionately impact younger and lower-skilled workers</w:t>
      </w:r>
      <w:r w:rsidRPr="001875CF">
        <w:t xml:space="preserve">, who may lack the professional networks necessary to secure jobs remotely. The </w:t>
      </w:r>
      <w:r w:rsidRPr="001875CF">
        <w:rPr>
          <w:b/>
          <w:bCs/>
        </w:rPr>
        <w:t xml:space="preserve">CJEU in Case C-507/12 </w:t>
      </w:r>
      <w:r w:rsidRPr="001875CF">
        <w:rPr>
          <w:b/>
          <w:bCs/>
          <w:i/>
          <w:iCs/>
        </w:rPr>
        <w:t>Jessy Saint Prix</w:t>
      </w:r>
      <w:r w:rsidRPr="001875CF">
        <w:t xml:space="preserve"> recognized that workers should not lose their status due to temporary interruptions in employment, reinforcing the principle that mobility should not be tied strictly to continuous employment (Lecture 12 - </w:t>
      </w:r>
      <w:r w:rsidRPr="001875CF">
        <w:rPr>
          <w:i/>
          <w:iCs/>
        </w:rPr>
        <w:t>Internal Market Law 2024-2025</w:t>
      </w:r>
      <w:r w:rsidRPr="001875CF">
        <w:t>, 2025) .</w:t>
      </w:r>
    </w:p>
    <w:p w14:paraId="42F4E853" w14:textId="77777777" w:rsidR="00E73779" w:rsidRPr="001875CF" w:rsidRDefault="00E73779" w:rsidP="001875CF">
      <w:pPr>
        <w:numPr>
          <w:ilvl w:val="0"/>
          <w:numId w:val="8"/>
        </w:numPr>
        <w:spacing w:before="100" w:beforeAutospacing="1" w:after="100" w:afterAutospacing="1" w:line="276" w:lineRule="auto"/>
      </w:pPr>
      <w:r w:rsidRPr="001875CF">
        <w:rPr>
          <w:b/>
          <w:bCs/>
        </w:rPr>
        <w:t>Public Interest Justifications Are Limited</w:t>
      </w:r>
      <w:r w:rsidRPr="001875CF">
        <w:br/>
        <w:t xml:space="preserve">While some Member States may argue that restricting free movement to those with job offers is </w:t>
      </w:r>
      <w:proofErr w:type="spellStart"/>
      <w:r w:rsidRPr="001875CF">
        <w:t>necotect</w:t>
      </w:r>
      <w:proofErr w:type="spellEnd"/>
      <w:r w:rsidRPr="001875CF">
        <w:t xml:space="preserve"> their welfare systems**, </w:t>
      </w:r>
      <w:r w:rsidRPr="001875CF">
        <w:rPr>
          <w:b/>
          <w:bCs/>
        </w:rPr>
        <w:t>Barnard (Derogations and Justifications, 2024)</w:t>
      </w:r>
      <w:r w:rsidRPr="001875CF">
        <w:t xml:space="preserve"> notes that </w:t>
      </w:r>
      <w:r w:rsidRPr="001875CF">
        <w:rPr>
          <w:b/>
          <w:bCs/>
        </w:rPr>
        <w:t xml:space="preserve">public interest justifications must satisfy the </w:t>
      </w:r>
      <w:r w:rsidRPr="001875CF">
        <w:rPr>
          <w:b/>
          <w:bCs/>
        </w:rPr>
        <w:lastRenderedPageBreak/>
        <w:t>proportionality principle</w:t>
      </w:r>
      <w:r w:rsidRPr="001875CF">
        <w:t xml:space="preserve"> . The </w:t>
      </w:r>
      <w:proofErr w:type="spellStart"/>
      <w:r w:rsidRPr="001875CF">
        <w:rPr>
          <w:b/>
          <w:bCs/>
        </w:rPr>
        <w:t>Alimanovic</w:t>
      </w:r>
      <w:proofErr w:type="spellEnd"/>
      <w:r w:rsidRPr="001875CF">
        <w:rPr>
          <w:b/>
          <w:bCs/>
        </w:rPr>
        <w:t xml:space="preserve"> ruling</w:t>
      </w:r>
      <w:r w:rsidRPr="001875CF">
        <w:t xml:space="preserve"> confirmed that </w:t>
      </w:r>
      <w:r w:rsidRPr="001875CF">
        <w:rPr>
          <w:b/>
          <w:bCs/>
        </w:rPr>
        <w:t>Member States can lawfully exclude jobseekers from certain social benefits</w:t>
      </w:r>
      <w:r w:rsidRPr="001875CF">
        <w:t xml:space="preserve">, illustrating that economic concerns can be </w:t>
      </w:r>
      <w:proofErr w:type="spellStart"/>
      <w:r w:rsidRPr="001875CF">
        <w:t>adh</w:t>
      </w:r>
      <w:proofErr w:type="spellEnd"/>
      <w:r w:rsidRPr="001875CF">
        <w:t xml:space="preserve"> </w:t>
      </w:r>
      <w:r w:rsidRPr="001875CF">
        <w:rPr>
          <w:b/>
          <w:bCs/>
        </w:rPr>
        <w:t>targeted restrictions rather than broad limitations on mobility</w:t>
      </w:r>
      <w:r w:rsidRPr="001875CF">
        <w:t xml:space="preserve"> (Lecture 12 - </w:t>
      </w:r>
      <w:r w:rsidRPr="001875CF">
        <w:rPr>
          <w:i/>
          <w:iCs/>
        </w:rPr>
        <w:t>Internal Market Law 2024-2025</w:t>
      </w:r>
      <w:r w:rsidRPr="001875CF">
        <w:t>, 2025) .</w:t>
      </w:r>
    </w:p>
    <w:p w14:paraId="488196B6" w14:textId="77777777" w:rsidR="00E73779" w:rsidRPr="001875CF" w:rsidRDefault="00E73779" w:rsidP="001875CF">
      <w:pPr>
        <w:numPr>
          <w:ilvl w:val="0"/>
          <w:numId w:val="8"/>
        </w:numPr>
        <w:spacing w:before="100" w:beforeAutospacing="1" w:after="100" w:afterAutospacing="1" w:line="276" w:lineRule="auto"/>
      </w:pPr>
      <w:r w:rsidRPr="001875CF">
        <w:rPr>
          <w:b/>
          <w:bCs/>
        </w:rPr>
        <w:t>Discrimination Against Economically Active EU Citizens</w:t>
      </w:r>
      <w:r w:rsidRPr="001875CF">
        <w:br/>
        <w:t xml:space="preserve">Restricting free movement to individuals with pre-arranged employment would </w:t>
      </w:r>
      <w:r w:rsidRPr="001875CF">
        <w:rPr>
          <w:b/>
          <w:bCs/>
        </w:rPr>
        <w:t xml:space="preserve">create an unjustified </w:t>
      </w:r>
      <w:proofErr w:type="spellStart"/>
      <w:r w:rsidRPr="001875CF">
        <w:rPr>
          <w:b/>
          <w:bCs/>
        </w:rPr>
        <w:t>distinctionmically</w:t>
      </w:r>
      <w:proofErr w:type="spellEnd"/>
      <w:r w:rsidRPr="001875CF">
        <w:rPr>
          <w:b/>
          <w:bCs/>
        </w:rPr>
        <w:t xml:space="preserve"> active citizens</w:t>
      </w:r>
      <w:r w:rsidRPr="001875CF">
        <w:t xml:space="preserve">. The </w:t>
      </w:r>
      <w:r w:rsidRPr="001875CF">
        <w:rPr>
          <w:b/>
          <w:bCs/>
        </w:rPr>
        <w:t>Handout on Free Movement of Workers (2024-25)</w:t>
      </w:r>
      <w:r w:rsidRPr="001875CF">
        <w:t xml:space="preserve"> emphasizes that jobseekers are </w:t>
      </w:r>
      <w:r w:rsidRPr="001875CF">
        <w:rPr>
          <w:b/>
          <w:bCs/>
        </w:rPr>
        <w:t>classified as part of the economically active population</w:t>
      </w:r>
      <w:r w:rsidRPr="001875CF">
        <w:t xml:space="preserve"> and are therefore entitled to move freely in search of employment (Handout 3 - </w:t>
      </w:r>
      <w:r w:rsidRPr="001875CF">
        <w:rPr>
          <w:i/>
          <w:iCs/>
        </w:rPr>
        <w:t>Free Movement of Workers 2024-25</w:t>
      </w:r>
      <w:r w:rsidRPr="001875CF">
        <w:t xml:space="preserve">, 2025) . A policy limiting movement solely to those with job offers would violate </w:t>
      </w:r>
      <w:r w:rsidRPr="001875CF">
        <w:rPr>
          <w:b/>
          <w:bCs/>
        </w:rPr>
        <w:t>the principle of non-discrimination under Article 45(2) TFEU</w:t>
      </w:r>
      <w:r w:rsidRPr="001875CF">
        <w:t>.</w:t>
      </w:r>
    </w:p>
    <w:p w14:paraId="2E7FA6CD" w14:textId="77777777" w:rsidR="00E73779" w:rsidRPr="001875CF" w:rsidRDefault="00613D9E" w:rsidP="001875CF">
      <w:pPr>
        <w:spacing w:line="276" w:lineRule="auto"/>
      </w:pPr>
      <w:r w:rsidRPr="00613D9E">
        <w:rPr>
          <w:noProof/>
          <w14:ligatures w14:val="standardContextual"/>
        </w:rPr>
        <w:pict w14:anchorId="2D057603">
          <v:rect id="_x0000_i1033" alt="" style="width:451.3pt;height:.05pt;mso-width-percent:0;mso-height-percent:0;mso-width-percent:0;mso-height-percent:0" o:hralign="center" o:hrstd="t" o:hr="t" fillcolor="#a0a0a0" stroked="f"/>
        </w:pict>
      </w:r>
    </w:p>
    <w:p w14:paraId="4C0D0205" w14:textId="0DAFD38A" w:rsidR="00E73779" w:rsidRPr="001875CF" w:rsidRDefault="0051144E" w:rsidP="001875CF">
      <w:pPr>
        <w:pStyle w:val="NormalWeb"/>
        <w:numPr>
          <w:ilvl w:val="0"/>
          <w:numId w:val="1"/>
        </w:numPr>
        <w:spacing w:before="0" w:beforeAutospacing="0" w:after="240" w:afterAutospacing="0" w:line="276" w:lineRule="auto"/>
        <w:rPr>
          <w:rFonts w:ascii="SymbolMT" w:hAnsi="SymbolMT"/>
        </w:rPr>
      </w:pPr>
      <w:r w:rsidRPr="001875CF">
        <w:rPr>
          <w:rFonts w:ascii="Garamond" w:hAnsi="Garamond"/>
        </w:rPr>
        <w:t xml:space="preserve">Why is the Court’s decision in </w:t>
      </w:r>
      <w:r w:rsidRPr="001875CF">
        <w:rPr>
          <w:rFonts w:ascii="Garamond" w:hAnsi="Garamond"/>
          <w:i/>
          <w:iCs/>
        </w:rPr>
        <w:t xml:space="preserve">Jessy Saint Prix </w:t>
      </w:r>
      <w:r w:rsidRPr="001875CF">
        <w:rPr>
          <w:rFonts w:ascii="Garamond" w:hAnsi="Garamond"/>
        </w:rPr>
        <w:t xml:space="preserve">significant? </w:t>
      </w:r>
    </w:p>
    <w:p w14:paraId="15C4A1FE" w14:textId="77777777" w:rsidR="00E73779" w:rsidRPr="001875CF" w:rsidRDefault="00E73779" w:rsidP="001875CF">
      <w:pPr>
        <w:spacing w:before="100" w:beforeAutospacing="1" w:after="100" w:afterAutospacing="1" w:line="276" w:lineRule="auto"/>
        <w:outlineLvl w:val="3"/>
        <w:rPr>
          <w:b/>
          <w:bCs/>
        </w:rPr>
      </w:pPr>
      <w:r w:rsidRPr="001875CF">
        <w:rPr>
          <w:b/>
          <w:bCs/>
        </w:rPr>
        <w:t xml:space="preserve">I. The Court’s Decision in </w:t>
      </w:r>
      <w:r w:rsidRPr="001875CF">
        <w:rPr>
          <w:b/>
          <w:bCs/>
          <w:i/>
          <w:iCs/>
        </w:rPr>
        <w:t>Jessy Saint Prix</w:t>
      </w:r>
    </w:p>
    <w:p w14:paraId="33874FA9" w14:textId="77777777" w:rsidR="00E73779" w:rsidRPr="001875CF" w:rsidRDefault="00E73779" w:rsidP="001875CF">
      <w:pPr>
        <w:spacing w:before="100" w:beforeAutospacing="1" w:after="100" w:afterAutospacing="1" w:line="276" w:lineRule="auto"/>
      </w:pPr>
      <w:r w:rsidRPr="001875CF">
        <w:t xml:space="preserve">The Court of Justice of the European Union (CJEU) in </w:t>
      </w:r>
      <w:r w:rsidRPr="001875CF">
        <w:rPr>
          <w:i/>
          <w:iCs/>
        </w:rPr>
        <w:t>Jessy Saint Prix</w:t>
      </w:r>
      <w:r w:rsidRPr="001875CF">
        <w:t xml:space="preserve"> (Case C-507/12) provided a landmark ruling clarifying the scope of retention of "worker" status under </w:t>
      </w:r>
      <w:r w:rsidRPr="001875CF">
        <w:rPr>
          <w:b/>
          <w:bCs/>
        </w:rPr>
        <w:t>Article 45 TFEU</w:t>
      </w:r>
      <w:r w:rsidRPr="001875CF">
        <w:t xml:space="preserve">. The case concerned a French national, Jessy Saint Prix, who had moved to the United Kingdom and was employed as a teacher on a fixed-term contract. During the late stages of her pregnancy, she ceased working and was subsequently denied income support on the grounds that she no longer satisfied the definition of a "worker" under </w:t>
      </w:r>
      <w:r w:rsidRPr="001875CF">
        <w:rPr>
          <w:b/>
          <w:bCs/>
        </w:rPr>
        <w:t>EU law</w:t>
      </w:r>
      <w:r w:rsidRPr="001875CF">
        <w:t xml:space="preserve">. The legal question before the Court was whether a woman who temporarily stops working due to pregnancy and childbirth retains her worker status under </w:t>
      </w:r>
      <w:r w:rsidRPr="001875CF">
        <w:rPr>
          <w:b/>
          <w:bCs/>
        </w:rPr>
        <w:t>Article 45 TFEU</w:t>
      </w:r>
      <w:r w:rsidRPr="001875CF">
        <w:t>.</w:t>
      </w:r>
    </w:p>
    <w:p w14:paraId="6907DDAF" w14:textId="77777777" w:rsidR="00E73779" w:rsidRPr="001875CF" w:rsidRDefault="00E73779" w:rsidP="001875CF">
      <w:pPr>
        <w:spacing w:before="100" w:beforeAutospacing="1" w:after="100" w:afterAutospacing="1" w:line="276" w:lineRule="auto"/>
      </w:pPr>
      <w:r w:rsidRPr="001875CF">
        <w:t xml:space="preserve">The CJEU held that a woman who ceases working or seeking employment because of the physical constraints of pregnancy and the aftermath of childbirth </w:t>
      </w:r>
      <w:r w:rsidRPr="001875CF">
        <w:rPr>
          <w:b/>
          <w:bCs/>
        </w:rPr>
        <w:t>retains her status as a "worker"</w:t>
      </w:r>
      <w:r w:rsidRPr="001875CF">
        <w:t xml:space="preserve">, provided that she resumes work or finds employment within a </w:t>
      </w:r>
      <w:r w:rsidRPr="001875CF">
        <w:rPr>
          <w:b/>
          <w:bCs/>
        </w:rPr>
        <w:t>reasonable period after childbirth</w:t>
      </w:r>
      <w:r w:rsidRPr="001875CF">
        <w:t xml:space="preserve"> (Barnard, </w:t>
      </w:r>
      <w:r w:rsidRPr="001875CF">
        <w:rPr>
          <w:i/>
          <w:iCs/>
        </w:rPr>
        <w:t>The Free Movement of Persons: Key Principles</w:t>
      </w:r>
      <w:r w:rsidRPr="001875CF">
        <w:t xml:space="preserve">, 2024). The Court rejected a restrictive interpretation of the term "worker," affirming that pregnancy is a </w:t>
      </w:r>
      <w:r w:rsidRPr="001875CF">
        <w:rPr>
          <w:b/>
          <w:bCs/>
        </w:rPr>
        <w:t>unique biological and social condition</w:t>
      </w:r>
      <w:r w:rsidRPr="001875CF">
        <w:t xml:space="preserve"> that should not deprive a person of their rights under </w:t>
      </w:r>
      <w:r w:rsidRPr="001875CF">
        <w:rPr>
          <w:b/>
          <w:bCs/>
        </w:rPr>
        <w:t>EU free movement law</w:t>
      </w:r>
      <w:r w:rsidRPr="001875CF">
        <w:t xml:space="preserve"> (Lecture 11 - </w:t>
      </w:r>
      <w:r w:rsidRPr="001875CF">
        <w:rPr>
          <w:i/>
          <w:iCs/>
        </w:rPr>
        <w:t>Internal Market Law 2024-2025</w:t>
      </w:r>
      <w:r w:rsidRPr="001875CF">
        <w:t>, 2025).</w:t>
      </w:r>
    </w:p>
    <w:p w14:paraId="6DD073DD" w14:textId="77777777" w:rsidR="00E73779" w:rsidRPr="001875CF" w:rsidRDefault="00E73779" w:rsidP="001875CF">
      <w:pPr>
        <w:spacing w:before="100" w:beforeAutospacing="1" w:after="100" w:afterAutospacing="1" w:line="276" w:lineRule="auto"/>
      </w:pPr>
      <w:r w:rsidRPr="001875CF">
        <w:t xml:space="preserve">Importantly, the Court emphasised that </w:t>
      </w:r>
      <w:r w:rsidRPr="001875CF">
        <w:rPr>
          <w:b/>
          <w:bCs/>
        </w:rPr>
        <w:t>Article 7(3) of Directive 2004/38</w:t>
      </w:r>
      <w:r w:rsidRPr="001875CF">
        <w:t xml:space="preserve"> provides a non-exhaustive list of conditions under which a worker retains their status, meaning that pregnancy-related work interruptions could also justify retention of status (Handout 3 - </w:t>
      </w:r>
      <w:r w:rsidRPr="001875CF">
        <w:rPr>
          <w:i/>
          <w:iCs/>
        </w:rPr>
        <w:t>Free Movement of Workers 2024-25</w:t>
      </w:r>
      <w:r w:rsidRPr="001875CF">
        <w:t xml:space="preserve">, 2025). The ruling built upon previous case law, particularly </w:t>
      </w:r>
      <w:r w:rsidRPr="001875CF">
        <w:rPr>
          <w:b/>
          <w:bCs/>
        </w:rPr>
        <w:t>Lawrie-Blum (Case 66/85)</w:t>
      </w:r>
      <w:r w:rsidRPr="001875CF">
        <w:t xml:space="preserve">, where the Court had established that worker status should be determined in light of economic activity that is "genuine and effective" rather than marginal and ancillary (Barnard, </w:t>
      </w:r>
      <w:r w:rsidRPr="001875CF">
        <w:rPr>
          <w:i/>
          <w:iCs/>
        </w:rPr>
        <w:t>The Free Movement of Persons: Key Principles</w:t>
      </w:r>
      <w:r w:rsidRPr="001875CF">
        <w:t xml:space="preserve">, 2024). By extending this rationale to pregnancy-related absences, the Court acknowledged that pregnancy is a </w:t>
      </w:r>
      <w:r w:rsidRPr="001875CF">
        <w:rPr>
          <w:b/>
          <w:bCs/>
        </w:rPr>
        <w:t>temporary and involuntary condition</w:t>
      </w:r>
      <w:r w:rsidRPr="001875CF">
        <w:t xml:space="preserve"> that prevents a worker from engaging in economic </w:t>
      </w:r>
      <w:r w:rsidRPr="001875CF">
        <w:lastRenderedPageBreak/>
        <w:t xml:space="preserve">activity but does not sever their connection to the labour market (Lecture 12 - </w:t>
      </w:r>
      <w:r w:rsidRPr="001875CF">
        <w:rPr>
          <w:i/>
          <w:iCs/>
        </w:rPr>
        <w:t>Internal Market Law 2024-2025</w:t>
      </w:r>
      <w:r w:rsidRPr="001875CF">
        <w:t>, 2025).</w:t>
      </w:r>
    </w:p>
    <w:p w14:paraId="70F9D7B3" w14:textId="77777777" w:rsidR="00E73779" w:rsidRPr="001875CF" w:rsidRDefault="00613D9E" w:rsidP="001875CF">
      <w:pPr>
        <w:spacing w:line="276" w:lineRule="auto"/>
      </w:pPr>
      <w:r w:rsidRPr="00613D9E">
        <w:rPr>
          <w:noProof/>
          <w14:ligatures w14:val="standardContextual"/>
        </w:rPr>
        <w:pict w14:anchorId="758C5434">
          <v:rect id="_x0000_i1032" alt="" style="width:451.3pt;height:.05pt;mso-width-percent:0;mso-height-percent:0;mso-width-percent:0;mso-height-percent:0" o:hralign="center" o:hrstd="t" o:hr="t" fillcolor="#a0a0a0" stroked="f"/>
        </w:pict>
      </w:r>
    </w:p>
    <w:p w14:paraId="3BD4D5F4" w14:textId="77777777" w:rsidR="00E73779" w:rsidRPr="001875CF" w:rsidRDefault="00E73779" w:rsidP="001875CF">
      <w:pPr>
        <w:spacing w:before="100" w:beforeAutospacing="1" w:after="100" w:afterAutospacing="1" w:line="276" w:lineRule="auto"/>
        <w:outlineLvl w:val="3"/>
        <w:rPr>
          <w:b/>
          <w:bCs/>
        </w:rPr>
      </w:pPr>
      <w:r w:rsidRPr="001875CF">
        <w:rPr>
          <w:b/>
          <w:bCs/>
        </w:rPr>
        <w:t xml:space="preserve">II. Why is </w:t>
      </w:r>
      <w:r w:rsidRPr="001875CF">
        <w:rPr>
          <w:b/>
          <w:bCs/>
          <w:i/>
          <w:iCs/>
        </w:rPr>
        <w:t>Jessy Saint Prix</w:t>
      </w:r>
      <w:r w:rsidRPr="001875CF">
        <w:rPr>
          <w:b/>
          <w:bCs/>
        </w:rPr>
        <w:t xml:space="preserve"> Significant?</w:t>
      </w:r>
    </w:p>
    <w:p w14:paraId="6F20C914" w14:textId="77777777" w:rsidR="00E73779" w:rsidRPr="001875CF" w:rsidRDefault="00E73779" w:rsidP="001875CF">
      <w:pPr>
        <w:spacing w:before="100" w:beforeAutospacing="1" w:after="100" w:afterAutospacing="1" w:line="276" w:lineRule="auto"/>
      </w:pPr>
      <w:r w:rsidRPr="001875CF">
        <w:t xml:space="preserve">The decision in </w:t>
      </w:r>
      <w:r w:rsidRPr="001875CF">
        <w:rPr>
          <w:i/>
          <w:iCs/>
        </w:rPr>
        <w:t>Jessy Saint Prix</w:t>
      </w:r>
      <w:r w:rsidRPr="001875CF">
        <w:t xml:space="preserve"> is significant for several reasons.</w:t>
      </w:r>
    </w:p>
    <w:p w14:paraId="57CF037E" w14:textId="77777777" w:rsidR="00E73779" w:rsidRPr="001875CF" w:rsidRDefault="00E73779" w:rsidP="001875CF">
      <w:pPr>
        <w:spacing w:before="100" w:beforeAutospacing="1" w:after="100" w:afterAutospacing="1" w:line="276" w:lineRule="auto"/>
      </w:pPr>
      <w:r w:rsidRPr="00B14AED">
        <w:rPr>
          <w:u w:val="single"/>
        </w:rPr>
        <w:t xml:space="preserve">First, it reinforces the </w:t>
      </w:r>
      <w:r w:rsidRPr="00B14AED">
        <w:rPr>
          <w:b/>
          <w:bCs/>
          <w:u w:val="single"/>
        </w:rPr>
        <w:t>broad and protective interpretation of "worker" status under Article 45 TFEU</w:t>
      </w:r>
      <w:r w:rsidRPr="00B14AED">
        <w:rPr>
          <w:u w:val="single"/>
        </w:rPr>
        <w:t>, ensuring that pregnancy-related interruptions do not lead to an automatic loss of legal status.</w:t>
      </w:r>
      <w:r w:rsidRPr="001875CF">
        <w:t xml:space="preserve"> The ruling aligns with the Court’s </w:t>
      </w:r>
      <w:r w:rsidRPr="001875CF">
        <w:rPr>
          <w:b/>
          <w:bCs/>
        </w:rPr>
        <w:t>established jurisprudence</w:t>
      </w:r>
      <w:r w:rsidRPr="001875CF">
        <w:t xml:space="preserve">, which prioritises economic integration over rigid formal classifications (Lecture 12 - </w:t>
      </w:r>
      <w:r w:rsidRPr="001875CF">
        <w:rPr>
          <w:i/>
          <w:iCs/>
        </w:rPr>
        <w:t>Internal Market Law 2024-2025</w:t>
      </w:r>
      <w:r w:rsidRPr="001875CF">
        <w:t xml:space="preserve">, 2025). By doing so, it prevents </w:t>
      </w:r>
      <w:r w:rsidRPr="001875CF">
        <w:rPr>
          <w:b/>
          <w:bCs/>
        </w:rPr>
        <w:t>Member States</w:t>
      </w:r>
      <w:r w:rsidRPr="001875CF">
        <w:t xml:space="preserve"> from imposing restrictive definitions of "worker" that would disproportionately disadvantage women (Handout 3 - </w:t>
      </w:r>
      <w:r w:rsidRPr="001875CF">
        <w:rPr>
          <w:i/>
          <w:iCs/>
        </w:rPr>
        <w:t>Free Movement of Workers 2024-25</w:t>
      </w:r>
      <w:r w:rsidRPr="001875CF">
        <w:t>, 2025).</w:t>
      </w:r>
    </w:p>
    <w:p w14:paraId="3BC5E2F3" w14:textId="77777777" w:rsidR="00E73779" w:rsidRPr="001875CF" w:rsidRDefault="00E73779" w:rsidP="001875CF">
      <w:pPr>
        <w:spacing w:before="100" w:beforeAutospacing="1" w:after="100" w:afterAutospacing="1" w:line="276" w:lineRule="auto"/>
      </w:pPr>
      <w:r w:rsidRPr="001875CF">
        <w:t xml:space="preserve">Second, the decision has </w:t>
      </w:r>
      <w:r w:rsidRPr="001875CF">
        <w:rPr>
          <w:b/>
          <w:bCs/>
        </w:rPr>
        <w:t>critical implications for gender equality</w:t>
      </w:r>
      <w:r w:rsidRPr="001875CF">
        <w:t xml:space="preserve">. By ensuring that pregnant women are not excluded from the </w:t>
      </w:r>
      <w:r w:rsidRPr="001875CF">
        <w:rPr>
          <w:b/>
          <w:bCs/>
        </w:rPr>
        <w:t>benefits of free movement</w:t>
      </w:r>
      <w:r w:rsidRPr="001875CF">
        <w:t xml:space="preserve">, the ruling strengthens protections against </w:t>
      </w:r>
      <w:r w:rsidRPr="001875CF">
        <w:rPr>
          <w:b/>
          <w:bCs/>
        </w:rPr>
        <w:t>indirect discrimination</w:t>
      </w:r>
      <w:r w:rsidRPr="001875CF">
        <w:t xml:space="preserve"> under EU law. The Court's approach reflects the </w:t>
      </w:r>
      <w:r w:rsidRPr="001875CF">
        <w:rPr>
          <w:b/>
          <w:bCs/>
        </w:rPr>
        <w:t>EU’s broader commitment to substantive equality</w:t>
      </w:r>
      <w:r w:rsidRPr="001875CF">
        <w:t xml:space="preserve"> in the workplace and ensures that </w:t>
      </w:r>
      <w:r w:rsidRPr="001875CF">
        <w:rPr>
          <w:b/>
          <w:bCs/>
        </w:rPr>
        <w:t>biological differences do not translate into legal disadvantages</w:t>
      </w:r>
      <w:r w:rsidRPr="001875CF">
        <w:t xml:space="preserve"> (Barnard, </w:t>
      </w:r>
      <w:r w:rsidRPr="001875CF">
        <w:rPr>
          <w:i/>
          <w:iCs/>
        </w:rPr>
        <w:t>The Free Movement of Persons: Key Principles</w:t>
      </w:r>
      <w:r w:rsidRPr="001875CF">
        <w:t xml:space="preserve">, 2024). The ruling upholds the fundamental </w:t>
      </w:r>
      <w:r w:rsidRPr="001875CF">
        <w:rPr>
          <w:b/>
          <w:bCs/>
        </w:rPr>
        <w:t>principle of equal treatment</w:t>
      </w:r>
      <w:r w:rsidRPr="001875CF">
        <w:t xml:space="preserve">, aligning with the objectives of </w:t>
      </w:r>
      <w:r w:rsidRPr="001875CF">
        <w:rPr>
          <w:b/>
          <w:bCs/>
        </w:rPr>
        <w:t>Directive 2004/38</w:t>
      </w:r>
      <w:r w:rsidRPr="001875CF">
        <w:t xml:space="preserve">, which seeks to ensure that free movement rights are exercised in a non-discriminatory manner (7. </w:t>
      </w:r>
      <w:r w:rsidRPr="001875CF">
        <w:rPr>
          <w:i/>
          <w:iCs/>
        </w:rPr>
        <w:t>Free Movement of Workers and the Self-Employed</w:t>
      </w:r>
      <w:r w:rsidRPr="001875CF">
        <w:t>, 2025).</w:t>
      </w:r>
    </w:p>
    <w:p w14:paraId="31A04684" w14:textId="77777777" w:rsidR="00E73779" w:rsidRPr="001875CF" w:rsidRDefault="00E73779" w:rsidP="001875CF">
      <w:pPr>
        <w:spacing w:before="100" w:beforeAutospacing="1" w:after="100" w:afterAutospacing="1" w:line="276" w:lineRule="auto"/>
      </w:pPr>
      <w:r w:rsidRPr="001875CF">
        <w:t xml:space="preserve">Third, the ruling has </w:t>
      </w:r>
      <w:r w:rsidRPr="001875CF">
        <w:rPr>
          <w:b/>
          <w:bCs/>
        </w:rPr>
        <w:t>substantial implications for social security rights</w:t>
      </w:r>
      <w:r w:rsidRPr="001875CF">
        <w:t xml:space="preserve">. The retention of worker status enables pregnant women to continue </w:t>
      </w:r>
      <w:r w:rsidRPr="001875CF">
        <w:rPr>
          <w:b/>
          <w:bCs/>
        </w:rPr>
        <w:t>accessing benefits</w:t>
      </w:r>
      <w:r w:rsidRPr="001875CF">
        <w:t xml:space="preserve"> such as </w:t>
      </w:r>
      <w:r w:rsidRPr="001875CF">
        <w:rPr>
          <w:b/>
          <w:bCs/>
        </w:rPr>
        <w:t>maternity allowances, healthcare, and income support</w:t>
      </w:r>
      <w:r w:rsidRPr="001875CF">
        <w:t xml:space="preserve">, without being classified as economically inactive. Without this protection, a pregnant worker who temporarily withdraws from employment would risk losing </w:t>
      </w:r>
      <w:r w:rsidRPr="001875CF">
        <w:rPr>
          <w:b/>
          <w:bCs/>
        </w:rPr>
        <w:t>financial support</w:t>
      </w:r>
      <w:r w:rsidRPr="001875CF">
        <w:t xml:space="preserve">, potentially compelling premature re-entry into the workforce (Handout 3 - </w:t>
      </w:r>
      <w:r w:rsidRPr="001875CF">
        <w:rPr>
          <w:i/>
          <w:iCs/>
        </w:rPr>
        <w:t>Free Movement of Workers 2024-25</w:t>
      </w:r>
      <w:r w:rsidRPr="001875CF">
        <w:t xml:space="preserve">, 2025). This recognition of </w:t>
      </w:r>
      <w:r w:rsidRPr="001875CF">
        <w:rPr>
          <w:b/>
          <w:bCs/>
        </w:rPr>
        <w:t>social realities</w:t>
      </w:r>
      <w:r w:rsidRPr="001875CF">
        <w:t xml:space="preserve"> reinforces the </w:t>
      </w:r>
      <w:r w:rsidRPr="001875CF">
        <w:rPr>
          <w:b/>
          <w:bCs/>
        </w:rPr>
        <w:t>Court’s functional approach</w:t>
      </w:r>
      <w:r w:rsidRPr="001875CF">
        <w:t xml:space="preserve"> to EU citizenship and free movement law (Lecture 13 - </w:t>
      </w:r>
      <w:r w:rsidRPr="001875CF">
        <w:rPr>
          <w:i/>
          <w:iCs/>
        </w:rPr>
        <w:t>Internal Market Law 2024-2025</w:t>
      </w:r>
      <w:r w:rsidRPr="001875CF">
        <w:t>, 2025).</w:t>
      </w:r>
    </w:p>
    <w:p w14:paraId="6CBDFF4E" w14:textId="77777777" w:rsidR="00E73779" w:rsidRPr="001875CF" w:rsidRDefault="00E73779" w:rsidP="001875CF">
      <w:pPr>
        <w:spacing w:before="100" w:beforeAutospacing="1" w:after="100" w:afterAutospacing="1" w:line="276" w:lineRule="auto"/>
      </w:pPr>
      <w:r w:rsidRPr="001875CF">
        <w:t xml:space="preserve">Moreover, the ruling in </w:t>
      </w:r>
      <w:r w:rsidRPr="001875CF">
        <w:rPr>
          <w:i/>
          <w:iCs/>
        </w:rPr>
        <w:t>Jessy Saint Prix</w:t>
      </w:r>
      <w:r w:rsidRPr="001875CF">
        <w:t xml:space="preserve"> ensures </w:t>
      </w:r>
      <w:r w:rsidRPr="001875CF">
        <w:rPr>
          <w:b/>
          <w:bCs/>
        </w:rPr>
        <w:t>consistency with previous decisions</w:t>
      </w:r>
      <w:r w:rsidRPr="001875CF">
        <w:t xml:space="preserve"> that safeguard the rights of individuals transitioning between employment states. It echoes the reasoning in </w:t>
      </w:r>
      <w:r w:rsidRPr="001875CF">
        <w:rPr>
          <w:b/>
          <w:bCs/>
        </w:rPr>
        <w:t>Collins (Case C-138/02)</w:t>
      </w:r>
      <w:r w:rsidRPr="001875CF">
        <w:t xml:space="preserve"> and </w:t>
      </w:r>
      <w:proofErr w:type="spellStart"/>
      <w:r w:rsidRPr="001875CF">
        <w:rPr>
          <w:b/>
          <w:bCs/>
        </w:rPr>
        <w:t>Vatsouras</w:t>
      </w:r>
      <w:proofErr w:type="spellEnd"/>
      <w:r w:rsidRPr="001875CF">
        <w:rPr>
          <w:b/>
          <w:bCs/>
        </w:rPr>
        <w:t xml:space="preserve"> (Cases C-22/08 and C-23/08)</w:t>
      </w:r>
      <w:r w:rsidRPr="001875CF">
        <w:t xml:space="preserve">, where the Court </w:t>
      </w:r>
      <w:r w:rsidRPr="001875CF">
        <w:rPr>
          <w:b/>
          <w:bCs/>
        </w:rPr>
        <w:t>emphasised</w:t>
      </w:r>
      <w:r w:rsidRPr="001875CF">
        <w:t xml:space="preserve"> that EU citizens who maintain a </w:t>
      </w:r>
      <w:r w:rsidRPr="001875CF">
        <w:rPr>
          <w:b/>
          <w:bCs/>
        </w:rPr>
        <w:t>"genuine link" to the labour market</w:t>
      </w:r>
      <w:r w:rsidRPr="001875CF">
        <w:t xml:space="preserve"> should not be deprived of their rights under </w:t>
      </w:r>
      <w:r w:rsidRPr="001875CF">
        <w:rPr>
          <w:b/>
          <w:bCs/>
        </w:rPr>
        <w:t>Article 45 TFEU</w:t>
      </w:r>
      <w:r w:rsidRPr="001875CF">
        <w:t xml:space="preserve"> (7. </w:t>
      </w:r>
      <w:r w:rsidRPr="001875CF">
        <w:rPr>
          <w:i/>
          <w:iCs/>
        </w:rPr>
        <w:t>Free Movement of Workers and the Self-Employed</w:t>
      </w:r>
      <w:r w:rsidRPr="001875CF">
        <w:t xml:space="preserve">, 2025). By extending this protection to </w:t>
      </w:r>
      <w:r w:rsidRPr="001875CF">
        <w:rPr>
          <w:b/>
          <w:bCs/>
        </w:rPr>
        <w:t>pregnant women</w:t>
      </w:r>
      <w:r w:rsidRPr="001875CF">
        <w:t xml:space="preserve">, the decision strengthens legal safeguards for economically active individuals who experience </w:t>
      </w:r>
      <w:r w:rsidRPr="001875CF">
        <w:rPr>
          <w:b/>
          <w:bCs/>
        </w:rPr>
        <w:t>temporary but justified absences</w:t>
      </w:r>
      <w:r w:rsidRPr="001875CF">
        <w:t xml:space="preserve"> from the workforce.</w:t>
      </w:r>
    </w:p>
    <w:p w14:paraId="4FF84CDE" w14:textId="77777777" w:rsidR="00E73779" w:rsidRDefault="00E73779" w:rsidP="001875CF">
      <w:pPr>
        <w:spacing w:before="100" w:beforeAutospacing="1" w:after="100" w:afterAutospacing="1" w:line="276" w:lineRule="auto"/>
      </w:pPr>
      <w:r w:rsidRPr="001875CF">
        <w:lastRenderedPageBreak/>
        <w:t xml:space="preserve">Finally, the judgment sets </w:t>
      </w:r>
      <w:r w:rsidRPr="001875CF">
        <w:rPr>
          <w:b/>
          <w:bCs/>
        </w:rPr>
        <w:t>an important precedent for future cases</w:t>
      </w:r>
      <w:r w:rsidRPr="001875CF">
        <w:t xml:space="preserve"> involving </w:t>
      </w:r>
      <w:r w:rsidRPr="001875CF">
        <w:rPr>
          <w:b/>
          <w:bCs/>
        </w:rPr>
        <w:t>temporary withdrawal from the labour market</w:t>
      </w:r>
      <w:r w:rsidRPr="001875CF">
        <w:t xml:space="preserve">. The reasoning in </w:t>
      </w:r>
      <w:r w:rsidRPr="001875CF">
        <w:rPr>
          <w:i/>
          <w:iCs/>
        </w:rPr>
        <w:t>Jessy Saint Prix</w:t>
      </w:r>
      <w:r w:rsidRPr="001875CF">
        <w:t xml:space="preserve"> was later extended in </w:t>
      </w:r>
      <w:proofErr w:type="spellStart"/>
      <w:r w:rsidRPr="001875CF">
        <w:rPr>
          <w:b/>
          <w:bCs/>
        </w:rPr>
        <w:t>Dakneviciute</w:t>
      </w:r>
      <w:proofErr w:type="spellEnd"/>
      <w:r w:rsidRPr="001875CF">
        <w:rPr>
          <w:b/>
          <w:bCs/>
        </w:rPr>
        <w:t xml:space="preserve"> (Case C-544/18)</w:t>
      </w:r>
      <w:r w:rsidRPr="001875CF">
        <w:t xml:space="preserve">, where the Court held that </w:t>
      </w:r>
      <w:r w:rsidRPr="001875CF">
        <w:rPr>
          <w:b/>
          <w:bCs/>
        </w:rPr>
        <w:t>self-employed individuals should receive similar protection</w:t>
      </w:r>
      <w:r w:rsidRPr="001875CF">
        <w:t xml:space="preserve"> (7. </w:t>
      </w:r>
      <w:r w:rsidRPr="001875CF">
        <w:rPr>
          <w:i/>
          <w:iCs/>
        </w:rPr>
        <w:t>Free Movement of Workers and the Self-Employed</w:t>
      </w:r>
      <w:r w:rsidRPr="001875CF">
        <w:t xml:space="preserve">, 2025). This confirms that the </w:t>
      </w:r>
      <w:r w:rsidRPr="001875CF">
        <w:rPr>
          <w:b/>
          <w:bCs/>
        </w:rPr>
        <w:t xml:space="preserve">principles established in </w:t>
      </w:r>
      <w:r w:rsidRPr="001875CF">
        <w:rPr>
          <w:b/>
          <w:bCs/>
          <w:i/>
          <w:iCs/>
        </w:rPr>
        <w:t>Jessy Saint Prix</w:t>
      </w:r>
      <w:r w:rsidRPr="001875CF">
        <w:t xml:space="preserve"> apply beyond </w:t>
      </w:r>
      <w:r w:rsidRPr="001875CF">
        <w:rPr>
          <w:b/>
          <w:bCs/>
        </w:rPr>
        <w:t>traditional employment relationships</w:t>
      </w:r>
      <w:r w:rsidRPr="001875CF">
        <w:t xml:space="preserve">, further reinforcing the </w:t>
      </w:r>
      <w:r w:rsidRPr="001875CF">
        <w:rPr>
          <w:b/>
          <w:bCs/>
        </w:rPr>
        <w:t>legal safeguards for economically active migrants</w:t>
      </w:r>
      <w:r w:rsidRPr="001875CF">
        <w:t>.</w:t>
      </w:r>
    </w:p>
    <w:p w14:paraId="6A8A7832" w14:textId="4E9347F5" w:rsidR="007318A2" w:rsidRPr="001875CF" w:rsidRDefault="007318A2" w:rsidP="001875CF">
      <w:pPr>
        <w:spacing w:before="100" w:beforeAutospacing="1" w:after="100" w:afterAutospacing="1" w:line="276" w:lineRule="auto"/>
      </w:pPr>
      <w:r>
        <w:sym w:font="Wingdings" w:char="F0E0"/>
      </w:r>
      <w:r>
        <w:t xml:space="preserve"> directive vs art 45 </w:t>
      </w:r>
      <w:r>
        <w:sym w:font="Wingdings" w:char="F0E0"/>
      </w:r>
      <w:r>
        <w:t xml:space="preserve"> not problematic </w:t>
      </w:r>
    </w:p>
    <w:p w14:paraId="03A9D252" w14:textId="77777777" w:rsidR="00E73779" w:rsidRPr="001875CF" w:rsidRDefault="00613D9E" w:rsidP="001875CF">
      <w:pPr>
        <w:spacing w:line="276" w:lineRule="auto"/>
      </w:pPr>
      <w:r w:rsidRPr="00613D9E">
        <w:rPr>
          <w:noProof/>
          <w14:ligatures w14:val="standardContextual"/>
        </w:rPr>
        <w:pict w14:anchorId="238739E4">
          <v:rect id="_x0000_i1031" alt="" style="width:451.3pt;height:.05pt;mso-width-percent:0;mso-height-percent:0;mso-width-percent:0;mso-height-percent:0" o:hralign="center" o:hrstd="t" o:hr="t" fillcolor="#a0a0a0" stroked="f"/>
        </w:pict>
      </w:r>
    </w:p>
    <w:p w14:paraId="58F58184" w14:textId="77777777" w:rsidR="0076715F" w:rsidRPr="001875CF" w:rsidRDefault="0076715F" w:rsidP="001875CF">
      <w:pPr>
        <w:pStyle w:val="NormalWeb"/>
        <w:spacing w:before="0" w:beforeAutospacing="0" w:after="240" w:afterAutospacing="0" w:line="276" w:lineRule="auto"/>
        <w:rPr>
          <w:rFonts w:ascii="SymbolMT" w:hAnsi="SymbolMT"/>
        </w:rPr>
      </w:pPr>
    </w:p>
    <w:p w14:paraId="5D689522" w14:textId="77777777" w:rsidR="0051144E" w:rsidRPr="001875CF" w:rsidRDefault="0051144E" w:rsidP="001875CF">
      <w:pPr>
        <w:pStyle w:val="NormalWeb"/>
        <w:spacing w:before="0" w:beforeAutospacing="0" w:after="240" w:afterAutospacing="0" w:line="276" w:lineRule="auto"/>
        <w:rPr>
          <w:rFonts w:ascii="SymbolMT" w:hAnsi="SymbolMT"/>
        </w:rPr>
      </w:pPr>
      <w:r w:rsidRPr="001875CF">
        <w:rPr>
          <w:rFonts w:ascii="Garamond" w:hAnsi="Garamond"/>
          <w:b/>
          <w:bCs/>
        </w:rPr>
        <w:t xml:space="preserve">Problem Questions </w:t>
      </w:r>
    </w:p>
    <w:p w14:paraId="16FF1821" w14:textId="70D5D5D2" w:rsidR="0051144E" w:rsidRPr="001875CF" w:rsidRDefault="0051144E" w:rsidP="001875CF">
      <w:pPr>
        <w:pStyle w:val="NormalWeb"/>
        <w:spacing w:before="0" w:beforeAutospacing="0" w:after="240" w:afterAutospacing="0" w:line="276" w:lineRule="auto"/>
        <w:rPr>
          <w:rFonts w:ascii="SymbolMT" w:hAnsi="SymbolMT"/>
        </w:rPr>
      </w:pPr>
      <w:r w:rsidRPr="001875CF">
        <w:rPr>
          <w:rFonts w:ascii="Garamond" w:hAnsi="Garamond"/>
        </w:rPr>
        <w:t xml:space="preserve">1. Peter is a Dutch national and a designer. He travels to Austria to seek work. His wife Louise, a French national, accompanies him. </w:t>
      </w:r>
      <w:r w:rsidRPr="001875CF">
        <w:rPr>
          <w:rFonts w:ascii="Garamond" w:hAnsi="Garamond"/>
          <w:u w:val="single"/>
        </w:rPr>
        <w:t xml:space="preserve">Peter manages to apply for a </w:t>
      </w:r>
      <w:r w:rsidRPr="007318A2">
        <w:rPr>
          <w:rFonts w:ascii="Garamond" w:hAnsi="Garamond"/>
          <w:color w:val="FF0000"/>
          <w:u w:val="single"/>
        </w:rPr>
        <w:t xml:space="preserve">part-time designer position </w:t>
      </w:r>
      <w:r w:rsidRPr="001875CF">
        <w:rPr>
          <w:rFonts w:ascii="Garamond" w:hAnsi="Garamond"/>
          <w:u w:val="single"/>
        </w:rPr>
        <w:t xml:space="preserve">within an </w:t>
      </w:r>
      <w:r w:rsidRPr="001875CF">
        <w:rPr>
          <w:rFonts w:ascii="Garamond" w:hAnsi="Garamond"/>
          <w:color w:val="FF0000"/>
          <w:u w:val="single"/>
        </w:rPr>
        <w:t>Austrian government department</w:t>
      </w:r>
      <w:r w:rsidRPr="001875CF">
        <w:rPr>
          <w:rFonts w:ascii="Garamond" w:hAnsi="Garamond"/>
          <w:u w:val="single"/>
        </w:rPr>
        <w:t>.</w:t>
      </w:r>
      <w:r w:rsidRPr="001875CF">
        <w:rPr>
          <w:rFonts w:ascii="Garamond" w:hAnsi="Garamond"/>
        </w:rPr>
        <w:t xml:space="preserve"> His application is turned down for a number of reasons, (a) the department only recruits a limited number of foreign nationals; (b) they claim that Peter's Italian is not good enough for the job; (c) they contend that some of the design work requires access to military installations, and can therefore only be entrusted to Austrian nationals. Both Peter and Louise are asked to leave the country. </w:t>
      </w:r>
    </w:p>
    <w:p w14:paraId="534D779D" w14:textId="77777777" w:rsidR="0051144E" w:rsidRDefault="0051144E" w:rsidP="001875CF">
      <w:pPr>
        <w:pStyle w:val="NormalWeb"/>
        <w:spacing w:before="0" w:beforeAutospacing="0" w:after="240" w:afterAutospacing="0" w:line="276" w:lineRule="auto"/>
        <w:rPr>
          <w:rFonts w:ascii="Garamond" w:hAnsi="Garamond"/>
        </w:rPr>
      </w:pPr>
      <w:r w:rsidRPr="001875CF">
        <w:rPr>
          <w:rFonts w:ascii="Garamond" w:hAnsi="Garamond"/>
        </w:rPr>
        <w:t xml:space="preserve">Advise Peter as to his and his family’s rights under Union law. </w:t>
      </w:r>
    </w:p>
    <w:p w14:paraId="3CE4CF88" w14:textId="29A5E6C6" w:rsidR="007318A2" w:rsidRDefault="007318A2" w:rsidP="001875CF">
      <w:pPr>
        <w:pStyle w:val="NormalWeb"/>
        <w:spacing w:before="0" w:beforeAutospacing="0" w:after="240" w:afterAutospacing="0" w:line="276" w:lineRule="auto"/>
        <w:rPr>
          <w:rFonts w:ascii="Garamond" w:hAnsi="Garamond"/>
        </w:rPr>
      </w:pPr>
      <w:r>
        <w:rPr>
          <w:rFonts w:ascii="Garamond" w:hAnsi="Garamond"/>
        </w:rPr>
        <w:t xml:space="preserve">Intro para; main issues: 1. residence and 2. denied of jobs </w:t>
      </w:r>
    </w:p>
    <w:p w14:paraId="18A23AB7" w14:textId="1CBE612F" w:rsidR="007318A2" w:rsidRPr="007318A2" w:rsidRDefault="007318A2" w:rsidP="007318A2">
      <w:pPr>
        <w:pStyle w:val="NormalWeb"/>
        <w:spacing w:line="276" w:lineRule="auto"/>
      </w:pPr>
      <w:r w:rsidRPr="001875CF">
        <w:rPr>
          <w:rFonts w:ascii="TimesNewRomanPS" w:hAnsi="TimesNewRomanPS"/>
          <w:b/>
          <w:bCs/>
        </w:rPr>
        <w:t xml:space="preserve">Semi-horizontally: </w:t>
      </w:r>
      <w:r w:rsidRPr="001875CF">
        <w:rPr>
          <w:rFonts w:ascii="TimesNewRomanPSMT" w:hAnsi="TimesNewRomanPSMT"/>
        </w:rPr>
        <w:t>rules regulating employment in a collective manner in all cases (direct, indirect and non-</w:t>
      </w:r>
      <w:proofErr w:type="spellStart"/>
      <w:r w:rsidRPr="001875CF">
        <w:rPr>
          <w:rFonts w:ascii="TimesNewRomanPSMT" w:hAnsi="TimesNewRomanPSMT"/>
        </w:rPr>
        <w:t>discr</w:t>
      </w:r>
      <w:proofErr w:type="spellEnd"/>
      <w:r w:rsidRPr="001875CF">
        <w:rPr>
          <w:rFonts w:ascii="TimesNewRomanPSMT" w:hAnsi="TimesNewRomanPSMT"/>
        </w:rPr>
        <w:t xml:space="preserve">. barriers) </w:t>
      </w:r>
    </w:p>
    <w:p w14:paraId="62BB44BB" w14:textId="76085D98" w:rsidR="007318A2" w:rsidRDefault="007318A2" w:rsidP="001875CF">
      <w:pPr>
        <w:pStyle w:val="NormalWeb"/>
        <w:spacing w:line="276" w:lineRule="auto"/>
        <w:rPr>
          <w:rFonts w:ascii="TimesNewRomanPS" w:hAnsi="TimesNewRomanPS"/>
          <w:b/>
          <w:bCs/>
        </w:rPr>
      </w:pPr>
      <w:r>
        <w:rPr>
          <w:rFonts w:ascii="TimesNewRomanPS" w:hAnsi="TimesNewRomanPS"/>
          <w:b/>
          <w:bCs/>
        </w:rPr>
        <w:t xml:space="preserve">1. cross border </w:t>
      </w:r>
    </w:p>
    <w:p w14:paraId="00C6C918" w14:textId="22B4D5B7" w:rsidR="007318A2" w:rsidRDefault="007318A2" w:rsidP="001875CF">
      <w:pPr>
        <w:pStyle w:val="NormalWeb"/>
        <w:spacing w:line="276" w:lineRule="auto"/>
        <w:rPr>
          <w:rFonts w:ascii="TimesNewRomanPS" w:hAnsi="TimesNewRomanPS"/>
          <w:b/>
          <w:bCs/>
        </w:rPr>
      </w:pPr>
      <w:r>
        <w:rPr>
          <w:rFonts w:ascii="TimesNewRomanPS" w:hAnsi="TimesNewRomanPS"/>
          <w:b/>
          <w:bCs/>
        </w:rPr>
        <w:t xml:space="preserve">2. National – vertical / horizontal effect </w:t>
      </w:r>
    </w:p>
    <w:p w14:paraId="5D059103" w14:textId="5C92F592" w:rsidR="00232974" w:rsidRPr="00232974" w:rsidRDefault="00232974" w:rsidP="001875CF">
      <w:pPr>
        <w:spacing w:before="100" w:beforeAutospacing="1" w:after="100" w:afterAutospacing="1" w:line="276" w:lineRule="auto"/>
        <w:outlineLvl w:val="2"/>
        <w:rPr>
          <w:b/>
          <w:bCs/>
        </w:rPr>
      </w:pPr>
      <w:r w:rsidRPr="00232974">
        <w:rPr>
          <w:b/>
          <w:bCs/>
        </w:rPr>
        <w:t>1. Cross-Border Element and Scope of Article 45 TFEU</w:t>
      </w:r>
    </w:p>
    <w:p w14:paraId="3998FF79" w14:textId="77777777" w:rsidR="00232974" w:rsidRPr="00232974" w:rsidRDefault="00232974" w:rsidP="001875CF">
      <w:pPr>
        <w:spacing w:before="100" w:beforeAutospacing="1" w:after="100" w:afterAutospacing="1" w:line="276" w:lineRule="auto"/>
      </w:pPr>
      <w:r w:rsidRPr="00232974">
        <w:t xml:space="preserve">For </w:t>
      </w:r>
      <w:r w:rsidRPr="00232974">
        <w:rPr>
          <w:b/>
          <w:bCs/>
        </w:rPr>
        <w:t>Article 45 TFEU</w:t>
      </w:r>
      <w:r w:rsidRPr="00232974">
        <w:t xml:space="preserve"> to apply, Peter’s case must contain a </w:t>
      </w:r>
      <w:r w:rsidRPr="00232974">
        <w:rPr>
          <w:b/>
          <w:bCs/>
        </w:rPr>
        <w:t>cross-border element</w:t>
      </w:r>
      <w:r w:rsidRPr="00232974">
        <w:t xml:space="preserve">. Since Peter, a </w:t>
      </w:r>
      <w:r w:rsidRPr="00232974">
        <w:rPr>
          <w:b/>
          <w:bCs/>
        </w:rPr>
        <w:t>Dutch national</w:t>
      </w:r>
      <w:r w:rsidRPr="00232974">
        <w:t xml:space="preserve">, moved to Austria to seek work, this is a </w:t>
      </w:r>
      <w:r w:rsidRPr="00232974">
        <w:rPr>
          <w:b/>
          <w:bCs/>
        </w:rPr>
        <w:t>clear cross-border case</w:t>
      </w:r>
      <w:r w:rsidRPr="00232974">
        <w:t xml:space="preserve">, falling under the </w:t>
      </w:r>
      <w:r w:rsidRPr="00232974">
        <w:rPr>
          <w:b/>
          <w:bCs/>
        </w:rPr>
        <w:t>personal and material scope</w:t>
      </w:r>
      <w:r w:rsidRPr="00232974">
        <w:t xml:space="preserve"> of </w:t>
      </w:r>
      <w:r w:rsidRPr="00232974">
        <w:rPr>
          <w:b/>
          <w:bCs/>
        </w:rPr>
        <w:t>Article 45 TFEU</w:t>
      </w:r>
      <w:r w:rsidRPr="00232974">
        <w:t>.</w:t>
      </w:r>
    </w:p>
    <w:p w14:paraId="7E621AA6" w14:textId="1DB43979" w:rsidR="00232974" w:rsidRPr="00232974" w:rsidRDefault="00232974" w:rsidP="007318A2">
      <w:pPr>
        <w:spacing w:before="100" w:beforeAutospacing="1" w:after="100" w:afterAutospacing="1" w:line="276" w:lineRule="auto"/>
      </w:pPr>
      <w:r w:rsidRPr="00232974">
        <w:t xml:space="preserve">The </w:t>
      </w:r>
      <w:r w:rsidRPr="00232974">
        <w:rPr>
          <w:b/>
          <w:bCs/>
        </w:rPr>
        <w:t>Court of Justice of the European Union (CJEU)</w:t>
      </w:r>
      <w:r w:rsidRPr="00232974">
        <w:t xml:space="preserve"> has consistently held that </w:t>
      </w:r>
      <w:r w:rsidRPr="00232974">
        <w:rPr>
          <w:b/>
          <w:bCs/>
        </w:rPr>
        <w:t>jobseekers</w:t>
      </w:r>
      <w:r w:rsidRPr="00232974">
        <w:t xml:space="preserve"> fall under </w:t>
      </w:r>
      <w:r w:rsidRPr="00232974">
        <w:rPr>
          <w:b/>
          <w:bCs/>
        </w:rPr>
        <w:t>Article 45 TFEU</w:t>
      </w:r>
      <w:r w:rsidRPr="00232974">
        <w:t xml:space="preserve"> and are entitled to a reasonable period to find work (</w:t>
      </w:r>
      <w:proofErr w:type="spellStart"/>
      <w:r w:rsidRPr="00232974">
        <w:rPr>
          <w:i/>
          <w:iCs/>
        </w:rPr>
        <w:t>Antonissen</w:t>
      </w:r>
      <w:proofErr w:type="spellEnd"/>
      <w:r w:rsidRPr="00232974">
        <w:t xml:space="preserve">, Case C-292/89)​. Peter’s application for a part-time designer position further strengthens his status, as even </w:t>
      </w:r>
      <w:r w:rsidRPr="00232974">
        <w:rPr>
          <w:b/>
          <w:bCs/>
        </w:rPr>
        <w:t>part-time workers</w:t>
      </w:r>
      <w:r w:rsidRPr="00232974">
        <w:t xml:space="preserve"> are considered workers under </w:t>
      </w:r>
      <w:r w:rsidRPr="00232974">
        <w:rPr>
          <w:b/>
          <w:bCs/>
        </w:rPr>
        <w:t>EU law</w:t>
      </w:r>
      <w:r w:rsidRPr="00232974">
        <w:t>, provided the work is "genuine and effective" (</w:t>
      </w:r>
      <w:r w:rsidRPr="00232974">
        <w:rPr>
          <w:i/>
          <w:iCs/>
        </w:rPr>
        <w:t>Levin</w:t>
      </w:r>
      <w:r w:rsidRPr="00232974">
        <w:t>, Case 53/81)​.</w:t>
      </w:r>
    </w:p>
    <w:p w14:paraId="0DC671E9" w14:textId="77777777" w:rsidR="00232974" w:rsidRPr="00232974" w:rsidRDefault="00613D9E" w:rsidP="001875CF">
      <w:pPr>
        <w:spacing w:line="276" w:lineRule="auto"/>
      </w:pPr>
      <w:r w:rsidRPr="00613D9E">
        <w:rPr>
          <w:noProof/>
          <w14:ligatures w14:val="standardContextual"/>
        </w:rPr>
        <w:lastRenderedPageBreak/>
        <w:pict w14:anchorId="56DD4A5A">
          <v:rect id="_x0000_i1030" alt="" style="width:451.3pt;height:.05pt;mso-width-percent:0;mso-height-percent:0;mso-width-percent:0;mso-height-percent:0" o:hralign="center" o:hrstd="t" o:hr="t" fillcolor="#a0a0a0" stroked="f"/>
        </w:pict>
      </w:r>
    </w:p>
    <w:p w14:paraId="110CBE3B" w14:textId="28D634F1" w:rsidR="00232974" w:rsidRPr="00232974" w:rsidRDefault="007318A2" w:rsidP="001875CF">
      <w:pPr>
        <w:spacing w:before="100" w:beforeAutospacing="1" w:after="100" w:afterAutospacing="1" w:line="276" w:lineRule="auto"/>
        <w:outlineLvl w:val="2"/>
        <w:rPr>
          <w:b/>
          <w:bCs/>
        </w:rPr>
      </w:pPr>
      <w:r>
        <w:rPr>
          <w:b/>
          <w:bCs/>
        </w:rPr>
        <w:t>2</w:t>
      </w:r>
      <w:r w:rsidR="00232974" w:rsidRPr="00232974">
        <w:rPr>
          <w:b/>
          <w:bCs/>
        </w:rPr>
        <w:t>. Rights Granted Under Article 45 TFEU and EU Law</w:t>
      </w:r>
    </w:p>
    <w:p w14:paraId="30EA94F5" w14:textId="53953A96" w:rsidR="00232974" w:rsidRPr="00232974" w:rsidRDefault="00232974" w:rsidP="001875CF">
      <w:pPr>
        <w:spacing w:before="100" w:beforeAutospacing="1" w:after="100" w:afterAutospacing="1" w:line="276" w:lineRule="auto"/>
        <w:outlineLvl w:val="3"/>
        <w:rPr>
          <w:b/>
          <w:bCs/>
        </w:rPr>
      </w:pPr>
      <w:r w:rsidRPr="00232974">
        <w:rPr>
          <w:b/>
          <w:bCs/>
        </w:rPr>
        <w:t xml:space="preserve">a. </w:t>
      </w:r>
      <w:r w:rsidR="00BE08AD">
        <w:rPr>
          <w:b/>
          <w:bCs/>
        </w:rPr>
        <w:t xml:space="preserve">Direct </w:t>
      </w:r>
      <w:r w:rsidRPr="00232974">
        <w:rPr>
          <w:b/>
          <w:bCs/>
        </w:rPr>
        <w:t>Discrimination Based on Nationality</w:t>
      </w:r>
    </w:p>
    <w:p w14:paraId="32614555" w14:textId="77777777" w:rsidR="00232974" w:rsidRPr="00232974" w:rsidRDefault="00232974" w:rsidP="001875CF">
      <w:pPr>
        <w:spacing w:before="100" w:beforeAutospacing="1" w:after="100" w:afterAutospacing="1" w:line="276" w:lineRule="auto"/>
      </w:pPr>
      <w:r w:rsidRPr="00232974">
        <w:t xml:space="preserve">The first reason for rejection—Austria </w:t>
      </w:r>
      <w:r w:rsidRPr="00232974">
        <w:rPr>
          <w:b/>
          <w:bCs/>
        </w:rPr>
        <w:t>limits the number of foreign nationals</w:t>
      </w:r>
      <w:r w:rsidRPr="00232974">
        <w:t xml:space="preserve">—is a clear violation of </w:t>
      </w:r>
      <w:r w:rsidRPr="00232974">
        <w:rPr>
          <w:b/>
          <w:bCs/>
        </w:rPr>
        <w:t>Article 45(2) TFEU</w:t>
      </w:r>
      <w:r w:rsidRPr="00232974">
        <w:t xml:space="preserve">, which </w:t>
      </w:r>
      <w:r w:rsidRPr="00232974">
        <w:rPr>
          <w:b/>
          <w:bCs/>
        </w:rPr>
        <w:t>prohibits discrimination based on nationality</w:t>
      </w:r>
      <w:r w:rsidRPr="00232974">
        <w:t xml:space="preserve">. The CJEU has ruled in </w:t>
      </w:r>
      <w:r w:rsidRPr="00232974">
        <w:rPr>
          <w:i/>
          <w:iCs/>
        </w:rPr>
        <w:t>Commission v Belgium (Case C-149/79)</w:t>
      </w:r>
      <w:r w:rsidRPr="00232974">
        <w:t xml:space="preserve"> that </w:t>
      </w:r>
      <w:r w:rsidRPr="00232974">
        <w:rPr>
          <w:b/>
          <w:bCs/>
        </w:rPr>
        <w:t>employment restrictions based on nationality</w:t>
      </w:r>
      <w:r w:rsidRPr="00232974">
        <w:t xml:space="preserve"> are illegal unless </w:t>
      </w:r>
      <w:r w:rsidRPr="00232974">
        <w:rPr>
          <w:b/>
          <w:bCs/>
        </w:rPr>
        <w:t>expressly justified</w:t>
      </w:r>
      <w:r w:rsidRPr="00232974">
        <w:t>​.</w:t>
      </w:r>
    </w:p>
    <w:p w14:paraId="58ADAEE9" w14:textId="77777777" w:rsidR="00232974" w:rsidRPr="00232974" w:rsidRDefault="00232974" w:rsidP="001875CF">
      <w:pPr>
        <w:numPr>
          <w:ilvl w:val="0"/>
          <w:numId w:val="10"/>
        </w:numPr>
        <w:spacing w:before="100" w:beforeAutospacing="1" w:after="100" w:afterAutospacing="1" w:line="276" w:lineRule="auto"/>
      </w:pPr>
      <w:r w:rsidRPr="00232974">
        <w:rPr>
          <w:b/>
          <w:bCs/>
        </w:rPr>
        <w:t>Peter has the right to be treated equally to Austrian nationals</w:t>
      </w:r>
      <w:r w:rsidRPr="00232974">
        <w:t xml:space="preserve"> in access to employment (</w:t>
      </w:r>
      <w:r w:rsidRPr="00232974">
        <w:rPr>
          <w:b/>
          <w:bCs/>
        </w:rPr>
        <w:t>Regulation 492/2011, Article 3</w:t>
      </w:r>
      <w:r w:rsidRPr="00232974">
        <w:t>).</w:t>
      </w:r>
    </w:p>
    <w:p w14:paraId="1A1C031A" w14:textId="77777777" w:rsidR="00232974" w:rsidRPr="00232974" w:rsidRDefault="00232974" w:rsidP="001875CF">
      <w:pPr>
        <w:numPr>
          <w:ilvl w:val="0"/>
          <w:numId w:val="10"/>
        </w:numPr>
        <w:spacing w:before="100" w:beforeAutospacing="1" w:after="100" w:afterAutospacing="1" w:line="276" w:lineRule="auto"/>
      </w:pPr>
      <w:r w:rsidRPr="00232974">
        <w:t xml:space="preserve">The Austrian department’s </w:t>
      </w:r>
      <w:r w:rsidRPr="00232974">
        <w:rPr>
          <w:b/>
          <w:bCs/>
        </w:rPr>
        <w:t>quota system violates EU law</w:t>
      </w:r>
      <w:r w:rsidRPr="00232974">
        <w:t xml:space="preserve">, as quotas restricting non-national employment have been </w:t>
      </w:r>
      <w:r w:rsidRPr="00232974">
        <w:rPr>
          <w:b/>
          <w:bCs/>
        </w:rPr>
        <w:t>repeatedly struck down</w:t>
      </w:r>
      <w:r w:rsidRPr="00232974">
        <w:t xml:space="preserve"> by the CJEU.</w:t>
      </w:r>
    </w:p>
    <w:p w14:paraId="3FAFC9D9" w14:textId="77777777" w:rsidR="00232974" w:rsidRPr="00232974" w:rsidRDefault="00613D9E" w:rsidP="001875CF">
      <w:pPr>
        <w:spacing w:line="276" w:lineRule="auto"/>
      </w:pPr>
      <w:r w:rsidRPr="00613D9E">
        <w:rPr>
          <w:noProof/>
          <w14:ligatures w14:val="standardContextual"/>
        </w:rPr>
        <w:pict w14:anchorId="027A53BD">
          <v:rect id="_x0000_i1029" alt="" style="width:451.3pt;height:.05pt;mso-width-percent:0;mso-height-percent:0;mso-width-percent:0;mso-height-percent:0" o:hralign="center" o:hrstd="t" o:hr="t" fillcolor="#a0a0a0" stroked="f"/>
        </w:pict>
      </w:r>
    </w:p>
    <w:p w14:paraId="767A5CBD" w14:textId="4F44A370" w:rsidR="00BE08AD" w:rsidRPr="00232974" w:rsidRDefault="007318A2" w:rsidP="001875CF">
      <w:pPr>
        <w:spacing w:before="100" w:beforeAutospacing="1" w:after="100" w:afterAutospacing="1" w:line="276" w:lineRule="auto"/>
        <w:outlineLvl w:val="3"/>
        <w:rPr>
          <w:b/>
          <w:bCs/>
        </w:rPr>
      </w:pPr>
      <w:r>
        <w:rPr>
          <w:b/>
          <w:bCs/>
        </w:rPr>
        <w:t>b</w:t>
      </w:r>
      <w:r w:rsidR="00232974" w:rsidRPr="00232974">
        <w:rPr>
          <w:b/>
          <w:bCs/>
        </w:rPr>
        <w:t xml:space="preserve">. Language Requirements </w:t>
      </w:r>
    </w:p>
    <w:p w14:paraId="6338A2A1" w14:textId="09522C21" w:rsidR="00232974" w:rsidRDefault="007318A2" w:rsidP="001875CF">
      <w:pPr>
        <w:spacing w:before="100" w:beforeAutospacing="1" w:after="100" w:afterAutospacing="1" w:line="276" w:lineRule="auto"/>
      </w:pPr>
      <w:r>
        <w:sym w:font="Wingdings" w:char="F0E0"/>
      </w:r>
      <w:r>
        <w:t xml:space="preserve"> not given an adv to Australians </w:t>
      </w:r>
      <w:r>
        <w:sym w:font="Wingdings" w:char="F0E0"/>
      </w:r>
      <w:r>
        <w:t xml:space="preserve"> not indirect discrimination </w:t>
      </w:r>
      <w:r w:rsidR="00BE08AD">
        <w:sym w:font="Wingdings" w:char="F0E0"/>
      </w:r>
      <w:r w:rsidR="00BE08AD">
        <w:t xml:space="preserve"> do not disadvantage non-nationals </w:t>
      </w:r>
    </w:p>
    <w:p w14:paraId="038ECCE8" w14:textId="3C68B7BA" w:rsidR="007318A2" w:rsidRDefault="00BE08AD" w:rsidP="001875CF">
      <w:pPr>
        <w:spacing w:before="100" w:beforeAutospacing="1" w:after="100" w:afterAutospacing="1" w:line="276" w:lineRule="auto"/>
      </w:pPr>
      <w:r>
        <w:sym w:font="Wingdings" w:char="F0E0"/>
      </w:r>
      <w:r>
        <w:t xml:space="preserve"> is discrimination in fact à the rule does not discriminate on its face but it affects foreigners (and/or migrants) more than nationals (or non-migrants)</w:t>
      </w:r>
    </w:p>
    <w:p w14:paraId="49ADBD75" w14:textId="7E59F063" w:rsidR="00BE08AD" w:rsidRDefault="00BE08AD" w:rsidP="001875CF">
      <w:pPr>
        <w:spacing w:before="100" w:beforeAutospacing="1" w:after="100" w:afterAutospacing="1" w:line="276" w:lineRule="auto"/>
      </w:pPr>
      <w:r>
        <w:sym w:font="Wingdings" w:char="F0E0"/>
      </w:r>
      <w:r>
        <w:t xml:space="preserve"> free movement point of view </w:t>
      </w:r>
      <w:r>
        <w:sym w:font="Wingdings" w:char="F0E0"/>
      </w:r>
      <w:r>
        <w:t xml:space="preserve"> direct and indirect discriminate are prohibited </w:t>
      </w:r>
      <w:r>
        <w:sym w:font="Wingdings" w:char="F0E0"/>
      </w:r>
      <w:r>
        <w:t xml:space="preserve"> other situations being caught by art 45 / the court </w:t>
      </w:r>
    </w:p>
    <w:p w14:paraId="3D82B6AB" w14:textId="77777777" w:rsidR="00BE08AD" w:rsidRDefault="00BE08AD" w:rsidP="001875CF">
      <w:pPr>
        <w:spacing w:before="100" w:beforeAutospacing="1" w:after="100" w:afterAutospacing="1" w:line="276" w:lineRule="auto"/>
      </w:pPr>
    </w:p>
    <w:p w14:paraId="445167D7" w14:textId="73B454D3" w:rsidR="00BE08AD" w:rsidRDefault="00BE08AD" w:rsidP="001875CF">
      <w:pPr>
        <w:spacing w:before="100" w:beforeAutospacing="1" w:after="100" w:afterAutospacing="1" w:line="276" w:lineRule="auto"/>
      </w:pPr>
      <w:r>
        <w:t xml:space="preserve">Non- discrimination barriers </w:t>
      </w:r>
      <w:r>
        <w:sym w:font="Wingdings" w:char="F0E0"/>
      </w:r>
      <w:r>
        <w:t xml:space="preserve"> argue against those lines </w:t>
      </w:r>
      <w:r>
        <w:sym w:font="Wingdings" w:char="F0E0"/>
      </w:r>
      <w:r>
        <w:t xml:space="preserve"> Rules which discourage/hinder movement or affect access to the employment market , regulation 492 </w:t>
      </w:r>
      <w:r>
        <w:sym w:font="Wingdings" w:char="F0E0"/>
      </w:r>
      <w:r>
        <w:t xml:space="preserve"> nature of the job do require language requirements?</w:t>
      </w:r>
    </w:p>
    <w:p w14:paraId="5604001F" w14:textId="4821A4C6" w:rsidR="00BE08AD" w:rsidRDefault="00BE08AD" w:rsidP="001875CF">
      <w:pPr>
        <w:spacing w:before="100" w:beforeAutospacing="1" w:after="100" w:afterAutospacing="1" w:line="276" w:lineRule="auto"/>
      </w:pPr>
      <w:r>
        <w:sym w:font="Wingdings" w:char="F0E0"/>
      </w:r>
      <w:r>
        <w:t xml:space="preserve"> additional language skills </w:t>
      </w:r>
      <w:r>
        <w:sym w:font="Wingdings" w:char="F0E0"/>
      </w:r>
      <w:r>
        <w:t xml:space="preserve"> restriction to the free movement </w:t>
      </w:r>
      <w:r>
        <w:sym w:font="Wingdings" w:char="F0E0"/>
      </w:r>
      <w:r>
        <w:t xml:space="preserve"> but it is not strictly bound </w:t>
      </w:r>
      <w:r>
        <w:sym w:font="Wingdings" w:char="F0E0"/>
      </w:r>
      <w:r>
        <w:t xml:space="preserve"> but it can be justified </w:t>
      </w:r>
      <w:r>
        <w:sym w:font="Wingdings" w:char="F0E0"/>
      </w:r>
      <w:r>
        <w:t xml:space="preserve"> case law / regulation – nature of the job </w:t>
      </w:r>
    </w:p>
    <w:p w14:paraId="1B406A1D" w14:textId="77777777" w:rsidR="00BE08AD" w:rsidRDefault="00BE08AD" w:rsidP="001875CF">
      <w:pPr>
        <w:spacing w:before="100" w:beforeAutospacing="1" w:after="100" w:afterAutospacing="1" w:line="276" w:lineRule="auto"/>
      </w:pPr>
    </w:p>
    <w:p w14:paraId="0679459D" w14:textId="4551C1F6" w:rsidR="00BE08AD" w:rsidRPr="00232974" w:rsidRDefault="00BE08AD" w:rsidP="001875CF">
      <w:pPr>
        <w:spacing w:before="100" w:beforeAutospacing="1" w:after="100" w:afterAutospacing="1" w:line="276" w:lineRule="auto"/>
      </w:pPr>
      <w:r>
        <w:t xml:space="preserve">Here, nature of the jobs require language requirement </w:t>
      </w:r>
      <w:r>
        <w:sym w:font="Wingdings" w:char="F0E0"/>
      </w:r>
      <w:r>
        <w:t xml:space="preserve"> designer </w:t>
      </w:r>
      <w:r>
        <w:sym w:font="Wingdings" w:char="F0E0"/>
      </w:r>
      <w:r>
        <w:t xml:space="preserve"> interaction with govt -&gt; so it is required </w:t>
      </w:r>
      <w:r>
        <w:sym w:font="Wingdings" w:char="F0E0"/>
      </w:r>
      <w:r>
        <w:t xml:space="preserve"> then look at proportionality </w:t>
      </w:r>
      <w:r>
        <w:sym w:font="Wingdings" w:char="F0E0"/>
      </w:r>
      <w:r>
        <w:t xml:space="preserve"> but here not enough to come to a conclusion </w:t>
      </w:r>
    </w:p>
    <w:p w14:paraId="0EC3D621" w14:textId="77777777" w:rsidR="00232974" w:rsidRPr="00232974" w:rsidRDefault="00613D9E" w:rsidP="001875CF">
      <w:pPr>
        <w:spacing w:line="276" w:lineRule="auto"/>
      </w:pPr>
      <w:r w:rsidRPr="00613D9E">
        <w:rPr>
          <w:noProof/>
          <w14:ligatures w14:val="standardContextual"/>
        </w:rPr>
        <w:pict w14:anchorId="29EB227F">
          <v:rect id="_x0000_i1028" alt="" style="width:451.3pt;height:.05pt;mso-width-percent:0;mso-height-percent:0;mso-width-percent:0;mso-height-percent:0" o:hralign="center" o:hrstd="t" o:hr="t" fillcolor="#a0a0a0" stroked="f"/>
        </w:pict>
      </w:r>
    </w:p>
    <w:p w14:paraId="09FA6916" w14:textId="77777777" w:rsidR="00232974" w:rsidRPr="00232974" w:rsidRDefault="00232974" w:rsidP="001875CF">
      <w:pPr>
        <w:spacing w:before="100" w:beforeAutospacing="1" w:after="100" w:afterAutospacing="1" w:line="276" w:lineRule="auto"/>
        <w:outlineLvl w:val="3"/>
        <w:rPr>
          <w:b/>
          <w:bCs/>
        </w:rPr>
      </w:pPr>
      <w:r w:rsidRPr="00232974">
        <w:rPr>
          <w:b/>
          <w:bCs/>
        </w:rPr>
        <w:lastRenderedPageBreak/>
        <w:t>c. Security Justification for Restricting Access to Military Sites</w:t>
      </w:r>
    </w:p>
    <w:p w14:paraId="2221A7C7" w14:textId="0A569C53" w:rsidR="00BE08AD" w:rsidRDefault="00BE08AD" w:rsidP="001875CF">
      <w:pPr>
        <w:spacing w:before="100" w:beforeAutospacing="1" w:after="100" w:afterAutospacing="1" w:line="276" w:lineRule="auto"/>
      </w:pPr>
      <w:r>
        <w:t xml:space="preserve">1. Direct discrimination </w:t>
      </w:r>
    </w:p>
    <w:p w14:paraId="24D2A090" w14:textId="2F5C4856" w:rsidR="00BE08AD" w:rsidRDefault="00BE08AD" w:rsidP="001875CF">
      <w:pPr>
        <w:spacing w:before="100" w:beforeAutospacing="1" w:after="100" w:afterAutospacing="1" w:line="276" w:lineRule="auto"/>
      </w:pPr>
      <w:r>
        <w:t xml:space="preserve">2. justification </w:t>
      </w:r>
      <w:r>
        <w:sym w:font="Wingdings" w:char="F0E0"/>
      </w:r>
      <w:r>
        <w:t xml:space="preserve"> take part on the military task </w:t>
      </w:r>
      <w:r>
        <w:sym w:font="Wingdings" w:char="F0E0"/>
      </w:r>
      <w:r>
        <w:t xml:space="preserve"> </w:t>
      </w:r>
      <w:r w:rsidR="007954D0">
        <w:t xml:space="preserve">weapon systems </w:t>
      </w:r>
      <w:r w:rsidR="007954D0">
        <w:sym w:font="Wingdings" w:char="F0E0"/>
      </w:r>
      <w:r w:rsidR="007954D0">
        <w:t xml:space="preserve"> then justified </w:t>
      </w:r>
    </w:p>
    <w:p w14:paraId="4C1A3F10" w14:textId="4CD2A299" w:rsidR="007954D0" w:rsidRDefault="007954D0" w:rsidP="001875CF">
      <w:pPr>
        <w:spacing w:before="100" w:beforeAutospacing="1" w:after="100" w:afterAutospacing="1" w:line="276" w:lineRule="auto"/>
      </w:pPr>
      <w:r>
        <w:t xml:space="preserve">His design would go where? At least indirectly took part in the public power, safeguard interests of the state </w:t>
      </w:r>
    </w:p>
    <w:p w14:paraId="00116D0A" w14:textId="2FF6A436" w:rsidR="00BE08AD" w:rsidRDefault="00BE08AD" w:rsidP="001875CF">
      <w:pPr>
        <w:spacing w:before="100" w:beforeAutospacing="1" w:after="100" w:afterAutospacing="1" w:line="276" w:lineRule="auto"/>
      </w:pPr>
      <w:r>
        <w:t xml:space="preserve">His situation to the rule: </w:t>
      </w:r>
    </w:p>
    <w:p w14:paraId="25FEBA74" w14:textId="7D881114" w:rsidR="00232974" w:rsidRPr="00232974" w:rsidRDefault="00BE08AD" w:rsidP="001875CF">
      <w:pPr>
        <w:spacing w:line="276" w:lineRule="auto"/>
      </w:pPr>
      <w:r>
        <w:t xml:space="preserve">Public service exception : Article 45 (4) TFEU – Public service is a Union not national concept and it does not depend upon the designation MSs give to a post, or merely on the fact that it is regulated by public law à ECJ adopted functional rather than institutional approach à e.g. Case 149/79 Commission v Belgium [1980] ECR 3881 – posts which involve direct or indirect participation in the exercise of powers conferred by public law and duties designed to safeguard general interests of the State or other public authorities – those presume the existence of a special relationship of allegiance to the State and reciprocity of rights and duties which form the foundation of the bond of nationality. For examples see Case 149/79 Commission v Belgium 2 [1982] ECR 1845.  </w:t>
      </w:r>
      <w:r w:rsidR="00613D9E" w:rsidRPr="00613D9E">
        <w:rPr>
          <w:noProof/>
          <w14:ligatures w14:val="standardContextual"/>
        </w:rPr>
        <w:pict w14:anchorId="3C973BC1">
          <v:rect id="_x0000_i1027" alt="" style="width:451.3pt;height:.05pt;mso-width-percent:0;mso-height-percent:0;mso-width-percent:0;mso-height-percent:0" o:hralign="center" o:hrstd="t" o:hr="t" fillcolor="#a0a0a0" stroked="f"/>
        </w:pict>
      </w:r>
    </w:p>
    <w:p w14:paraId="3843B867" w14:textId="77777777" w:rsidR="00232974" w:rsidRDefault="00232974" w:rsidP="001875CF">
      <w:pPr>
        <w:spacing w:before="100" w:beforeAutospacing="1" w:after="100" w:afterAutospacing="1" w:line="276" w:lineRule="auto"/>
        <w:outlineLvl w:val="2"/>
        <w:rPr>
          <w:b/>
          <w:bCs/>
        </w:rPr>
      </w:pPr>
      <w:r w:rsidRPr="00232974">
        <w:rPr>
          <w:b/>
          <w:bCs/>
        </w:rPr>
        <w:t>4. Can Austria Expel Peter and Louise?</w:t>
      </w:r>
    </w:p>
    <w:p w14:paraId="4A40A60F" w14:textId="77777777" w:rsidR="007954D0" w:rsidRDefault="007954D0" w:rsidP="001875CF">
      <w:pPr>
        <w:spacing w:before="100" w:beforeAutospacing="1" w:after="100" w:afterAutospacing="1" w:line="276" w:lineRule="auto"/>
        <w:outlineLvl w:val="2"/>
        <w:rPr>
          <w:b/>
          <w:bCs/>
        </w:rPr>
      </w:pPr>
      <w:r>
        <w:rPr>
          <w:b/>
          <w:bCs/>
        </w:rPr>
        <w:t xml:space="preserve">a. Peter </w:t>
      </w:r>
    </w:p>
    <w:p w14:paraId="759095B3" w14:textId="5D4AF7AE" w:rsidR="007954D0" w:rsidRDefault="007954D0" w:rsidP="001875CF">
      <w:pPr>
        <w:spacing w:before="100" w:beforeAutospacing="1" w:after="100" w:afterAutospacing="1" w:line="276" w:lineRule="auto"/>
        <w:outlineLvl w:val="2"/>
        <w:rPr>
          <w:b/>
          <w:bCs/>
        </w:rPr>
      </w:pPr>
      <w:proofErr w:type="spellStart"/>
      <w:r>
        <w:rPr>
          <w:b/>
          <w:bCs/>
        </w:rPr>
        <w:t>i</w:t>
      </w:r>
      <w:proofErr w:type="spellEnd"/>
      <w:r>
        <w:rPr>
          <w:b/>
          <w:bCs/>
        </w:rPr>
        <w:t xml:space="preserve">. Workers </w:t>
      </w:r>
      <w:r w:rsidRPr="007954D0">
        <w:rPr>
          <w:b/>
          <w:bCs/>
        </w:rPr>
        <w:sym w:font="Wingdings" w:char="F0E0"/>
      </w:r>
      <w:r>
        <w:rPr>
          <w:b/>
          <w:bCs/>
        </w:rPr>
        <w:t xml:space="preserve"> yes </w:t>
      </w:r>
    </w:p>
    <w:p w14:paraId="4CB3F6B7" w14:textId="55463351" w:rsidR="007954D0" w:rsidRPr="007954D0" w:rsidRDefault="007954D0" w:rsidP="007954D0">
      <w:pPr>
        <w:spacing w:before="100" w:beforeAutospacing="1" w:after="100" w:afterAutospacing="1" w:line="276" w:lineRule="auto"/>
      </w:pPr>
      <w:r>
        <w:rPr>
          <w:b/>
          <w:bCs/>
        </w:rPr>
        <w:t xml:space="preserve">ii. Jobseekers: looking for work and </w:t>
      </w:r>
      <w:r w:rsidRPr="00232974">
        <w:rPr>
          <w:b/>
          <w:bCs/>
        </w:rPr>
        <w:t>Directive 2004/38, Article 14(4)(b)</w:t>
      </w:r>
      <w:r w:rsidRPr="00232974">
        <w:t xml:space="preserve"> states that jobseekers </w:t>
      </w:r>
      <w:r w:rsidRPr="00232974">
        <w:rPr>
          <w:b/>
          <w:bCs/>
        </w:rPr>
        <w:t>cannot be expelled</w:t>
      </w:r>
      <w:r w:rsidRPr="00232974">
        <w:t xml:space="preserve"> if they </w:t>
      </w:r>
      <w:r w:rsidRPr="00232974">
        <w:rPr>
          <w:b/>
          <w:bCs/>
        </w:rPr>
        <w:t>prove they are actively seeking work and have a real chance of finding employment</w:t>
      </w:r>
      <w:r w:rsidRPr="00232974">
        <w:t>.</w:t>
      </w:r>
    </w:p>
    <w:p w14:paraId="247F258E" w14:textId="0879A6BB" w:rsidR="00232974" w:rsidRPr="00232974" w:rsidRDefault="00232974" w:rsidP="001875CF">
      <w:pPr>
        <w:spacing w:before="100" w:beforeAutospacing="1" w:after="100" w:afterAutospacing="1" w:line="276" w:lineRule="auto"/>
        <w:outlineLvl w:val="3"/>
        <w:rPr>
          <w:b/>
          <w:bCs/>
        </w:rPr>
      </w:pPr>
      <w:r w:rsidRPr="00232974">
        <w:rPr>
          <w:b/>
          <w:bCs/>
        </w:rPr>
        <w:t xml:space="preserve">b. </w:t>
      </w:r>
      <w:r w:rsidR="007954D0">
        <w:rPr>
          <w:b/>
          <w:bCs/>
        </w:rPr>
        <w:t xml:space="preserve">Family members: </w:t>
      </w:r>
      <w:r w:rsidRPr="00232974">
        <w:rPr>
          <w:b/>
          <w:bCs/>
        </w:rPr>
        <w:t>Louise’s Right to Reside</w:t>
      </w:r>
    </w:p>
    <w:p w14:paraId="3CD06D90" w14:textId="77777777" w:rsidR="00232974" w:rsidRPr="00232974" w:rsidRDefault="00232974" w:rsidP="001875CF">
      <w:pPr>
        <w:numPr>
          <w:ilvl w:val="0"/>
          <w:numId w:val="15"/>
        </w:numPr>
        <w:spacing w:before="100" w:beforeAutospacing="1" w:after="100" w:afterAutospacing="1" w:line="276" w:lineRule="auto"/>
      </w:pPr>
      <w:r w:rsidRPr="00232974">
        <w:t xml:space="preserve">As Peter’s </w:t>
      </w:r>
      <w:r w:rsidRPr="00232974">
        <w:rPr>
          <w:b/>
          <w:bCs/>
        </w:rPr>
        <w:t>spouse</w:t>
      </w:r>
      <w:r w:rsidRPr="00232974">
        <w:t xml:space="preserve">, Louise has a </w:t>
      </w:r>
      <w:r w:rsidRPr="00232974">
        <w:rPr>
          <w:b/>
          <w:bCs/>
        </w:rPr>
        <w:t>derivative right to reside</w:t>
      </w:r>
      <w:r w:rsidRPr="00232974">
        <w:t xml:space="preserve"> under </w:t>
      </w:r>
      <w:r w:rsidRPr="00232974">
        <w:rPr>
          <w:b/>
          <w:bCs/>
        </w:rPr>
        <w:t>Directive 2004/38, Article 7(1)(d)</w:t>
      </w:r>
      <w:r w:rsidRPr="00232974">
        <w:t>.</w:t>
      </w:r>
    </w:p>
    <w:p w14:paraId="5483636C" w14:textId="0076154F" w:rsidR="007954D0" w:rsidRPr="00232974" w:rsidRDefault="00232974" w:rsidP="007954D0">
      <w:pPr>
        <w:numPr>
          <w:ilvl w:val="0"/>
          <w:numId w:val="15"/>
        </w:numPr>
        <w:spacing w:before="100" w:beforeAutospacing="1" w:after="100" w:afterAutospacing="1" w:line="276" w:lineRule="auto"/>
      </w:pPr>
      <w:r w:rsidRPr="00232974">
        <w:t xml:space="preserve">Even if Peter is expelled, </w:t>
      </w:r>
      <w:r w:rsidRPr="00232974">
        <w:rPr>
          <w:b/>
          <w:bCs/>
        </w:rPr>
        <w:t>Louise retains the right to stay</w:t>
      </w:r>
      <w:r w:rsidRPr="00232974">
        <w:t xml:space="preserve"> under </w:t>
      </w:r>
      <w:r w:rsidRPr="00232974">
        <w:rPr>
          <w:b/>
          <w:bCs/>
        </w:rPr>
        <w:t>Article 13 Directive 2004/38</w:t>
      </w:r>
      <w:r w:rsidRPr="00232974">
        <w:t xml:space="preserve"> if she has </w:t>
      </w:r>
      <w:r w:rsidRPr="00232974">
        <w:rPr>
          <w:b/>
          <w:bCs/>
        </w:rPr>
        <w:t>independent means or employment</w:t>
      </w:r>
      <w:r w:rsidRPr="00232974">
        <w:t>​.</w:t>
      </w:r>
      <w:r w:rsidR="007954D0">
        <w:t xml:space="preserve"> </w:t>
      </w:r>
    </w:p>
    <w:p w14:paraId="02B17B41" w14:textId="77777777" w:rsidR="00232974" w:rsidRDefault="00613D9E" w:rsidP="001875CF">
      <w:pPr>
        <w:spacing w:line="276" w:lineRule="auto"/>
      </w:pPr>
      <w:r w:rsidRPr="00613D9E">
        <w:rPr>
          <w:noProof/>
          <w14:ligatures w14:val="standardContextual"/>
        </w:rPr>
        <w:pict w14:anchorId="10DC2EE3">
          <v:rect id="_x0000_i1026" alt="" style="width:451.3pt;height:.05pt;mso-width-percent:0;mso-height-percent:0;mso-width-percent:0;mso-height-percent:0" o:hralign="center" o:hrstd="t" o:hr="t" fillcolor="#a0a0a0" stroked="f"/>
        </w:pict>
      </w:r>
    </w:p>
    <w:p w14:paraId="499D9275" w14:textId="77777777" w:rsidR="007954D0" w:rsidRDefault="007954D0" w:rsidP="001875CF">
      <w:pPr>
        <w:spacing w:line="276" w:lineRule="auto"/>
      </w:pPr>
    </w:p>
    <w:p w14:paraId="05963023" w14:textId="77777777" w:rsidR="007954D0" w:rsidRDefault="007954D0" w:rsidP="001875CF">
      <w:pPr>
        <w:spacing w:line="276" w:lineRule="auto"/>
      </w:pPr>
    </w:p>
    <w:p w14:paraId="30E34C53" w14:textId="77777777" w:rsidR="007954D0" w:rsidRDefault="007954D0" w:rsidP="001875CF">
      <w:pPr>
        <w:spacing w:line="276" w:lineRule="auto"/>
      </w:pPr>
    </w:p>
    <w:p w14:paraId="186C62BA" w14:textId="77777777" w:rsidR="007954D0" w:rsidRDefault="007954D0" w:rsidP="001875CF">
      <w:pPr>
        <w:spacing w:line="276" w:lineRule="auto"/>
      </w:pPr>
    </w:p>
    <w:p w14:paraId="4E9AF0D3" w14:textId="77777777" w:rsidR="007954D0" w:rsidRPr="00232974" w:rsidRDefault="007954D0" w:rsidP="001875CF">
      <w:pPr>
        <w:spacing w:line="276" w:lineRule="auto"/>
      </w:pPr>
    </w:p>
    <w:p w14:paraId="10006B42" w14:textId="0CD2462F" w:rsidR="0051144E" w:rsidRPr="001875CF" w:rsidRDefault="0051144E" w:rsidP="001875CF">
      <w:pPr>
        <w:pStyle w:val="NormalWeb"/>
        <w:spacing w:before="0" w:beforeAutospacing="0" w:after="240" w:afterAutospacing="0" w:line="276" w:lineRule="auto"/>
        <w:rPr>
          <w:rFonts w:ascii="Garamond" w:hAnsi="Garamond"/>
        </w:rPr>
      </w:pPr>
      <w:r w:rsidRPr="001875CF">
        <w:rPr>
          <w:rFonts w:ascii="Garamond" w:hAnsi="Garamond"/>
        </w:rPr>
        <w:lastRenderedPageBreak/>
        <w:t>2.</w:t>
      </w:r>
      <w:r w:rsidRPr="001875CF">
        <w:rPr>
          <w:rFonts w:ascii="Garamond" w:hAnsi="Garamond"/>
          <w:color w:val="FF0000"/>
        </w:rPr>
        <w:t>Worried about a terrorist threat</w:t>
      </w:r>
      <w:r w:rsidRPr="001875CF">
        <w:rPr>
          <w:rFonts w:ascii="Garamond" w:hAnsi="Garamond"/>
        </w:rPr>
        <w:t>, Germany has enacted the following measures:</w:t>
      </w:r>
    </w:p>
    <w:p w14:paraId="03D35DB2" w14:textId="6400BB62" w:rsidR="0051144E" w:rsidRPr="001875CF" w:rsidRDefault="0051144E" w:rsidP="001875CF">
      <w:pPr>
        <w:pStyle w:val="NormalWeb"/>
        <w:spacing w:before="0" w:beforeAutospacing="0" w:after="240" w:afterAutospacing="0" w:line="276" w:lineRule="auto"/>
        <w:rPr>
          <w:rFonts w:ascii="Garamond" w:hAnsi="Garamond"/>
          <w:color w:val="FF0000"/>
        </w:rPr>
      </w:pPr>
      <w:r w:rsidRPr="001875CF">
        <w:rPr>
          <w:rFonts w:ascii="Wingdings" w:hAnsi="Wingdings"/>
        </w:rPr>
        <w:t xml:space="preserve">§ </w:t>
      </w:r>
      <w:r w:rsidRPr="001875CF">
        <w:rPr>
          <w:rFonts w:ascii="Garamond" w:hAnsi="Garamond"/>
        </w:rPr>
        <w:t xml:space="preserve">EU citizens looking for a job are </w:t>
      </w:r>
      <w:r w:rsidRPr="001875CF">
        <w:rPr>
          <w:rFonts w:ascii="Garamond" w:hAnsi="Garamond"/>
          <w:color w:val="FF0000"/>
        </w:rPr>
        <w:t>given 6 months to find employment</w:t>
      </w:r>
      <w:r w:rsidRPr="001875CF">
        <w:rPr>
          <w:rFonts w:ascii="Garamond" w:hAnsi="Garamond"/>
        </w:rPr>
        <w:t xml:space="preserve">; if they do not secure employment </w:t>
      </w:r>
      <w:r w:rsidRPr="001875CF">
        <w:rPr>
          <w:rFonts w:ascii="Garamond" w:hAnsi="Garamond"/>
          <w:color w:val="FF0000"/>
        </w:rPr>
        <w:t>within that time limit they are deported</w:t>
      </w:r>
      <w:r w:rsidRPr="001875CF">
        <w:rPr>
          <w:rFonts w:ascii="Garamond" w:hAnsi="Garamond"/>
        </w:rPr>
        <w:t>.</w:t>
      </w:r>
      <w:r w:rsidRPr="001875CF">
        <w:rPr>
          <w:rFonts w:ascii="Garamond" w:hAnsi="Garamond"/>
        </w:rPr>
        <w:br/>
      </w:r>
      <w:r w:rsidRPr="001875CF">
        <w:rPr>
          <w:rFonts w:ascii="Wingdings" w:hAnsi="Wingdings"/>
        </w:rPr>
        <w:t xml:space="preserve">§ </w:t>
      </w:r>
      <w:r w:rsidRPr="001875CF">
        <w:rPr>
          <w:rFonts w:ascii="Garamond" w:hAnsi="Garamond"/>
        </w:rPr>
        <w:t xml:space="preserve">Only </w:t>
      </w:r>
      <w:r w:rsidRPr="001875CF">
        <w:rPr>
          <w:rFonts w:ascii="Garamond" w:hAnsi="Garamond"/>
          <w:color w:val="FF0000"/>
        </w:rPr>
        <w:t xml:space="preserve">economically active Union citizens and those who are permanently resident in Germany are entitled to social assistance. </w:t>
      </w:r>
    </w:p>
    <w:p w14:paraId="586ECEC5" w14:textId="77777777" w:rsidR="0051144E" w:rsidRPr="001875CF" w:rsidRDefault="0051144E" w:rsidP="001875CF">
      <w:pPr>
        <w:pStyle w:val="NormalWeb"/>
        <w:spacing w:before="0" w:beforeAutospacing="0" w:after="240" w:afterAutospacing="0" w:line="276" w:lineRule="auto"/>
      </w:pPr>
      <w:r w:rsidRPr="001875CF">
        <w:rPr>
          <w:rFonts w:ascii="Garamond" w:hAnsi="Garamond"/>
        </w:rPr>
        <w:t xml:space="preserve">Advice the German authorities and the Commission as to the compatibility of those rules with Union law. </w:t>
      </w:r>
    </w:p>
    <w:p w14:paraId="226C572A" w14:textId="1F12F3CD" w:rsidR="00232974" w:rsidRPr="007954D0" w:rsidRDefault="007954D0" w:rsidP="007954D0">
      <w:pPr>
        <w:spacing w:before="100" w:beforeAutospacing="1" w:after="100" w:afterAutospacing="1" w:line="276" w:lineRule="auto"/>
        <w:rPr>
          <w:b/>
          <w:bCs/>
        </w:rPr>
      </w:pPr>
      <w:r>
        <w:rPr>
          <w:b/>
          <w:bCs/>
        </w:rPr>
        <w:t xml:space="preserve">1. reasonable period – 6 months? </w:t>
      </w:r>
    </w:p>
    <w:p w14:paraId="31589A7C" w14:textId="051721C7" w:rsidR="00232974" w:rsidRDefault="007954D0" w:rsidP="001875CF">
      <w:pPr>
        <w:spacing w:before="100" w:beforeAutospacing="1" w:after="100" w:afterAutospacing="1" w:line="276" w:lineRule="auto"/>
        <w:outlineLvl w:val="1"/>
        <w:rPr>
          <w:b/>
          <w:bCs/>
        </w:rPr>
      </w:pPr>
      <w:r>
        <w:rPr>
          <w:b/>
          <w:bCs/>
        </w:rPr>
        <w:t>2</w:t>
      </w:r>
      <w:r w:rsidR="00232974" w:rsidRPr="00232974">
        <w:rPr>
          <w:b/>
          <w:bCs/>
        </w:rPr>
        <w:t>. Justifications Under EU Law</w:t>
      </w:r>
    </w:p>
    <w:p w14:paraId="7D367656" w14:textId="68D7B015" w:rsidR="007954D0" w:rsidRDefault="007954D0" w:rsidP="001875CF">
      <w:pPr>
        <w:spacing w:before="100" w:beforeAutospacing="1" w:after="100" w:afterAutospacing="1" w:line="276" w:lineRule="auto"/>
        <w:outlineLvl w:val="1"/>
        <w:rPr>
          <w:b/>
          <w:bCs/>
        </w:rPr>
      </w:pPr>
      <w:r>
        <w:rPr>
          <w:b/>
          <w:bCs/>
        </w:rPr>
        <w:t xml:space="preserve">Public policy and public security </w:t>
      </w:r>
      <w:r w:rsidRPr="007954D0">
        <w:rPr>
          <w:b/>
          <w:bCs/>
        </w:rPr>
        <w:sym w:font="Wingdings" w:char="F0E0"/>
      </w:r>
      <w:r>
        <w:rPr>
          <w:b/>
          <w:bCs/>
        </w:rPr>
        <w:t xml:space="preserve"> there is no link between terrorists attack and unemployment </w:t>
      </w:r>
    </w:p>
    <w:p w14:paraId="341AAACB" w14:textId="1074032B" w:rsidR="007954D0" w:rsidRPr="00232974" w:rsidRDefault="007954D0" w:rsidP="001875CF">
      <w:pPr>
        <w:spacing w:before="100" w:beforeAutospacing="1" w:after="100" w:afterAutospacing="1" w:line="276" w:lineRule="auto"/>
        <w:outlineLvl w:val="1"/>
        <w:rPr>
          <w:b/>
          <w:bCs/>
        </w:rPr>
      </w:pPr>
      <w:r w:rsidRPr="007954D0">
        <w:rPr>
          <w:b/>
          <w:bCs/>
        </w:rPr>
        <w:sym w:font="Wingdings" w:char="F0E0"/>
      </w:r>
      <w:r>
        <w:rPr>
          <w:b/>
          <w:bCs/>
        </w:rPr>
        <w:t xml:space="preserve"> personal conduct </w:t>
      </w:r>
    </w:p>
    <w:p w14:paraId="7F0641C0" w14:textId="49865AFA" w:rsidR="00232974" w:rsidRDefault="007954D0" w:rsidP="001875CF">
      <w:pPr>
        <w:spacing w:line="276" w:lineRule="auto"/>
      </w:pPr>
      <w:r>
        <w:sym w:font="Wingdings" w:char="F0E0"/>
      </w:r>
      <w:r>
        <w:t xml:space="preserve"> suitability </w:t>
      </w:r>
    </w:p>
    <w:p w14:paraId="0358F4CC" w14:textId="0FB190C6" w:rsidR="007954D0" w:rsidRPr="00232974" w:rsidRDefault="007954D0" w:rsidP="001875CF">
      <w:pPr>
        <w:spacing w:line="276" w:lineRule="auto"/>
      </w:pPr>
      <w:r>
        <w:sym w:font="Wingdings" w:char="F0E0"/>
      </w:r>
      <w:r>
        <w:t xml:space="preserve"> proportionality </w:t>
      </w:r>
    </w:p>
    <w:p w14:paraId="669BC5C7" w14:textId="77777777" w:rsidR="00232974" w:rsidRPr="00232974" w:rsidRDefault="00613D9E" w:rsidP="001875CF">
      <w:pPr>
        <w:spacing w:line="276" w:lineRule="auto"/>
      </w:pPr>
      <w:r w:rsidRPr="00613D9E">
        <w:rPr>
          <w:noProof/>
          <w14:ligatures w14:val="standardContextual"/>
        </w:rPr>
        <w:pict w14:anchorId="323C1F63">
          <v:rect id="_x0000_i1025" alt="" style="width:451.3pt;height:.05pt;mso-width-percent:0;mso-height-percent:0;mso-width-percent:0;mso-height-percent:0" o:hralign="center" o:hrstd="t" o:hr="t" fillcolor="#a0a0a0" stroked="f"/>
        </w:pict>
      </w:r>
    </w:p>
    <w:p w14:paraId="13B6EE5A" w14:textId="1EE90E05" w:rsidR="006052AE" w:rsidRDefault="006052AE" w:rsidP="001875CF">
      <w:pPr>
        <w:spacing w:before="100" w:beforeAutospacing="1" w:after="100" w:afterAutospacing="1" w:line="276" w:lineRule="auto"/>
      </w:pPr>
      <w:r w:rsidRPr="001875CF">
        <w:t xml:space="preserve">II. Economic active citizens </w:t>
      </w:r>
    </w:p>
    <w:p w14:paraId="79918BE1" w14:textId="5FB03331" w:rsidR="007954D0" w:rsidRDefault="007954D0" w:rsidP="001875CF">
      <w:pPr>
        <w:spacing w:before="100" w:beforeAutospacing="1" w:after="100" w:afterAutospacing="1" w:line="276" w:lineRule="auto"/>
      </w:pPr>
      <w:r>
        <w:sym w:font="Wingdings" w:char="F0E0"/>
      </w:r>
      <w:r>
        <w:t xml:space="preserve"> art 7, 24 </w:t>
      </w:r>
    </w:p>
    <w:p w14:paraId="3D8C560F" w14:textId="7001D4D8" w:rsidR="007954D0" w:rsidRDefault="007954D0" w:rsidP="001875CF">
      <w:pPr>
        <w:spacing w:before="100" w:beforeAutospacing="1" w:after="100" w:afterAutospacing="1" w:line="276" w:lineRule="auto"/>
      </w:pPr>
      <w:r>
        <w:sym w:font="Wingdings" w:char="F0E0"/>
      </w:r>
      <w:r>
        <w:t xml:space="preserve"> equal treatment </w:t>
      </w:r>
      <w:r>
        <w:sym w:font="Wingdings" w:char="F0E0"/>
      </w:r>
      <w:r>
        <w:t xml:space="preserve"> </w:t>
      </w:r>
      <w:proofErr w:type="spellStart"/>
      <w:r>
        <w:t>wokers</w:t>
      </w:r>
      <w:proofErr w:type="spellEnd"/>
      <w:r>
        <w:t xml:space="preserve"> </w:t>
      </w:r>
      <w:r>
        <w:sym w:font="Wingdings" w:char="F0E0"/>
      </w:r>
      <w:r>
        <w:t xml:space="preserve"> too restriction </w:t>
      </w:r>
    </w:p>
    <w:p w14:paraId="2C895DAB" w14:textId="74CCF6FF" w:rsidR="007954D0" w:rsidRPr="001875CF" w:rsidRDefault="007954D0" w:rsidP="001875CF">
      <w:pPr>
        <w:spacing w:before="100" w:beforeAutospacing="1" w:after="100" w:afterAutospacing="1" w:line="276" w:lineRule="auto"/>
      </w:pPr>
      <w:r>
        <w:sym w:font="Wingdings" w:char="F0E0"/>
      </w:r>
      <w:r>
        <w:t xml:space="preserve"> justification </w:t>
      </w:r>
      <w:r>
        <w:sym w:font="Wingdings" w:char="F0E0"/>
      </w:r>
      <w:r>
        <w:t xml:space="preserve"> public security </w:t>
      </w:r>
      <w:r>
        <w:sym w:font="Wingdings" w:char="F0E0"/>
      </w:r>
      <w:r>
        <w:t xml:space="preserve"> personal conduct, proportionality </w:t>
      </w:r>
    </w:p>
    <w:p w14:paraId="7A78DC76" w14:textId="2C035B96" w:rsidR="006052AE" w:rsidRPr="001875CF" w:rsidRDefault="006052AE" w:rsidP="001875CF">
      <w:pPr>
        <w:pStyle w:val="Heading4"/>
        <w:spacing w:line="276" w:lineRule="auto"/>
      </w:pPr>
      <w:r w:rsidRPr="001875CF">
        <w:rPr>
          <w:rStyle w:val="Strong"/>
          <w:b w:val="0"/>
          <w:bCs w:val="0"/>
        </w:rPr>
        <w:t>Justifications Under EU Law</w:t>
      </w:r>
    </w:p>
    <w:p w14:paraId="09AE9F1F" w14:textId="77777777" w:rsidR="006052AE" w:rsidRPr="001875CF" w:rsidRDefault="006052AE" w:rsidP="001875CF">
      <w:pPr>
        <w:pStyle w:val="NormalWeb"/>
        <w:spacing w:line="276" w:lineRule="auto"/>
      </w:pPr>
      <w:r w:rsidRPr="001875CF">
        <w:t xml:space="preserve">Under </w:t>
      </w:r>
      <w:r w:rsidRPr="001875CF">
        <w:rPr>
          <w:rStyle w:val="Strong"/>
          <w:rFonts w:eastAsiaTheme="majorEastAsia"/>
        </w:rPr>
        <w:t>Article 45(3) TFEU</w:t>
      </w:r>
      <w:r w:rsidRPr="001875CF">
        <w:t xml:space="preserve">, restrictions on free movement may be justified on grounds of </w:t>
      </w:r>
      <w:r w:rsidRPr="001875CF">
        <w:rPr>
          <w:rStyle w:val="Strong"/>
          <w:rFonts w:eastAsiaTheme="majorEastAsia"/>
        </w:rPr>
        <w:t>public policy, public security, or public health</w:t>
      </w:r>
      <w:r w:rsidRPr="001875CF">
        <w:t>. The German government justifies its rule based on concerns over a terrorist threat, arguing that limiting social assistance to economically active citizens reduces potential security risks.</w:t>
      </w:r>
    </w:p>
    <w:p w14:paraId="0B1B0C4E" w14:textId="77777777" w:rsidR="006052AE" w:rsidRPr="001875CF" w:rsidRDefault="006052AE" w:rsidP="001875CF">
      <w:pPr>
        <w:pStyle w:val="NormalWeb"/>
        <w:spacing w:line="276" w:lineRule="auto"/>
      </w:pPr>
      <w:r w:rsidRPr="001875CF">
        <w:t xml:space="preserve">However, </w:t>
      </w:r>
      <w:r w:rsidRPr="001875CF">
        <w:rPr>
          <w:rStyle w:val="Strong"/>
          <w:rFonts w:eastAsiaTheme="majorEastAsia"/>
        </w:rPr>
        <w:t>CJEU case law has consistently held that public policy and security derogations must be narrowly construed</w:t>
      </w:r>
      <w:r w:rsidRPr="001875CF">
        <w:t xml:space="preserve">. In </w:t>
      </w:r>
      <w:r w:rsidRPr="001875CF">
        <w:rPr>
          <w:rStyle w:val="Strong"/>
          <w:rFonts w:eastAsiaTheme="majorEastAsia"/>
        </w:rPr>
        <w:t>Case C-114/97 Commission v Spain</w:t>
      </w:r>
      <w:r w:rsidRPr="001875CF">
        <w:t xml:space="preserve">, Spain’s requirement for security staff to be Spanish nationals was deemed </w:t>
      </w:r>
      <w:r w:rsidRPr="001875CF">
        <w:rPr>
          <w:rStyle w:val="Strong"/>
          <w:rFonts w:eastAsiaTheme="majorEastAsia"/>
        </w:rPr>
        <w:t>disproportionate</w:t>
      </w:r>
      <w:r w:rsidRPr="001875CF">
        <w:t>, as the objective could have been achieved through less restrictive means, such as background checks.</w:t>
      </w:r>
    </w:p>
    <w:p w14:paraId="27B3CDFA" w14:textId="77777777" w:rsidR="006052AE" w:rsidRPr="001875CF" w:rsidRDefault="006052AE" w:rsidP="001875CF">
      <w:pPr>
        <w:pStyle w:val="NormalWeb"/>
        <w:spacing w:line="276" w:lineRule="auto"/>
      </w:pPr>
      <w:r w:rsidRPr="001875CF">
        <w:t xml:space="preserve">The German measure is similarly overbroad. It does not distinguish between different categories of non-economically active EU citizens, many of whom pose no security risk. </w:t>
      </w:r>
      <w:r w:rsidRPr="001875CF">
        <w:lastRenderedPageBreak/>
        <w:t xml:space="preserve">Instead of a blanket exclusion, the government would need to demonstrate that individual recipients of social assistance threaten public security—a threshold that </w:t>
      </w:r>
      <w:r w:rsidRPr="001875CF">
        <w:rPr>
          <w:rStyle w:val="Strong"/>
          <w:rFonts w:eastAsiaTheme="majorEastAsia"/>
        </w:rPr>
        <w:t>CJEU jurisprudence</w:t>
      </w:r>
      <w:r w:rsidRPr="001875CF">
        <w:t xml:space="preserve"> has set high. Moreover, any restrictions must comply with the </w:t>
      </w:r>
      <w:r w:rsidRPr="001875CF">
        <w:rPr>
          <w:rStyle w:val="Strong"/>
          <w:rFonts w:eastAsiaTheme="majorEastAsia"/>
        </w:rPr>
        <w:t>principle of proportionality</w:t>
      </w:r>
      <w:r w:rsidRPr="001875CF">
        <w:t xml:space="preserve">, requiring that the measure be appropriate, necessary, and the least restrictive means to achieve the legitimate aim. A targeted approach—such as individualized security assessments—would likely be a </w:t>
      </w:r>
      <w:r w:rsidRPr="001875CF">
        <w:rPr>
          <w:rStyle w:val="Strong"/>
          <w:rFonts w:eastAsiaTheme="majorEastAsia"/>
        </w:rPr>
        <w:t>less restrictive alternative</w:t>
      </w:r>
      <w:r w:rsidRPr="001875CF">
        <w:t>.</w:t>
      </w:r>
    </w:p>
    <w:p w14:paraId="37F1A7CB" w14:textId="77777777" w:rsidR="006052AE" w:rsidRPr="001875CF" w:rsidRDefault="006052AE" w:rsidP="001875CF">
      <w:pPr>
        <w:pStyle w:val="NormalWeb"/>
        <w:spacing w:line="276" w:lineRule="auto"/>
      </w:pPr>
      <w:r w:rsidRPr="001875CF">
        <w:t xml:space="preserve">The </w:t>
      </w:r>
      <w:proofErr w:type="spellStart"/>
      <w:r w:rsidRPr="001875CF">
        <w:rPr>
          <w:rStyle w:val="Strong"/>
          <w:rFonts w:eastAsiaTheme="majorEastAsia"/>
        </w:rPr>
        <w:t>Alimanovic</w:t>
      </w:r>
      <w:proofErr w:type="spellEnd"/>
      <w:r w:rsidRPr="001875CF">
        <w:rPr>
          <w:rStyle w:val="Strong"/>
          <w:rFonts w:eastAsiaTheme="majorEastAsia"/>
        </w:rPr>
        <w:t xml:space="preserve"> judgment (Case C-67/14)</w:t>
      </w:r>
      <w:r w:rsidRPr="001875CF">
        <w:t xml:space="preserve"> further clarified the meaning of social assistance, emphasizing that </w:t>
      </w:r>
      <w:r w:rsidRPr="001875CF">
        <w:rPr>
          <w:rStyle w:val="Strong"/>
          <w:rFonts w:eastAsiaTheme="majorEastAsia"/>
        </w:rPr>
        <w:t>EU citizens who become an "unreasonable burden" on the social assistance system may justifiably be excluded</w:t>
      </w:r>
      <w:r w:rsidRPr="001875CF">
        <w:t>. However, the Court also stressed that such exclusions must be based on an individualized proportionality assessment rather than a categorical rule.</w:t>
      </w:r>
    </w:p>
    <w:p w14:paraId="095165DC" w14:textId="77777777" w:rsidR="007954D0" w:rsidRDefault="007954D0" w:rsidP="001875CF">
      <w:pPr>
        <w:spacing w:before="100" w:beforeAutospacing="1" w:after="100" w:afterAutospacing="1" w:line="276" w:lineRule="auto"/>
        <w:outlineLvl w:val="3"/>
        <w:rPr>
          <w:b/>
          <w:bCs/>
        </w:rPr>
      </w:pPr>
    </w:p>
    <w:p w14:paraId="18955E1C" w14:textId="071E2F25" w:rsidR="001875CF" w:rsidRPr="001875CF" w:rsidRDefault="007954D0" w:rsidP="001875CF">
      <w:pPr>
        <w:spacing w:before="100" w:beforeAutospacing="1" w:after="100" w:afterAutospacing="1" w:line="276" w:lineRule="auto"/>
        <w:outlineLvl w:val="3"/>
        <w:rPr>
          <w:b/>
          <w:bCs/>
        </w:rPr>
      </w:pPr>
      <w:r>
        <w:rPr>
          <w:b/>
          <w:bCs/>
        </w:rPr>
        <w:t xml:space="preserve">2. </w:t>
      </w:r>
      <w:r w:rsidR="001875CF" w:rsidRPr="001875CF">
        <w:rPr>
          <w:b/>
          <w:bCs/>
        </w:rPr>
        <w:t>I. Right to Free Movement (General)</w:t>
      </w:r>
    </w:p>
    <w:p w14:paraId="35481ADC" w14:textId="77777777" w:rsidR="001875CF" w:rsidRPr="001875CF" w:rsidRDefault="001875CF" w:rsidP="001875CF">
      <w:pPr>
        <w:spacing w:before="100" w:beforeAutospacing="1" w:after="100" w:afterAutospacing="1" w:line="276" w:lineRule="auto"/>
      </w:pPr>
      <w:r w:rsidRPr="001875CF">
        <w:t xml:space="preserve">The free movement of workers is a fundamental principle of the European Union, enshrined in </w:t>
      </w:r>
      <w:r w:rsidRPr="001875CF">
        <w:rPr>
          <w:b/>
          <w:bCs/>
        </w:rPr>
        <w:t>Article 45 TFEU</w:t>
      </w:r>
      <w:r w:rsidRPr="001875CF">
        <w:t xml:space="preserve">, which guarantees the right of workers to move freely across Member States to seek and take up employment. This principle entails the abolition of any discrimination based on nationality with regard to employment, remuneration, and other working conditions. The free movement framework has been further developed by </w:t>
      </w:r>
      <w:r w:rsidRPr="001875CF">
        <w:rPr>
          <w:b/>
          <w:bCs/>
        </w:rPr>
        <w:t>Directive 2004/38/EC</w:t>
      </w:r>
      <w:r w:rsidRPr="001875CF">
        <w:t>, which governs the rights of Union citizens and their family members to move and reside freely within the EU.</w:t>
      </w:r>
    </w:p>
    <w:p w14:paraId="2A3B36BA" w14:textId="77777777" w:rsidR="001875CF" w:rsidRPr="001875CF" w:rsidRDefault="001875CF" w:rsidP="001875CF">
      <w:pPr>
        <w:spacing w:before="100" w:beforeAutospacing="1" w:after="100" w:afterAutospacing="1" w:line="276" w:lineRule="auto"/>
      </w:pPr>
      <w:r w:rsidRPr="001875CF">
        <w:t xml:space="preserve">A particularly relevant provision of this Directive is </w:t>
      </w:r>
      <w:r w:rsidRPr="001875CF">
        <w:rPr>
          <w:b/>
          <w:bCs/>
        </w:rPr>
        <w:t>Article 14(4)(b)</w:t>
      </w:r>
      <w:r w:rsidRPr="001875CF">
        <w:t>, which states that a jobseeker cannot be expelled as long as they continue to seek employment and have a "genuine chance of being engaged." The Court of Justice of the European Union (CJEU) has affirmed that Article 45 TFEU extends to jobseekers, who should not be subject to unreasonable or disproportionate time limits unless they can no longer demonstrate a realistic prospect of finding employment (</w:t>
      </w:r>
      <w:r w:rsidRPr="001875CF">
        <w:rPr>
          <w:b/>
          <w:bCs/>
        </w:rPr>
        <w:t xml:space="preserve">Case C-292/89 </w:t>
      </w:r>
      <w:proofErr w:type="spellStart"/>
      <w:r w:rsidRPr="001875CF">
        <w:rPr>
          <w:b/>
          <w:bCs/>
        </w:rPr>
        <w:t>Antonissen</w:t>
      </w:r>
      <w:proofErr w:type="spellEnd"/>
      <w:r w:rsidRPr="001875CF">
        <w:rPr>
          <w:b/>
          <w:bCs/>
        </w:rPr>
        <w:t xml:space="preserve"> [1991] ECR I-745</w:t>
      </w:r>
      <w:r w:rsidRPr="001875CF">
        <w:t>). Accordingly, Germany’s measure, which imposes an automatic six-month limit on jobseekers and mandates their deportation thereafter, raises significant concerns regarding its compatibility with Union law.</w:t>
      </w:r>
    </w:p>
    <w:p w14:paraId="3CAF3804" w14:textId="77777777" w:rsidR="001875CF" w:rsidRPr="001875CF" w:rsidRDefault="001875CF" w:rsidP="001875CF">
      <w:pPr>
        <w:spacing w:before="100" w:beforeAutospacing="1" w:after="100" w:afterAutospacing="1" w:line="276" w:lineRule="auto"/>
        <w:outlineLvl w:val="3"/>
        <w:rPr>
          <w:b/>
          <w:bCs/>
        </w:rPr>
      </w:pPr>
      <w:r w:rsidRPr="001875CF">
        <w:rPr>
          <w:b/>
          <w:bCs/>
        </w:rPr>
        <w:t>II. Right Not to Be Discriminated Against</w:t>
      </w:r>
    </w:p>
    <w:p w14:paraId="2904BF01" w14:textId="77777777" w:rsidR="001875CF" w:rsidRPr="001875CF" w:rsidRDefault="001875CF" w:rsidP="001875CF">
      <w:pPr>
        <w:spacing w:before="100" w:beforeAutospacing="1" w:after="100" w:afterAutospacing="1" w:line="276" w:lineRule="auto"/>
        <w:outlineLvl w:val="4"/>
        <w:rPr>
          <w:b/>
          <w:bCs/>
        </w:rPr>
      </w:pPr>
      <w:r w:rsidRPr="001875CF">
        <w:rPr>
          <w:b/>
          <w:bCs/>
        </w:rPr>
        <w:t>A. Direct Discrimination</w:t>
      </w:r>
    </w:p>
    <w:p w14:paraId="36206321" w14:textId="77777777" w:rsidR="001875CF" w:rsidRPr="001875CF" w:rsidRDefault="001875CF" w:rsidP="001875CF">
      <w:pPr>
        <w:spacing w:before="100" w:beforeAutospacing="1" w:after="100" w:afterAutospacing="1" w:line="276" w:lineRule="auto"/>
      </w:pPr>
      <w:r w:rsidRPr="001875CF">
        <w:t>Direct discrimination arises where a rule explicitly differentiates on the basis of nationality. In the present case, Germany’s six-month rule applies uniformly to all EU jobseekers, irrespective of nationality. As it does not formally distinguish between German nationals and non-nationals, it does not constitute direct discrimination (</w:t>
      </w:r>
      <w:r w:rsidRPr="001875CF">
        <w:rPr>
          <w:b/>
          <w:bCs/>
        </w:rPr>
        <w:t>Case C-149/79 Commission v Belgium [1980] ECR 3881</w:t>
      </w:r>
      <w:r w:rsidRPr="001875CF">
        <w:t xml:space="preserve">). However, the absence of direct discrimination does not </w:t>
      </w:r>
      <w:r w:rsidRPr="001875CF">
        <w:lastRenderedPageBreak/>
        <w:t>preclude the possibility of indirect discrimination, which is equally impermissible unless objectively justified.</w:t>
      </w:r>
    </w:p>
    <w:p w14:paraId="1387B3B2" w14:textId="77777777" w:rsidR="001875CF" w:rsidRPr="001875CF" w:rsidRDefault="001875CF" w:rsidP="001875CF">
      <w:pPr>
        <w:spacing w:before="100" w:beforeAutospacing="1" w:after="100" w:afterAutospacing="1" w:line="276" w:lineRule="auto"/>
        <w:outlineLvl w:val="4"/>
        <w:rPr>
          <w:b/>
          <w:bCs/>
        </w:rPr>
      </w:pPr>
      <w:r w:rsidRPr="001875CF">
        <w:rPr>
          <w:b/>
          <w:bCs/>
        </w:rPr>
        <w:t>B. Indirect Discrimination</w:t>
      </w:r>
    </w:p>
    <w:p w14:paraId="58056ACF" w14:textId="77777777" w:rsidR="001875CF" w:rsidRPr="001875CF" w:rsidRDefault="001875CF" w:rsidP="001875CF">
      <w:pPr>
        <w:spacing w:before="100" w:beforeAutospacing="1" w:after="100" w:afterAutospacing="1" w:line="276" w:lineRule="auto"/>
      </w:pPr>
      <w:r w:rsidRPr="001875CF">
        <w:t>A measure constitutes indirect discrimination when, although formulated in neutral terms, it places non-national EU citizens at a particular disadvantage compared to national workers (</w:t>
      </w:r>
      <w:r w:rsidRPr="001875CF">
        <w:rPr>
          <w:b/>
          <w:bCs/>
        </w:rPr>
        <w:t xml:space="preserve">Case C-237/94 </w:t>
      </w:r>
      <w:proofErr w:type="spellStart"/>
      <w:r w:rsidRPr="001875CF">
        <w:rPr>
          <w:b/>
          <w:bCs/>
        </w:rPr>
        <w:t>O’Flynn</w:t>
      </w:r>
      <w:proofErr w:type="spellEnd"/>
      <w:r w:rsidRPr="001875CF">
        <w:rPr>
          <w:b/>
          <w:bCs/>
        </w:rPr>
        <w:t xml:space="preserve"> [1996] ECR I-2617</w:t>
      </w:r>
      <w:r w:rsidRPr="001875CF">
        <w:t>). Germany’s six-month rule disproportionately affects EU migrant jobseekers by requiring them to leave the country if they do not secure employment within that timeframe, whereas German nationals in a similar position would face no such consequence.</w:t>
      </w:r>
    </w:p>
    <w:p w14:paraId="62DF7B69" w14:textId="77777777" w:rsidR="001875CF" w:rsidRPr="001875CF" w:rsidRDefault="001875CF" w:rsidP="001875CF">
      <w:pPr>
        <w:spacing w:before="100" w:beforeAutospacing="1" w:after="100" w:afterAutospacing="1" w:line="276" w:lineRule="auto"/>
      </w:pPr>
      <w:r w:rsidRPr="001875CF">
        <w:t xml:space="preserve">A particularly relevant precedent is </w:t>
      </w:r>
      <w:r w:rsidRPr="001875CF">
        <w:rPr>
          <w:b/>
          <w:bCs/>
        </w:rPr>
        <w:t>Case C-344/95 Commission v Belgium [1997] ECR I-1035</w:t>
      </w:r>
      <w:r w:rsidRPr="001875CF">
        <w:t xml:space="preserve">, where the Court found that expelling jobseekers without considering their actual employment prospects was unlawful. Similarly, in </w:t>
      </w:r>
      <w:r w:rsidRPr="001875CF">
        <w:rPr>
          <w:b/>
          <w:bCs/>
        </w:rPr>
        <w:t>Case C-138/02 Collins [2004] ECR I-2703</w:t>
      </w:r>
      <w:r w:rsidRPr="001875CF">
        <w:t>, the CJEU acknowledged that jobseekers could be required to show a “genuine link” to the host Member State but rejected rules that impose an absolute time limit without assessing individual circumstances.</w:t>
      </w:r>
    </w:p>
    <w:p w14:paraId="328E60C8" w14:textId="77777777" w:rsidR="001875CF" w:rsidRPr="001875CF" w:rsidRDefault="001875CF" w:rsidP="001875CF">
      <w:pPr>
        <w:spacing w:before="100" w:beforeAutospacing="1" w:after="100" w:afterAutospacing="1" w:line="276" w:lineRule="auto"/>
      </w:pPr>
      <w:r w:rsidRPr="001875CF">
        <w:t xml:space="preserve">Moreover, migrant jobseekers may require additional time to secure employment due to language barriers and the need for qualification recognition. The CJEU has emphasized in </w:t>
      </w:r>
      <w:r w:rsidRPr="001875CF">
        <w:rPr>
          <w:b/>
          <w:bCs/>
        </w:rPr>
        <w:t xml:space="preserve">Case C-340/89 </w:t>
      </w:r>
      <w:proofErr w:type="spellStart"/>
      <w:r w:rsidRPr="001875CF">
        <w:rPr>
          <w:b/>
          <w:bCs/>
        </w:rPr>
        <w:t>Vlassopoulou</w:t>
      </w:r>
      <w:proofErr w:type="spellEnd"/>
      <w:r w:rsidRPr="001875CF">
        <w:rPr>
          <w:b/>
          <w:bCs/>
        </w:rPr>
        <w:t xml:space="preserve"> [1991] I-2357</w:t>
      </w:r>
      <w:r w:rsidRPr="001875CF">
        <w:t xml:space="preserve"> that Member States must take into account the difficulties faced by foreign jobseekers in integrating into the </w:t>
      </w:r>
      <w:proofErr w:type="spellStart"/>
      <w:r w:rsidRPr="001875CF">
        <w:t>labor</w:t>
      </w:r>
      <w:proofErr w:type="spellEnd"/>
      <w:r w:rsidRPr="001875CF">
        <w:t xml:space="preserve"> market. The rigid six-month rule fails to accommodate these realities, thereby placing EU migrant jobseekers at a significant disadvantage. As such, the measure constitutes </w:t>
      </w:r>
      <w:r w:rsidRPr="001875CF">
        <w:rPr>
          <w:b/>
          <w:bCs/>
        </w:rPr>
        <w:t>indirect discrimination</w:t>
      </w:r>
      <w:r w:rsidRPr="001875CF">
        <w:t xml:space="preserve"> under </w:t>
      </w:r>
      <w:r w:rsidRPr="001875CF">
        <w:rPr>
          <w:b/>
          <w:bCs/>
        </w:rPr>
        <w:t>Article 45 TFEU</w:t>
      </w:r>
      <w:r w:rsidRPr="001875CF">
        <w:t>, unless it can be justified under a legitimate public interest ground and shown to be proportionate.</w:t>
      </w:r>
    </w:p>
    <w:p w14:paraId="1B23B93E" w14:textId="77777777" w:rsidR="001875CF" w:rsidRPr="001875CF" w:rsidRDefault="001875CF" w:rsidP="001875CF">
      <w:pPr>
        <w:spacing w:before="100" w:beforeAutospacing="1" w:after="100" w:afterAutospacing="1" w:line="276" w:lineRule="auto"/>
        <w:outlineLvl w:val="3"/>
        <w:rPr>
          <w:b/>
          <w:bCs/>
        </w:rPr>
      </w:pPr>
      <w:r w:rsidRPr="001875CF">
        <w:rPr>
          <w:b/>
          <w:bCs/>
        </w:rPr>
        <w:t>III. Justifications Under EU Law</w:t>
      </w:r>
    </w:p>
    <w:p w14:paraId="4486382B" w14:textId="77777777" w:rsidR="001875CF" w:rsidRPr="001875CF" w:rsidRDefault="001875CF" w:rsidP="001875CF">
      <w:pPr>
        <w:spacing w:before="100" w:beforeAutospacing="1" w:after="100" w:afterAutospacing="1" w:line="276" w:lineRule="auto"/>
      </w:pPr>
      <w:r w:rsidRPr="001875CF">
        <w:t xml:space="preserve">Although </w:t>
      </w:r>
      <w:r w:rsidRPr="001875CF">
        <w:rPr>
          <w:b/>
          <w:bCs/>
        </w:rPr>
        <w:t>Article 45(3) TFEU</w:t>
      </w:r>
      <w:r w:rsidRPr="001875CF">
        <w:t xml:space="preserve"> permits restrictions on free movement for reasons of public policy, public security, or public health, such restrictions must be based on a </w:t>
      </w:r>
      <w:r w:rsidRPr="001875CF">
        <w:rPr>
          <w:b/>
          <w:bCs/>
        </w:rPr>
        <w:t>genuine, serious, and present threat</w:t>
      </w:r>
      <w:r w:rsidRPr="001875CF">
        <w:t xml:space="preserve"> rather than on general concerns. Germany has invoked </w:t>
      </w:r>
      <w:r w:rsidRPr="001875CF">
        <w:rPr>
          <w:b/>
          <w:bCs/>
        </w:rPr>
        <w:t>public security</w:t>
      </w:r>
      <w:r w:rsidRPr="001875CF">
        <w:t xml:space="preserve"> as the rationale for the six-month rule, citing concerns about terrorism. However, established CJEU case law imposes strict conditions on such derogations.</w:t>
      </w:r>
    </w:p>
    <w:p w14:paraId="6C25AFBF" w14:textId="77777777" w:rsidR="001875CF" w:rsidRPr="001875CF" w:rsidRDefault="001875CF" w:rsidP="001875CF">
      <w:pPr>
        <w:spacing w:before="100" w:beforeAutospacing="1" w:after="100" w:afterAutospacing="1" w:line="276" w:lineRule="auto"/>
      </w:pPr>
      <w:r w:rsidRPr="001875CF">
        <w:t xml:space="preserve">In </w:t>
      </w:r>
      <w:r w:rsidRPr="001875CF">
        <w:rPr>
          <w:b/>
          <w:bCs/>
        </w:rPr>
        <w:t>Case C-114/97 Commission v Spain [1998] ECR I-6717</w:t>
      </w:r>
      <w:r w:rsidRPr="001875CF">
        <w:t xml:space="preserve">, the Court ruled that any public security justification must be </w:t>
      </w:r>
      <w:r w:rsidRPr="001875CF">
        <w:rPr>
          <w:b/>
          <w:bCs/>
        </w:rPr>
        <w:t>proportionate and based on specific risks</w:t>
      </w:r>
      <w:r w:rsidRPr="001875CF">
        <w:t xml:space="preserve">. The blanket application of a six-month rule to all jobseekers, regardless of their actual conduct or threat level, is clearly disproportionate. The CJEU has consistently held that Member States may not expel individuals based solely on broad classifications but must instead demonstrate </w:t>
      </w:r>
      <w:r w:rsidRPr="001875CF">
        <w:rPr>
          <w:b/>
          <w:bCs/>
        </w:rPr>
        <w:t>personal conduct indicating a genuine and serious risk</w:t>
      </w:r>
      <w:r w:rsidRPr="001875CF">
        <w:t xml:space="preserve"> (</w:t>
      </w:r>
      <w:r w:rsidRPr="001875CF">
        <w:rPr>
          <w:b/>
          <w:bCs/>
        </w:rPr>
        <w:t xml:space="preserve">Case C-33/07 </w:t>
      </w:r>
      <w:proofErr w:type="spellStart"/>
      <w:r w:rsidRPr="001875CF">
        <w:rPr>
          <w:b/>
          <w:bCs/>
        </w:rPr>
        <w:t>Jipa</w:t>
      </w:r>
      <w:proofErr w:type="spellEnd"/>
      <w:r w:rsidRPr="001875CF">
        <w:rPr>
          <w:b/>
          <w:bCs/>
        </w:rPr>
        <w:t xml:space="preserve"> [2008] ECR I-5157</w:t>
      </w:r>
      <w:r w:rsidRPr="001875CF">
        <w:t>).</w:t>
      </w:r>
    </w:p>
    <w:p w14:paraId="7CD42254" w14:textId="77777777" w:rsidR="001875CF" w:rsidRPr="001875CF" w:rsidRDefault="001875CF" w:rsidP="001875CF">
      <w:pPr>
        <w:spacing w:before="100" w:beforeAutospacing="1" w:after="100" w:afterAutospacing="1" w:line="276" w:lineRule="auto"/>
      </w:pPr>
      <w:r w:rsidRPr="001875CF">
        <w:lastRenderedPageBreak/>
        <w:t xml:space="preserve">Furthermore, economic justifications—such as reducing welfare burdens—are expressly </w:t>
      </w:r>
      <w:r w:rsidRPr="001875CF">
        <w:rPr>
          <w:b/>
          <w:bCs/>
        </w:rPr>
        <w:t>prohibited</w:t>
      </w:r>
      <w:r w:rsidRPr="001875CF">
        <w:t xml:space="preserve"> as grounds for restricting free movement (</w:t>
      </w:r>
      <w:r w:rsidRPr="001875CF">
        <w:rPr>
          <w:b/>
          <w:bCs/>
        </w:rPr>
        <w:t xml:space="preserve">Case C-184/99 </w:t>
      </w:r>
      <w:proofErr w:type="spellStart"/>
      <w:r w:rsidRPr="001875CF">
        <w:rPr>
          <w:b/>
          <w:bCs/>
        </w:rPr>
        <w:t>Grzelczyk</w:t>
      </w:r>
      <w:proofErr w:type="spellEnd"/>
      <w:r w:rsidRPr="001875CF">
        <w:rPr>
          <w:b/>
          <w:bCs/>
        </w:rPr>
        <w:t xml:space="preserve"> [2001] ECR I-6193</w:t>
      </w:r>
      <w:r w:rsidRPr="001875CF">
        <w:t xml:space="preserve">). The CJEU has also emphasized that restrictions must be </w:t>
      </w:r>
      <w:r w:rsidRPr="001875CF">
        <w:rPr>
          <w:b/>
          <w:bCs/>
        </w:rPr>
        <w:t>the least restrictive means</w:t>
      </w:r>
      <w:r w:rsidRPr="001875CF">
        <w:t xml:space="preserve"> available to achieve the desired objective (</w:t>
      </w:r>
      <w:r w:rsidRPr="001875CF">
        <w:rPr>
          <w:b/>
          <w:bCs/>
        </w:rPr>
        <w:t xml:space="preserve">Case C-55/94 </w:t>
      </w:r>
      <w:proofErr w:type="spellStart"/>
      <w:r w:rsidRPr="001875CF">
        <w:rPr>
          <w:b/>
          <w:bCs/>
        </w:rPr>
        <w:t>Gebhard</w:t>
      </w:r>
      <w:proofErr w:type="spellEnd"/>
      <w:r w:rsidRPr="001875CF">
        <w:rPr>
          <w:b/>
          <w:bCs/>
        </w:rPr>
        <w:t xml:space="preserve"> [1995] ECR I-4165</w:t>
      </w:r>
      <w:r w:rsidRPr="001875CF">
        <w:t xml:space="preserve">). In the present case, Germany could adopt less intrusive measures, such as </w:t>
      </w:r>
      <w:r w:rsidRPr="001875CF">
        <w:rPr>
          <w:b/>
          <w:bCs/>
        </w:rPr>
        <w:t>individual assessments</w:t>
      </w:r>
      <w:r w:rsidRPr="001875CF">
        <w:t xml:space="preserve"> of jobseekers’ prospects rather than imposing an absolute time limit. Accordingly, the six-month rule fails the proportionality test and </w:t>
      </w:r>
      <w:r w:rsidRPr="001875CF">
        <w:rPr>
          <w:b/>
          <w:bCs/>
        </w:rPr>
        <w:t>cannot be justified under EU law</w:t>
      </w:r>
      <w:r w:rsidRPr="001875CF">
        <w:t>.</w:t>
      </w:r>
    </w:p>
    <w:p w14:paraId="7135D897" w14:textId="77777777" w:rsidR="001875CF" w:rsidRPr="001875CF" w:rsidRDefault="001875CF" w:rsidP="001875CF">
      <w:pPr>
        <w:spacing w:before="100" w:beforeAutospacing="1" w:after="100" w:afterAutospacing="1" w:line="276" w:lineRule="auto"/>
        <w:outlineLvl w:val="3"/>
        <w:rPr>
          <w:b/>
          <w:bCs/>
        </w:rPr>
      </w:pPr>
      <w:r w:rsidRPr="001875CF">
        <w:rPr>
          <w:b/>
          <w:bCs/>
        </w:rPr>
        <w:t>IV. Against Whom Can Article 45 TFEU Be Relied Upon?</w:t>
      </w:r>
    </w:p>
    <w:p w14:paraId="39C2FE3C" w14:textId="77777777" w:rsidR="001875CF" w:rsidRPr="001875CF" w:rsidRDefault="001875CF" w:rsidP="001875CF">
      <w:pPr>
        <w:spacing w:before="100" w:beforeAutospacing="1" w:after="100" w:afterAutospacing="1" w:line="276" w:lineRule="auto"/>
      </w:pPr>
      <w:r w:rsidRPr="001875CF">
        <w:t xml:space="preserve">Article 45 TFEU has </w:t>
      </w:r>
      <w:r w:rsidRPr="001875CF">
        <w:rPr>
          <w:b/>
          <w:bCs/>
        </w:rPr>
        <w:t>vertical direct effect</w:t>
      </w:r>
      <w:r w:rsidRPr="001875CF">
        <w:t>, meaning it can be enforced against Member States. This allows affected jobseekers to challenge the German rule before national courts, which are obligated to disapply any national law that contradicts Union law (</w:t>
      </w:r>
      <w:r w:rsidRPr="001875CF">
        <w:rPr>
          <w:b/>
          <w:bCs/>
        </w:rPr>
        <w:t>Case C-370/90 Singh [1992] ECR I-4265</w:t>
      </w:r>
      <w:r w:rsidRPr="001875CF">
        <w:t>).</w:t>
      </w:r>
    </w:p>
    <w:p w14:paraId="08A01480" w14:textId="77777777" w:rsidR="001875CF" w:rsidRPr="001875CF" w:rsidRDefault="001875CF" w:rsidP="001875CF">
      <w:pPr>
        <w:spacing w:before="100" w:beforeAutospacing="1" w:after="100" w:afterAutospacing="1" w:line="276" w:lineRule="auto"/>
      </w:pPr>
      <w:r w:rsidRPr="001875CF">
        <w:t xml:space="preserve">Additionally, Article 45 TFEU has </w:t>
      </w:r>
      <w:r w:rsidRPr="001875CF">
        <w:rPr>
          <w:b/>
          <w:bCs/>
        </w:rPr>
        <w:t>semi-horizontal effect</w:t>
      </w:r>
      <w:r w:rsidRPr="001875CF">
        <w:t xml:space="preserve">, meaning it applies to public authorities and regulatory bodies governing employment. As such, </w:t>
      </w:r>
      <w:r w:rsidRPr="001875CF">
        <w:rPr>
          <w:b/>
          <w:bCs/>
        </w:rPr>
        <w:t>public employment agencies and administrative bodies</w:t>
      </w:r>
      <w:r w:rsidRPr="001875CF">
        <w:t xml:space="preserve"> enforcing the six-month rule may also be challenged under EU law (</w:t>
      </w:r>
      <w:r w:rsidRPr="001875CF">
        <w:rPr>
          <w:b/>
          <w:bCs/>
        </w:rPr>
        <w:t xml:space="preserve">Case C-281/98 </w:t>
      </w:r>
      <w:proofErr w:type="spellStart"/>
      <w:r w:rsidRPr="001875CF">
        <w:rPr>
          <w:b/>
          <w:bCs/>
        </w:rPr>
        <w:t>Angonese</w:t>
      </w:r>
      <w:proofErr w:type="spellEnd"/>
      <w:r w:rsidRPr="001875CF">
        <w:rPr>
          <w:b/>
          <w:bCs/>
        </w:rPr>
        <w:t xml:space="preserve"> [2000] ECR I-4139</w:t>
      </w:r>
      <w:r w:rsidRPr="001875CF">
        <w:t>).</w:t>
      </w:r>
    </w:p>
    <w:p w14:paraId="003F17AB" w14:textId="77777777" w:rsidR="001875CF" w:rsidRPr="001875CF" w:rsidRDefault="001875CF" w:rsidP="001875CF">
      <w:pPr>
        <w:spacing w:before="100" w:beforeAutospacing="1" w:after="100" w:afterAutospacing="1" w:line="276" w:lineRule="auto"/>
      </w:pPr>
      <w:r w:rsidRPr="001875CF">
        <w:t xml:space="preserve">Finally, the </w:t>
      </w:r>
      <w:r w:rsidRPr="001875CF">
        <w:rPr>
          <w:b/>
          <w:bCs/>
        </w:rPr>
        <w:t>European Commission may initiate infringement proceedings</w:t>
      </w:r>
      <w:r w:rsidRPr="001875CF">
        <w:t xml:space="preserve"> under </w:t>
      </w:r>
      <w:r w:rsidRPr="001875CF">
        <w:rPr>
          <w:b/>
          <w:bCs/>
        </w:rPr>
        <w:t>Article 258 TFEU</w:t>
      </w:r>
      <w:r w:rsidRPr="001875CF">
        <w:t xml:space="preserve"> if Germany fails to amend its rule. The Commission has previously pursued actions against Member States that imposed disproportionate restrictions on jobseekers (</w:t>
      </w:r>
      <w:r w:rsidRPr="001875CF">
        <w:rPr>
          <w:b/>
          <w:bCs/>
        </w:rPr>
        <w:t>Case C-344/95 Commission v Belgium</w:t>
      </w:r>
      <w:r w:rsidRPr="001875CF">
        <w:t>).</w:t>
      </w:r>
    </w:p>
    <w:p w14:paraId="0F7BB232" w14:textId="77777777" w:rsidR="001875CF" w:rsidRPr="001875CF" w:rsidRDefault="001875CF" w:rsidP="001875CF">
      <w:pPr>
        <w:spacing w:before="100" w:beforeAutospacing="1" w:after="100" w:afterAutospacing="1" w:line="276" w:lineRule="auto"/>
        <w:outlineLvl w:val="3"/>
        <w:rPr>
          <w:b/>
          <w:bCs/>
        </w:rPr>
      </w:pPr>
      <w:r w:rsidRPr="001875CF">
        <w:rPr>
          <w:b/>
          <w:bCs/>
        </w:rPr>
        <w:t>V. Conclusion and Recommendations</w:t>
      </w:r>
    </w:p>
    <w:p w14:paraId="176FEF0D" w14:textId="77777777" w:rsidR="001875CF" w:rsidRPr="001875CF" w:rsidRDefault="001875CF" w:rsidP="001875CF">
      <w:pPr>
        <w:spacing w:before="100" w:beforeAutospacing="1" w:after="100" w:afterAutospacing="1" w:line="276" w:lineRule="auto"/>
      </w:pPr>
      <w:r w:rsidRPr="001875CF">
        <w:t xml:space="preserve">Germany’s six-month job-seeker rule is </w:t>
      </w:r>
      <w:r w:rsidRPr="001875CF">
        <w:rPr>
          <w:b/>
          <w:bCs/>
        </w:rPr>
        <w:t>incompatible with EU law</w:t>
      </w:r>
      <w:r w:rsidRPr="001875CF">
        <w:t xml:space="preserve"> on multiple grounds. First, it contravenes </w:t>
      </w:r>
      <w:r w:rsidRPr="001875CF">
        <w:rPr>
          <w:b/>
          <w:bCs/>
        </w:rPr>
        <w:t>Article 45 TFEU and Directive 2004/38/EC</w:t>
      </w:r>
      <w:r w:rsidRPr="001875CF">
        <w:t xml:space="preserve"> by imposing an arbitrary time limit on jobseekers without assessing their genuine employment prospects. Second, it constitutes </w:t>
      </w:r>
      <w:r w:rsidRPr="001875CF">
        <w:rPr>
          <w:b/>
          <w:bCs/>
        </w:rPr>
        <w:t>indirect discrimination</w:t>
      </w:r>
      <w:r w:rsidRPr="001875CF">
        <w:t xml:space="preserve"> against EU migrant jobseekers, disproportionately affecting their ability to secure work. Third, </w:t>
      </w:r>
      <w:r w:rsidRPr="001875CF">
        <w:rPr>
          <w:b/>
          <w:bCs/>
        </w:rPr>
        <w:t>Germany’s reliance on public security grounds is unsubstantiated</w:t>
      </w:r>
      <w:r w:rsidRPr="001875CF">
        <w:t xml:space="preserve">, and the measure fails the </w:t>
      </w:r>
      <w:r w:rsidRPr="001875CF">
        <w:rPr>
          <w:b/>
          <w:bCs/>
        </w:rPr>
        <w:t>proportionality test</w:t>
      </w:r>
      <w:r w:rsidRPr="001875CF">
        <w:t xml:space="preserve"> under established CJEU jurisprudence.</w:t>
      </w:r>
    </w:p>
    <w:p w14:paraId="3C32811F" w14:textId="77777777" w:rsidR="001875CF" w:rsidRPr="001875CF" w:rsidRDefault="001875CF" w:rsidP="001875CF">
      <w:pPr>
        <w:spacing w:before="100" w:beforeAutospacing="1" w:after="100" w:afterAutospacing="1" w:line="276" w:lineRule="auto"/>
      </w:pPr>
      <w:r w:rsidRPr="001875CF">
        <w:t xml:space="preserve">In light of these findings, it is recommended that </w:t>
      </w:r>
      <w:r w:rsidRPr="001875CF">
        <w:rPr>
          <w:b/>
          <w:bCs/>
        </w:rPr>
        <w:t>Germany revise its approach</w:t>
      </w:r>
      <w:r w:rsidRPr="001875CF">
        <w:t xml:space="preserve"> to ensure compliance with EU law. A </w:t>
      </w:r>
      <w:r w:rsidRPr="001875CF">
        <w:rPr>
          <w:b/>
          <w:bCs/>
        </w:rPr>
        <w:t>more proportionate measure</w:t>
      </w:r>
      <w:r w:rsidRPr="001875CF">
        <w:t xml:space="preserve"> would involve </w:t>
      </w:r>
      <w:r w:rsidRPr="001875CF">
        <w:rPr>
          <w:b/>
          <w:bCs/>
        </w:rPr>
        <w:t>individualized assessments</w:t>
      </w:r>
      <w:r w:rsidRPr="001875CF">
        <w:t xml:space="preserve"> of jobseekers rather than an automatic six-month expulsion policy. The rule should allow jobseekers to remain if they can demonstrate </w:t>
      </w:r>
      <w:r w:rsidRPr="001875CF">
        <w:rPr>
          <w:b/>
          <w:bCs/>
        </w:rPr>
        <w:t>active job searching</w:t>
      </w:r>
      <w:r w:rsidRPr="001875CF">
        <w:t xml:space="preserve"> and a </w:t>
      </w:r>
      <w:r w:rsidRPr="001875CF">
        <w:rPr>
          <w:b/>
          <w:bCs/>
        </w:rPr>
        <w:t>realistic prospect of employment</w:t>
      </w:r>
      <w:r w:rsidRPr="001875CF">
        <w:t>.</w:t>
      </w:r>
    </w:p>
    <w:p w14:paraId="78906585" w14:textId="77777777" w:rsidR="001875CF" w:rsidRPr="001875CF" w:rsidRDefault="001875CF" w:rsidP="001875CF">
      <w:pPr>
        <w:spacing w:before="100" w:beforeAutospacing="1" w:after="100" w:afterAutospacing="1" w:line="276" w:lineRule="auto"/>
      </w:pPr>
      <w:r w:rsidRPr="001875CF">
        <w:t xml:space="preserve">Should Germany refuse to amend the measure, the </w:t>
      </w:r>
      <w:r w:rsidRPr="001875CF">
        <w:rPr>
          <w:b/>
          <w:bCs/>
        </w:rPr>
        <w:t>European Commission should initiate infringement proceedings under Article 258 TFEU</w:t>
      </w:r>
      <w:r w:rsidRPr="001875CF">
        <w:t xml:space="preserve">. Ensuring compliance with EU law </w:t>
      </w:r>
      <w:r w:rsidRPr="001875CF">
        <w:lastRenderedPageBreak/>
        <w:t xml:space="preserve">will safeguard the rights of jobseekers while preserving Germany’s legitimate interest in managing its </w:t>
      </w:r>
      <w:proofErr w:type="spellStart"/>
      <w:r w:rsidRPr="001875CF">
        <w:t>labor</w:t>
      </w:r>
      <w:proofErr w:type="spellEnd"/>
      <w:r w:rsidRPr="001875CF">
        <w:t xml:space="preserve"> market.</w:t>
      </w:r>
    </w:p>
    <w:p w14:paraId="7495A8CF" w14:textId="77777777" w:rsidR="001875CF" w:rsidRPr="001875CF" w:rsidRDefault="001875CF" w:rsidP="001875CF">
      <w:pPr>
        <w:pStyle w:val="NormalWeb"/>
        <w:spacing w:line="276" w:lineRule="auto"/>
      </w:pPr>
    </w:p>
    <w:p w14:paraId="371C345D" w14:textId="77777777" w:rsidR="006052AE" w:rsidRPr="00232974" w:rsidRDefault="006052AE" w:rsidP="001875CF">
      <w:pPr>
        <w:spacing w:before="100" w:beforeAutospacing="1" w:after="100" w:afterAutospacing="1" w:line="276" w:lineRule="auto"/>
      </w:pPr>
    </w:p>
    <w:p w14:paraId="1749D4DD" w14:textId="34EF5479" w:rsidR="00CD39F1" w:rsidRPr="001875CF" w:rsidRDefault="00CD39F1" w:rsidP="001875CF">
      <w:pPr>
        <w:spacing w:after="240" w:line="276" w:lineRule="auto"/>
      </w:pPr>
    </w:p>
    <w:sectPr w:rsidR="00CD39F1" w:rsidRPr="001875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ymbolMT">
    <w:altName w:val="Cambria"/>
    <w:panose1 w:val="020B0604020202020204"/>
    <w:charset w:val="00"/>
    <w:family w:val="roman"/>
    <w:pitch w:val="default"/>
  </w:font>
  <w:font w:name="TimesNewRomanPS">
    <w:altName w:val="Times New Roman"/>
    <w:panose1 w:val="020B0604020202020204"/>
    <w:charset w:val="00"/>
    <w:family w:val="roman"/>
    <w:notTrueType/>
    <w:pitch w:val="default"/>
  </w:font>
  <w:font w:name="TimesNewRomanPSMT">
    <w:altName w:val="Times New Roman"/>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E2D80"/>
    <w:multiLevelType w:val="multilevel"/>
    <w:tmpl w:val="66E83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10E9F"/>
    <w:multiLevelType w:val="multilevel"/>
    <w:tmpl w:val="29E2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622CE"/>
    <w:multiLevelType w:val="multilevel"/>
    <w:tmpl w:val="FB0C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04FF5"/>
    <w:multiLevelType w:val="multilevel"/>
    <w:tmpl w:val="460CC33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12AF687A"/>
    <w:multiLevelType w:val="multilevel"/>
    <w:tmpl w:val="AA168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E91BD5"/>
    <w:multiLevelType w:val="multilevel"/>
    <w:tmpl w:val="FBA6C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F9258B"/>
    <w:multiLevelType w:val="multilevel"/>
    <w:tmpl w:val="EAE8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976B5"/>
    <w:multiLevelType w:val="multilevel"/>
    <w:tmpl w:val="BEEA9B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235028C"/>
    <w:multiLevelType w:val="multilevel"/>
    <w:tmpl w:val="AC9E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67D82"/>
    <w:multiLevelType w:val="multilevel"/>
    <w:tmpl w:val="6A98C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0A6F54"/>
    <w:multiLevelType w:val="multilevel"/>
    <w:tmpl w:val="86D07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6A304B"/>
    <w:multiLevelType w:val="multilevel"/>
    <w:tmpl w:val="CA2E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B6420"/>
    <w:multiLevelType w:val="multilevel"/>
    <w:tmpl w:val="DD24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C00FD7"/>
    <w:multiLevelType w:val="multilevel"/>
    <w:tmpl w:val="A52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BA5AFB"/>
    <w:multiLevelType w:val="multilevel"/>
    <w:tmpl w:val="4644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9590E"/>
    <w:multiLevelType w:val="multilevel"/>
    <w:tmpl w:val="57F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77545D"/>
    <w:multiLevelType w:val="multilevel"/>
    <w:tmpl w:val="53460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0F2BE8"/>
    <w:multiLevelType w:val="multilevel"/>
    <w:tmpl w:val="357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4637BF"/>
    <w:multiLevelType w:val="multilevel"/>
    <w:tmpl w:val="9BD6C9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6371711"/>
    <w:multiLevelType w:val="multilevel"/>
    <w:tmpl w:val="2CC8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BA4660"/>
    <w:multiLevelType w:val="multilevel"/>
    <w:tmpl w:val="4330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630B19"/>
    <w:multiLevelType w:val="multilevel"/>
    <w:tmpl w:val="EE7A6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866DA6"/>
    <w:multiLevelType w:val="multilevel"/>
    <w:tmpl w:val="85A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A11E4"/>
    <w:multiLevelType w:val="multilevel"/>
    <w:tmpl w:val="2CF4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960ED6"/>
    <w:multiLevelType w:val="multilevel"/>
    <w:tmpl w:val="C0A87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1D1C70"/>
    <w:multiLevelType w:val="multilevel"/>
    <w:tmpl w:val="709E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598113">
    <w:abstractNumId w:val="3"/>
  </w:num>
  <w:num w:numId="2" w16cid:durableId="1977100598">
    <w:abstractNumId w:val="1"/>
  </w:num>
  <w:num w:numId="3" w16cid:durableId="1734310247">
    <w:abstractNumId w:val="23"/>
  </w:num>
  <w:num w:numId="4" w16cid:durableId="566693185">
    <w:abstractNumId w:val="16"/>
  </w:num>
  <w:num w:numId="5" w16cid:durableId="1016541216">
    <w:abstractNumId w:val="2"/>
  </w:num>
  <w:num w:numId="6" w16cid:durableId="1316373519">
    <w:abstractNumId w:val="24"/>
  </w:num>
  <w:num w:numId="7" w16cid:durableId="1098257219">
    <w:abstractNumId w:val="11"/>
  </w:num>
  <w:num w:numId="8" w16cid:durableId="171535351">
    <w:abstractNumId w:val="0"/>
  </w:num>
  <w:num w:numId="9" w16cid:durableId="1253853898">
    <w:abstractNumId w:val="4"/>
  </w:num>
  <w:num w:numId="10" w16cid:durableId="302002231">
    <w:abstractNumId w:val="18"/>
  </w:num>
  <w:num w:numId="11" w16cid:durableId="637538404">
    <w:abstractNumId w:val="21"/>
  </w:num>
  <w:num w:numId="12" w16cid:durableId="1897472686">
    <w:abstractNumId w:val="22"/>
  </w:num>
  <w:num w:numId="13" w16cid:durableId="1123842058">
    <w:abstractNumId w:val="6"/>
  </w:num>
  <w:num w:numId="14" w16cid:durableId="85226837">
    <w:abstractNumId w:val="20"/>
  </w:num>
  <w:num w:numId="15" w16cid:durableId="358043109">
    <w:abstractNumId w:val="7"/>
  </w:num>
  <w:num w:numId="16" w16cid:durableId="94447442">
    <w:abstractNumId w:val="25"/>
  </w:num>
  <w:num w:numId="17" w16cid:durableId="814952936">
    <w:abstractNumId w:val="14"/>
  </w:num>
  <w:num w:numId="18" w16cid:durableId="798498346">
    <w:abstractNumId w:val="13"/>
  </w:num>
  <w:num w:numId="19" w16cid:durableId="710109048">
    <w:abstractNumId w:val="19"/>
  </w:num>
  <w:num w:numId="20" w16cid:durableId="1136527731">
    <w:abstractNumId w:val="9"/>
  </w:num>
  <w:num w:numId="21" w16cid:durableId="947657961">
    <w:abstractNumId w:val="8"/>
  </w:num>
  <w:num w:numId="22" w16cid:durableId="1388453740">
    <w:abstractNumId w:val="17"/>
  </w:num>
  <w:num w:numId="23" w16cid:durableId="583801041">
    <w:abstractNumId w:val="10"/>
  </w:num>
  <w:num w:numId="24" w16cid:durableId="1021276840">
    <w:abstractNumId w:val="12"/>
  </w:num>
  <w:num w:numId="25" w16cid:durableId="1065378556">
    <w:abstractNumId w:val="15"/>
  </w:num>
  <w:num w:numId="26" w16cid:durableId="14412965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3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101CCF"/>
    <w:rsid w:val="001372F7"/>
    <w:rsid w:val="00165CCF"/>
    <w:rsid w:val="00175AB8"/>
    <w:rsid w:val="001875CF"/>
    <w:rsid w:val="0019260C"/>
    <w:rsid w:val="001A41D2"/>
    <w:rsid w:val="001B0E31"/>
    <w:rsid w:val="001D360C"/>
    <w:rsid w:val="001E2584"/>
    <w:rsid w:val="002033A2"/>
    <w:rsid w:val="00204B6E"/>
    <w:rsid w:val="00223837"/>
    <w:rsid w:val="00232974"/>
    <w:rsid w:val="00243CED"/>
    <w:rsid w:val="00247BCC"/>
    <w:rsid w:val="00257540"/>
    <w:rsid w:val="0026510F"/>
    <w:rsid w:val="0028028D"/>
    <w:rsid w:val="00291F37"/>
    <w:rsid w:val="00297C6E"/>
    <w:rsid w:val="002B3377"/>
    <w:rsid w:val="002C38C0"/>
    <w:rsid w:val="002C6D8B"/>
    <w:rsid w:val="002D715D"/>
    <w:rsid w:val="002E3864"/>
    <w:rsid w:val="002E46F2"/>
    <w:rsid w:val="002F1DB1"/>
    <w:rsid w:val="002F20B2"/>
    <w:rsid w:val="002F53C9"/>
    <w:rsid w:val="003048A0"/>
    <w:rsid w:val="0031138E"/>
    <w:rsid w:val="0031474F"/>
    <w:rsid w:val="00315815"/>
    <w:rsid w:val="003278F5"/>
    <w:rsid w:val="00330665"/>
    <w:rsid w:val="00342A18"/>
    <w:rsid w:val="00357561"/>
    <w:rsid w:val="003607EE"/>
    <w:rsid w:val="0036177C"/>
    <w:rsid w:val="00361975"/>
    <w:rsid w:val="00376E23"/>
    <w:rsid w:val="0039416B"/>
    <w:rsid w:val="003A1271"/>
    <w:rsid w:val="003A5DF7"/>
    <w:rsid w:val="003B3510"/>
    <w:rsid w:val="003C116C"/>
    <w:rsid w:val="003D0CDD"/>
    <w:rsid w:val="003D710F"/>
    <w:rsid w:val="003D7A68"/>
    <w:rsid w:val="003E1CAA"/>
    <w:rsid w:val="0040210F"/>
    <w:rsid w:val="004222FD"/>
    <w:rsid w:val="004319FA"/>
    <w:rsid w:val="00442F56"/>
    <w:rsid w:val="0044616D"/>
    <w:rsid w:val="00474DD1"/>
    <w:rsid w:val="004751B5"/>
    <w:rsid w:val="0048097D"/>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144E"/>
    <w:rsid w:val="005120A1"/>
    <w:rsid w:val="00542B57"/>
    <w:rsid w:val="005525C9"/>
    <w:rsid w:val="00557B52"/>
    <w:rsid w:val="005743EA"/>
    <w:rsid w:val="005770A9"/>
    <w:rsid w:val="0058416B"/>
    <w:rsid w:val="00595357"/>
    <w:rsid w:val="005A1930"/>
    <w:rsid w:val="005A6EEA"/>
    <w:rsid w:val="005B34ED"/>
    <w:rsid w:val="005B61CD"/>
    <w:rsid w:val="005B74C5"/>
    <w:rsid w:val="005C4FF3"/>
    <w:rsid w:val="005C50B3"/>
    <w:rsid w:val="005C6B83"/>
    <w:rsid w:val="005D57DA"/>
    <w:rsid w:val="005E7702"/>
    <w:rsid w:val="005F33FC"/>
    <w:rsid w:val="006052AE"/>
    <w:rsid w:val="00605F8E"/>
    <w:rsid w:val="00613954"/>
    <w:rsid w:val="00613D9E"/>
    <w:rsid w:val="00622488"/>
    <w:rsid w:val="00650543"/>
    <w:rsid w:val="00654D8B"/>
    <w:rsid w:val="00661136"/>
    <w:rsid w:val="0068027B"/>
    <w:rsid w:val="006B7BA3"/>
    <w:rsid w:val="006C42B8"/>
    <w:rsid w:val="006C50C7"/>
    <w:rsid w:val="006D1612"/>
    <w:rsid w:val="00713CA9"/>
    <w:rsid w:val="007318A2"/>
    <w:rsid w:val="007455C6"/>
    <w:rsid w:val="007475C7"/>
    <w:rsid w:val="0075265A"/>
    <w:rsid w:val="0075498E"/>
    <w:rsid w:val="00757BE5"/>
    <w:rsid w:val="00760E46"/>
    <w:rsid w:val="007643D2"/>
    <w:rsid w:val="00766D82"/>
    <w:rsid w:val="0076715F"/>
    <w:rsid w:val="007678B2"/>
    <w:rsid w:val="00782575"/>
    <w:rsid w:val="0078776B"/>
    <w:rsid w:val="007954D0"/>
    <w:rsid w:val="00796A93"/>
    <w:rsid w:val="007975B6"/>
    <w:rsid w:val="007B48C2"/>
    <w:rsid w:val="007C231D"/>
    <w:rsid w:val="007D68F0"/>
    <w:rsid w:val="007E1559"/>
    <w:rsid w:val="007E4AE6"/>
    <w:rsid w:val="007F776E"/>
    <w:rsid w:val="00816563"/>
    <w:rsid w:val="00830C88"/>
    <w:rsid w:val="00845AB5"/>
    <w:rsid w:val="00861B11"/>
    <w:rsid w:val="008829C2"/>
    <w:rsid w:val="008A54BE"/>
    <w:rsid w:val="008C7B0A"/>
    <w:rsid w:val="008D0642"/>
    <w:rsid w:val="008E43C2"/>
    <w:rsid w:val="008E7081"/>
    <w:rsid w:val="008E745B"/>
    <w:rsid w:val="008F301E"/>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5953"/>
    <w:rsid w:val="00A56B3C"/>
    <w:rsid w:val="00A93FBA"/>
    <w:rsid w:val="00A95C7E"/>
    <w:rsid w:val="00AB609D"/>
    <w:rsid w:val="00AC3AB8"/>
    <w:rsid w:val="00AE4348"/>
    <w:rsid w:val="00AE4BAF"/>
    <w:rsid w:val="00B03D5A"/>
    <w:rsid w:val="00B14AED"/>
    <w:rsid w:val="00B200EB"/>
    <w:rsid w:val="00B23297"/>
    <w:rsid w:val="00B360EE"/>
    <w:rsid w:val="00B53B6F"/>
    <w:rsid w:val="00B651D9"/>
    <w:rsid w:val="00B67231"/>
    <w:rsid w:val="00B73742"/>
    <w:rsid w:val="00B914E6"/>
    <w:rsid w:val="00B95747"/>
    <w:rsid w:val="00BC4186"/>
    <w:rsid w:val="00BC5F25"/>
    <w:rsid w:val="00BD1450"/>
    <w:rsid w:val="00BD7714"/>
    <w:rsid w:val="00BD7C9B"/>
    <w:rsid w:val="00BE08AD"/>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6F5C"/>
    <w:rsid w:val="00DE6C87"/>
    <w:rsid w:val="00E06E11"/>
    <w:rsid w:val="00E14A1A"/>
    <w:rsid w:val="00E14E1F"/>
    <w:rsid w:val="00E2730E"/>
    <w:rsid w:val="00E4366A"/>
    <w:rsid w:val="00E438AC"/>
    <w:rsid w:val="00E5689E"/>
    <w:rsid w:val="00E60DF5"/>
    <w:rsid w:val="00E64DD3"/>
    <w:rsid w:val="00E73779"/>
    <w:rsid w:val="00E73A6D"/>
    <w:rsid w:val="00E80D33"/>
    <w:rsid w:val="00E95D8D"/>
    <w:rsid w:val="00EA6881"/>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58D4"/>
    <w:rsid w:val="00FA0450"/>
    <w:rsid w:val="00FA4E8A"/>
    <w:rsid w:val="00FB2653"/>
    <w:rsid w:val="00FB5C49"/>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CC97384"/>
  <w15:chartTrackingRefBased/>
  <w15:docId w15:val="{A3B3E679-493F-0F43-BFF7-935D2B7E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5CF"/>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56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6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6B3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6B3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A56B3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A56B3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56B3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56B3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56B3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B3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A56B3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A56B3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A56B3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A56B3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A56B3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A56B3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A56B3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A56B3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A56B3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B3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A56B3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B3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A56B3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6B3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A56B3C"/>
    <w:pPr>
      <w:ind w:left="720"/>
      <w:contextualSpacing/>
    </w:pPr>
  </w:style>
  <w:style w:type="character" w:styleId="IntenseEmphasis">
    <w:name w:val="Intense Emphasis"/>
    <w:basedOn w:val="DefaultParagraphFont"/>
    <w:uiPriority w:val="21"/>
    <w:qFormat/>
    <w:rsid w:val="00A56B3C"/>
    <w:rPr>
      <w:i/>
      <w:iCs/>
      <w:color w:val="2F5496" w:themeColor="accent1" w:themeShade="BF"/>
    </w:rPr>
  </w:style>
  <w:style w:type="paragraph" w:styleId="IntenseQuote">
    <w:name w:val="Intense Quote"/>
    <w:basedOn w:val="Normal"/>
    <w:next w:val="Normal"/>
    <w:link w:val="IntenseQuoteChar"/>
    <w:uiPriority w:val="30"/>
    <w:qFormat/>
    <w:rsid w:val="00A56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B3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A56B3C"/>
    <w:rPr>
      <w:b/>
      <w:bCs/>
      <w:smallCaps/>
      <w:color w:val="2F5496" w:themeColor="accent1" w:themeShade="BF"/>
      <w:spacing w:val="5"/>
    </w:rPr>
  </w:style>
  <w:style w:type="paragraph" w:styleId="NormalWeb">
    <w:name w:val="Normal (Web)"/>
    <w:basedOn w:val="Normal"/>
    <w:uiPriority w:val="99"/>
    <w:semiHidden/>
    <w:unhideWhenUsed/>
    <w:rsid w:val="0051144E"/>
    <w:pPr>
      <w:spacing w:before="100" w:beforeAutospacing="1" w:after="100" w:afterAutospacing="1"/>
    </w:pPr>
  </w:style>
  <w:style w:type="character" w:styleId="Emphasis">
    <w:name w:val="Emphasis"/>
    <w:basedOn w:val="DefaultParagraphFont"/>
    <w:uiPriority w:val="20"/>
    <w:qFormat/>
    <w:rsid w:val="0051144E"/>
    <w:rPr>
      <w:i/>
      <w:iCs/>
    </w:rPr>
  </w:style>
  <w:style w:type="character" w:styleId="Strong">
    <w:name w:val="Strong"/>
    <w:basedOn w:val="DefaultParagraphFont"/>
    <w:uiPriority w:val="22"/>
    <w:qFormat/>
    <w:rsid w:val="0051144E"/>
    <w:rPr>
      <w:b/>
      <w:bCs/>
    </w:rPr>
  </w:style>
  <w:style w:type="character" w:customStyle="1" w:styleId="overflow-hidden">
    <w:name w:val="overflow-hidden"/>
    <w:basedOn w:val="DefaultParagraphFont"/>
    <w:rsid w:val="001875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3645925">
      <w:bodyDiv w:val="1"/>
      <w:marLeft w:val="0"/>
      <w:marRight w:val="0"/>
      <w:marTop w:val="0"/>
      <w:marBottom w:val="0"/>
      <w:divBdr>
        <w:top w:val="none" w:sz="0" w:space="0" w:color="auto"/>
        <w:left w:val="none" w:sz="0" w:space="0" w:color="auto"/>
        <w:bottom w:val="none" w:sz="0" w:space="0" w:color="auto"/>
        <w:right w:val="none" w:sz="0" w:space="0" w:color="auto"/>
      </w:divBdr>
      <w:divsChild>
        <w:div w:id="701436586">
          <w:blockQuote w:val="1"/>
          <w:marLeft w:val="720"/>
          <w:marRight w:val="720"/>
          <w:marTop w:val="100"/>
          <w:marBottom w:val="100"/>
          <w:divBdr>
            <w:top w:val="none" w:sz="0" w:space="0" w:color="auto"/>
            <w:left w:val="none" w:sz="0" w:space="0" w:color="auto"/>
            <w:bottom w:val="none" w:sz="0" w:space="0" w:color="auto"/>
            <w:right w:val="none" w:sz="0" w:space="0" w:color="auto"/>
          </w:divBdr>
        </w:div>
        <w:div w:id="508565675">
          <w:blockQuote w:val="1"/>
          <w:marLeft w:val="720"/>
          <w:marRight w:val="720"/>
          <w:marTop w:val="100"/>
          <w:marBottom w:val="100"/>
          <w:divBdr>
            <w:top w:val="none" w:sz="0" w:space="0" w:color="auto"/>
            <w:left w:val="none" w:sz="0" w:space="0" w:color="auto"/>
            <w:bottom w:val="none" w:sz="0" w:space="0" w:color="auto"/>
            <w:right w:val="none" w:sz="0" w:space="0" w:color="auto"/>
          </w:divBdr>
        </w:div>
        <w:div w:id="745609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2412593">
      <w:bodyDiv w:val="1"/>
      <w:marLeft w:val="0"/>
      <w:marRight w:val="0"/>
      <w:marTop w:val="0"/>
      <w:marBottom w:val="0"/>
      <w:divBdr>
        <w:top w:val="none" w:sz="0" w:space="0" w:color="auto"/>
        <w:left w:val="none" w:sz="0" w:space="0" w:color="auto"/>
        <w:bottom w:val="none" w:sz="0" w:space="0" w:color="auto"/>
        <w:right w:val="none" w:sz="0" w:space="0" w:color="auto"/>
      </w:divBdr>
      <w:divsChild>
        <w:div w:id="217325608">
          <w:marLeft w:val="0"/>
          <w:marRight w:val="0"/>
          <w:marTop w:val="0"/>
          <w:marBottom w:val="0"/>
          <w:divBdr>
            <w:top w:val="none" w:sz="0" w:space="0" w:color="auto"/>
            <w:left w:val="none" w:sz="0" w:space="0" w:color="auto"/>
            <w:bottom w:val="none" w:sz="0" w:space="0" w:color="auto"/>
            <w:right w:val="none" w:sz="0" w:space="0" w:color="auto"/>
          </w:divBdr>
          <w:divsChild>
            <w:div w:id="1745375615">
              <w:marLeft w:val="0"/>
              <w:marRight w:val="0"/>
              <w:marTop w:val="0"/>
              <w:marBottom w:val="0"/>
              <w:divBdr>
                <w:top w:val="none" w:sz="0" w:space="0" w:color="auto"/>
                <w:left w:val="none" w:sz="0" w:space="0" w:color="auto"/>
                <w:bottom w:val="none" w:sz="0" w:space="0" w:color="auto"/>
                <w:right w:val="none" w:sz="0" w:space="0" w:color="auto"/>
              </w:divBdr>
              <w:divsChild>
                <w:div w:id="4744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71526">
      <w:bodyDiv w:val="1"/>
      <w:marLeft w:val="0"/>
      <w:marRight w:val="0"/>
      <w:marTop w:val="0"/>
      <w:marBottom w:val="0"/>
      <w:divBdr>
        <w:top w:val="none" w:sz="0" w:space="0" w:color="auto"/>
        <w:left w:val="none" w:sz="0" w:space="0" w:color="auto"/>
        <w:bottom w:val="none" w:sz="0" w:space="0" w:color="auto"/>
        <w:right w:val="none" w:sz="0" w:space="0" w:color="auto"/>
      </w:divBdr>
      <w:divsChild>
        <w:div w:id="396628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8435850">
          <w:blockQuote w:val="1"/>
          <w:marLeft w:val="720"/>
          <w:marRight w:val="720"/>
          <w:marTop w:val="100"/>
          <w:marBottom w:val="100"/>
          <w:divBdr>
            <w:top w:val="none" w:sz="0" w:space="0" w:color="auto"/>
            <w:left w:val="none" w:sz="0" w:space="0" w:color="auto"/>
            <w:bottom w:val="none" w:sz="0" w:space="0" w:color="auto"/>
            <w:right w:val="none" w:sz="0" w:space="0" w:color="auto"/>
          </w:divBdr>
        </w:div>
        <w:div w:id="3165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367535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2551">
      <w:bodyDiv w:val="1"/>
      <w:marLeft w:val="0"/>
      <w:marRight w:val="0"/>
      <w:marTop w:val="0"/>
      <w:marBottom w:val="0"/>
      <w:divBdr>
        <w:top w:val="none" w:sz="0" w:space="0" w:color="auto"/>
        <w:left w:val="none" w:sz="0" w:space="0" w:color="auto"/>
        <w:bottom w:val="none" w:sz="0" w:space="0" w:color="auto"/>
        <w:right w:val="none" w:sz="0" w:space="0" w:color="auto"/>
      </w:divBdr>
    </w:div>
    <w:div w:id="859003540">
      <w:bodyDiv w:val="1"/>
      <w:marLeft w:val="0"/>
      <w:marRight w:val="0"/>
      <w:marTop w:val="0"/>
      <w:marBottom w:val="0"/>
      <w:divBdr>
        <w:top w:val="none" w:sz="0" w:space="0" w:color="auto"/>
        <w:left w:val="none" w:sz="0" w:space="0" w:color="auto"/>
        <w:bottom w:val="none" w:sz="0" w:space="0" w:color="auto"/>
        <w:right w:val="none" w:sz="0" w:space="0" w:color="auto"/>
      </w:divBdr>
    </w:div>
    <w:div w:id="969898138">
      <w:bodyDiv w:val="1"/>
      <w:marLeft w:val="0"/>
      <w:marRight w:val="0"/>
      <w:marTop w:val="0"/>
      <w:marBottom w:val="0"/>
      <w:divBdr>
        <w:top w:val="none" w:sz="0" w:space="0" w:color="auto"/>
        <w:left w:val="none" w:sz="0" w:space="0" w:color="auto"/>
        <w:bottom w:val="none" w:sz="0" w:space="0" w:color="auto"/>
        <w:right w:val="none" w:sz="0" w:space="0" w:color="auto"/>
      </w:divBdr>
    </w:div>
    <w:div w:id="1219980071">
      <w:bodyDiv w:val="1"/>
      <w:marLeft w:val="0"/>
      <w:marRight w:val="0"/>
      <w:marTop w:val="0"/>
      <w:marBottom w:val="0"/>
      <w:divBdr>
        <w:top w:val="none" w:sz="0" w:space="0" w:color="auto"/>
        <w:left w:val="none" w:sz="0" w:space="0" w:color="auto"/>
        <w:bottom w:val="none" w:sz="0" w:space="0" w:color="auto"/>
        <w:right w:val="none" w:sz="0" w:space="0" w:color="auto"/>
      </w:divBdr>
    </w:div>
    <w:div w:id="1480731004">
      <w:bodyDiv w:val="1"/>
      <w:marLeft w:val="0"/>
      <w:marRight w:val="0"/>
      <w:marTop w:val="0"/>
      <w:marBottom w:val="0"/>
      <w:divBdr>
        <w:top w:val="none" w:sz="0" w:space="0" w:color="auto"/>
        <w:left w:val="none" w:sz="0" w:space="0" w:color="auto"/>
        <w:bottom w:val="none" w:sz="0" w:space="0" w:color="auto"/>
        <w:right w:val="none" w:sz="0" w:space="0" w:color="auto"/>
      </w:divBdr>
    </w:div>
    <w:div w:id="1517116921">
      <w:bodyDiv w:val="1"/>
      <w:marLeft w:val="0"/>
      <w:marRight w:val="0"/>
      <w:marTop w:val="0"/>
      <w:marBottom w:val="0"/>
      <w:divBdr>
        <w:top w:val="none" w:sz="0" w:space="0" w:color="auto"/>
        <w:left w:val="none" w:sz="0" w:space="0" w:color="auto"/>
        <w:bottom w:val="none" w:sz="0" w:space="0" w:color="auto"/>
        <w:right w:val="none" w:sz="0" w:space="0" w:color="auto"/>
      </w:divBdr>
    </w:div>
    <w:div w:id="1702977830">
      <w:bodyDiv w:val="1"/>
      <w:marLeft w:val="0"/>
      <w:marRight w:val="0"/>
      <w:marTop w:val="0"/>
      <w:marBottom w:val="0"/>
      <w:divBdr>
        <w:top w:val="none" w:sz="0" w:space="0" w:color="auto"/>
        <w:left w:val="none" w:sz="0" w:space="0" w:color="auto"/>
        <w:bottom w:val="none" w:sz="0" w:space="0" w:color="auto"/>
        <w:right w:val="none" w:sz="0" w:space="0" w:color="auto"/>
      </w:divBdr>
      <w:divsChild>
        <w:div w:id="978732001">
          <w:marLeft w:val="0"/>
          <w:marRight w:val="0"/>
          <w:marTop w:val="0"/>
          <w:marBottom w:val="0"/>
          <w:divBdr>
            <w:top w:val="none" w:sz="0" w:space="0" w:color="auto"/>
            <w:left w:val="none" w:sz="0" w:space="0" w:color="auto"/>
            <w:bottom w:val="none" w:sz="0" w:space="0" w:color="auto"/>
            <w:right w:val="none" w:sz="0" w:space="0" w:color="auto"/>
          </w:divBdr>
          <w:divsChild>
            <w:div w:id="289094637">
              <w:marLeft w:val="0"/>
              <w:marRight w:val="0"/>
              <w:marTop w:val="0"/>
              <w:marBottom w:val="0"/>
              <w:divBdr>
                <w:top w:val="none" w:sz="0" w:space="0" w:color="auto"/>
                <w:left w:val="none" w:sz="0" w:space="0" w:color="auto"/>
                <w:bottom w:val="none" w:sz="0" w:space="0" w:color="auto"/>
                <w:right w:val="none" w:sz="0" w:space="0" w:color="auto"/>
              </w:divBdr>
              <w:divsChild>
                <w:div w:id="910966021">
                  <w:marLeft w:val="0"/>
                  <w:marRight w:val="0"/>
                  <w:marTop w:val="0"/>
                  <w:marBottom w:val="0"/>
                  <w:divBdr>
                    <w:top w:val="none" w:sz="0" w:space="0" w:color="auto"/>
                    <w:left w:val="none" w:sz="0" w:space="0" w:color="auto"/>
                    <w:bottom w:val="none" w:sz="0" w:space="0" w:color="auto"/>
                    <w:right w:val="none" w:sz="0" w:space="0" w:color="auto"/>
                  </w:divBdr>
                </w:div>
              </w:divsChild>
            </w:div>
            <w:div w:id="973297104">
              <w:marLeft w:val="0"/>
              <w:marRight w:val="0"/>
              <w:marTop w:val="0"/>
              <w:marBottom w:val="0"/>
              <w:divBdr>
                <w:top w:val="none" w:sz="0" w:space="0" w:color="auto"/>
                <w:left w:val="none" w:sz="0" w:space="0" w:color="auto"/>
                <w:bottom w:val="none" w:sz="0" w:space="0" w:color="auto"/>
                <w:right w:val="none" w:sz="0" w:space="0" w:color="auto"/>
              </w:divBdr>
              <w:divsChild>
                <w:div w:id="46420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13942">
          <w:marLeft w:val="0"/>
          <w:marRight w:val="0"/>
          <w:marTop w:val="0"/>
          <w:marBottom w:val="0"/>
          <w:divBdr>
            <w:top w:val="none" w:sz="0" w:space="0" w:color="auto"/>
            <w:left w:val="none" w:sz="0" w:space="0" w:color="auto"/>
            <w:bottom w:val="none" w:sz="0" w:space="0" w:color="auto"/>
            <w:right w:val="none" w:sz="0" w:space="0" w:color="auto"/>
          </w:divBdr>
          <w:divsChild>
            <w:div w:id="578632853">
              <w:marLeft w:val="0"/>
              <w:marRight w:val="0"/>
              <w:marTop w:val="0"/>
              <w:marBottom w:val="0"/>
              <w:divBdr>
                <w:top w:val="none" w:sz="0" w:space="0" w:color="auto"/>
                <w:left w:val="none" w:sz="0" w:space="0" w:color="auto"/>
                <w:bottom w:val="none" w:sz="0" w:space="0" w:color="auto"/>
                <w:right w:val="none" w:sz="0" w:space="0" w:color="auto"/>
              </w:divBdr>
              <w:divsChild>
                <w:div w:id="682705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105184">
      <w:bodyDiv w:val="1"/>
      <w:marLeft w:val="0"/>
      <w:marRight w:val="0"/>
      <w:marTop w:val="0"/>
      <w:marBottom w:val="0"/>
      <w:divBdr>
        <w:top w:val="none" w:sz="0" w:space="0" w:color="auto"/>
        <w:left w:val="none" w:sz="0" w:space="0" w:color="auto"/>
        <w:bottom w:val="none" w:sz="0" w:space="0" w:color="auto"/>
        <w:right w:val="none" w:sz="0" w:space="0" w:color="auto"/>
      </w:divBdr>
      <w:divsChild>
        <w:div w:id="462818678">
          <w:marLeft w:val="0"/>
          <w:marRight w:val="0"/>
          <w:marTop w:val="0"/>
          <w:marBottom w:val="0"/>
          <w:divBdr>
            <w:top w:val="none" w:sz="0" w:space="0" w:color="auto"/>
            <w:left w:val="none" w:sz="0" w:space="0" w:color="auto"/>
            <w:bottom w:val="none" w:sz="0" w:space="0" w:color="auto"/>
            <w:right w:val="none" w:sz="0" w:space="0" w:color="auto"/>
          </w:divBdr>
          <w:divsChild>
            <w:div w:id="2010132852">
              <w:marLeft w:val="0"/>
              <w:marRight w:val="0"/>
              <w:marTop w:val="0"/>
              <w:marBottom w:val="0"/>
              <w:divBdr>
                <w:top w:val="none" w:sz="0" w:space="0" w:color="auto"/>
                <w:left w:val="none" w:sz="0" w:space="0" w:color="auto"/>
                <w:bottom w:val="none" w:sz="0" w:space="0" w:color="auto"/>
                <w:right w:val="none" w:sz="0" w:space="0" w:color="auto"/>
              </w:divBdr>
              <w:divsChild>
                <w:div w:id="1578712115">
                  <w:marLeft w:val="0"/>
                  <w:marRight w:val="0"/>
                  <w:marTop w:val="0"/>
                  <w:marBottom w:val="0"/>
                  <w:divBdr>
                    <w:top w:val="none" w:sz="0" w:space="0" w:color="auto"/>
                    <w:left w:val="none" w:sz="0" w:space="0" w:color="auto"/>
                    <w:bottom w:val="none" w:sz="0" w:space="0" w:color="auto"/>
                    <w:right w:val="none" w:sz="0" w:space="0" w:color="auto"/>
                  </w:divBdr>
                </w:div>
              </w:divsChild>
            </w:div>
            <w:div w:id="2016572812">
              <w:marLeft w:val="0"/>
              <w:marRight w:val="0"/>
              <w:marTop w:val="0"/>
              <w:marBottom w:val="0"/>
              <w:divBdr>
                <w:top w:val="none" w:sz="0" w:space="0" w:color="auto"/>
                <w:left w:val="none" w:sz="0" w:space="0" w:color="auto"/>
                <w:bottom w:val="none" w:sz="0" w:space="0" w:color="auto"/>
                <w:right w:val="none" w:sz="0" w:space="0" w:color="auto"/>
              </w:divBdr>
              <w:divsChild>
                <w:div w:id="92087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72930">
          <w:marLeft w:val="0"/>
          <w:marRight w:val="0"/>
          <w:marTop w:val="0"/>
          <w:marBottom w:val="0"/>
          <w:divBdr>
            <w:top w:val="none" w:sz="0" w:space="0" w:color="auto"/>
            <w:left w:val="none" w:sz="0" w:space="0" w:color="auto"/>
            <w:bottom w:val="none" w:sz="0" w:space="0" w:color="auto"/>
            <w:right w:val="none" w:sz="0" w:space="0" w:color="auto"/>
          </w:divBdr>
          <w:divsChild>
            <w:div w:id="1995521138">
              <w:marLeft w:val="0"/>
              <w:marRight w:val="0"/>
              <w:marTop w:val="0"/>
              <w:marBottom w:val="0"/>
              <w:divBdr>
                <w:top w:val="none" w:sz="0" w:space="0" w:color="auto"/>
                <w:left w:val="none" w:sz="0" w:space="0" w:color="auto"/>
                <w:bottom w:val="none" w:sz="0" w:space="0" w:color="auto"/>
                <w:right w:val="none" w:sz="0" w:space="0" w:color="auto"/>
              </w:divBdr>
              <w:divsChild>
                <w:div w:id="1769159637">
                  <w:marLeft w:val="0"/>
                  <w:marRight w:val="0"/>
                  <w:marTop w:val="0"/>
                  <w:marBottom w:val="0"/>
                  <w:divBdr>
                    <w:top w:val="none" w:sz="0" w:space="0" w:color="auto"/>
                    <w:left w:val="none" w:sz="0" w:space="0" w:color="auto"/>
                    <w:bottom w:val="none" w:sz="0" w:space="0" w:color="auto"/>
                    <w:right w:val="none" w:sz="0" w:space="0" w:color="auto"/>
                  </w:divBdr>
                </w:div>
              </w:divsChild>
            </w:div>
            <w:div w:id="620192400">
              <w:marLeft w:val="0"/>
              <w:marRight w:val="0"/>
              <w:marTop w:val="0"/>
              <w:marBottom w:val="0"/>
              <w:divBdr>
                <w:top w:val="none" w:sz="0" w:space="0" w:color="auto"/>
                <w:left w:val="none" w:sz="0" w:space="0" w:color="auto"/>
                <w:bottom w:val="none" w:sz="0" w:space="0" w:color="auto"/>
                <w:right w:val="none" w:sz="0" w:space="0" w:color="auto"/>
              </w:divBdr>
              <w:divsChild>
                <w:div w:id="205593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90406">
          <w:marLeft w:val="0"/>
          <w:marRight w:val="0"/>
          <w:marTop w:val="0"/>
          <w:marBottom w:val="0"/>
          <w:divBdr>
            <w:top w:val="none" w:sz="0" w:space="0" w:color="auto"/>
            <w:left w:val="none" w:sz="0" w:space="0" w:color="auto"/>
            <w:bottom w:val="none" w:sz="0" w:space="0" w:color="auto"/>
            <w:right w:val="none" w:sz="0" w:space="0" w:color="auto"/>
          </w:divBdr>
          <w:divsChild>
            <w:div w:id="2129546970">
              <w:marLeft w:val="0"/>
              <w:marRight w:val="0"/>
              <w:marTop w:val="0"/>
              <w:marBottom w:val="0"/>
              <w:divBdr>
                <w:top w:val="none" w:sz="0" w:space="0" w:color="auto"/>
                <w:left w:val="none" w:sz="0" w:space="0" w:color="auto"/>
                <w:bottom w:val="none" w:sz="0" w:space="0" w:color="auto"/>
                <w:right w:val="none" w:sz="0" w:space="0" w:color="auto"/>
              </w:divBdr>
              <w:divsChild>
                <w:div w:id="1060254880">
                  <w:marLeft w:val="0"/>
                  <w:marRight w:val="0"/>
                  <w:marTop w:val="0"/>
                  <w:marBottom w:val="0"/>
                  <w:divBdr>
                    <w:top w:val="none" w:sz="0" w:space="0" w:color="auto"/>
                    <w:left w:val="none" w:sz="0" w:space="0" w:color="auto"/>
                    <w:bottom w:val="none" w:sz="0" w:space="0" w:color="auto"/>
                    <w:right w:val="none" w:sz="0" w:space="0" w:color="auto"/>
                  </w:divBdr>
                </w:div>
              </w:divsChild>
            </w:div>
            <w:div w:id="1923491005">
              <w:marLeft w:val="0"/>
              <w:marRight w:val="0"/>
              <w:marTop w:val="0"/>
              <w:marBottom w:val="0"/>
              <w:divBdr>
                <w:top w:val="none" w:sz="0" w:space="0" w:color="auto"/>
                <w:left w:val="none" w:sz="0" w:space="0" w:color="auto"/>
                <w:bottom w:val="none" w:sz="0" w:space="0" w:color="auto"/>
                <w:right w:val="none" w:sz="0" w:space="0" w:color="auto"/>
              </w:divBdr>
              <w:divsChild>
                <w:div w:id="67792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576844">
      <w:bodyDiv w:val="1"/>
      <w:marLeft w:val="0"/>
      <w:marRight w:val="0"/>
      <w:marTop w:val="0"/>
      <w:marBottom w:val="0"/>
      <w:divBdr>
        <w:top w:val="none" w:sz="0" w:space="0" w:color="auto"/>
        <w:left w:val="none" w:sz="0" w:space="0" w:color="auto"/>
        <w:bottom w:val="none" w:sz="0" w:space="0" w:color="auto"/>
        <w:right w:val="none" w:sz="0" w:space="0" w:color="auto"/>
      </w:divBdr>
      <w:divsChild>
        <w:div w:id="644624744">
          <w:marLeft w:val="0"/>
          <w:marRight w:val="0"/>
          <w:marTop w:val="0"/>
          <w:marBottom w:val="0"/>
          <w:divBdr>
            <w:top w:val="none" w:sz="0" w:space="0" w:color="auto"/>
            <w:left w:val="none" w:sz="0" w:space="0" w:color="auto"/>
            <w:bottom w:val="none" w:sz="0" w:space="0" w:color="auto"/>
            <w:right w:val="none" w:sz="0" w:space="0" w:color="auto"/>
          </w:divBdr>
          <w:divsChild>
            <w:div w:id="455417912">
              <w:marLeft w:val="0"/>
              <w:marRight w:val="0"/>
              <w:marTop w:val="0"/>
              <w:marBottom w:val="0"/>
              <w:divBdr>
                <w:top w:val="none" w:sz="0" w:space="0" w:color="auto"/>
                <w:left w:val="none" w:sz="0" w:space="0" w:color="auto"/>
                <w:bottom w:val="none" w:sz="0" w:space="0" w:color="auto"/>
                <w:right w:val="none" w:sz="0" w:space="0" w:color="auto"/>
              </w:divBdr>
              <w:divsChild>
                <w:div w:id="8327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68156">
      <w:bodyDiv w:val="1"/>
      <w:marLeft w:val="0"/>
      <w:marRight w:val="0"/>
      <w:marTop w:val="0"/>
      <w:marBottom w:val="0"/>
      <w:divBdr>
        <w:top w:val="none" w:sz="0" w:space="0" w:color="auto"/>
        <w:left w:val="none" w:sz="0" w:space="0" w:color="auto"/>
        <w:bottom w:val="none" w:sz="0" w:space="0" w:color="auto"/>
        <w:right w:val="none" w:sz="0" w:space="0" w:color="auto"/>
      </w:divBdr>
      <w:divsChild>
        <w:div w:id="1415201794">
          <w:marLeft w:val="0"/>
          <w:marRight w:val="0"/>
          <w:marTop w:val="0"/>
          <w:marBottom w:val="0"/>
          <w:divBdr>
            <w:top w:val="none" w:sz="0" w:space="0" w:color="auto"/>
            <w:left w:val="none" w:sz="0" w:space="0" w:color="auto"/>
            <w:bottom w:val="none" w:sz="0" w:space="0" w:color="auto"/>
            <w:right w:val="none" w:sz="0" w:space="0" w:color="auto"/>
          </w:divBdr>
          <w:divsChild>
            <w:div w:id="370689678">
              <w:marLeft w:val="0"/>
              <w:marRight w:val="0"/>
              <w:marTop w:val="0"/>
              <w:marBottom w:val="0"/>
              <w:divBdr>
                <w:top w:val="none" w:sz="0" w:space="0" w:color="auto"/>
                <w:left w:val="none" w:sz="0" w:space="0" w:color="auto"/>
                <w:bottom w:val="none" w:sz="0" w:space="0" w:color="auto"/>
                <w:right w:val="none" w:sz="0" w:space="0" w:color="auto"/>
              </w:divBdr>
              <w:divsChild>
                <w:div w:id="648555210">
                  <w:marLeft w:val="0"/>
                  <w:marRight w:val="0"/>
                  <w:marTop w:val="0"/>
                  <w:marBottom w:val="0"/>
                  <w:divBdr>
                    <w:top w:val="none" w:sz="0" w:space="0" w:color="auto"/>
                    <w:left w:val="none" w:sz="0" w:space="0" w:color="auto"/>
                    <w:bottom w:val="none" w:sz="0" w:space="0" w:color="auto"/>
                    <w:right w:val="none" w:sz="0" w:space="0" w:color="auto"/>
                  </w:divBdr>
                  <w:divsChild>
                    <w:div w:id="185718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671647">
          <w:marLeft w:val="0"/>
          <w:marRight w:val="0"/>
          <w:marTop w:val="0"/>
          <w:marBottom w:val="0"/>
          <w:divBdr>
            <w:top w:val="none" w:sz="0" w:space="0" w:color="auto"/>
            <w:left w:val="none" w:sz="0" w:space="0" w:color="auto"/>
            <w:bottom w:val="none" w:sz="0" w:space="0" w:color="auto"/>
            <w:right w:val="none" w:sz="0" w:space="0" w:color="auto"/>
          </w:divBdr>
          <w:divsChild>
            <w:div w:id="1222253927">
              <w:marLeft w:val="0"/>
              <w:marRight w:val="0"/>
              <w:marTop w:val="0"/>
              <w:marBottom w:val="0"/>
              <w:divBdr>
                <w:top w:val="none" w:sz="0" w:space="0" w:color="auto"/>
                <w:left w:val="none" w:sz="0" w:space="0" w:color="auto"/>
                <w:bottom w:val="none" w:sz="0" w:space="0" w:color="auto"/>
                <w:right w:val="none" w:sz="0" w:space="0" w:color="auto"/>
              </w:divBdr>
              <w:divsChild>
                <w:div w:id="1840656920">
                  <w:marLeft w:val="0"/>
                  <w:marRight w:val="0"/>
                  <w:marTop w:val="0"/>
                  <w:marBottom w:val="0"/>
                  <w:divBdr>
                    <w:top w:val="none" w:sz="0" w:space="0" w:color="auto"/>
                    <w:left w:val="none" w:sz="0" w:space="0" w:color="auto"/>
                    <w:bottom w:val="none" w:sz="0" w:space="0" w:color="auto"/>
                    <w:right w:val="none" w:sz="0" w:space="0" w:color="auto"/>
                  </w:divBdr>
                  <w:divsChild>
                    <w:div w:id="54961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18</Pages>
  <Words>6155</Words>
  <Characters>35084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6</cp:revision>
  <dcterms:created xsi:type="dcterms:W3CDTF">2025-02-04T23:18:00Z</dcterms:created>
  <dcterms:modified xsi:type="dcterms:W3CDTF">2025-06-02T08:40:00Z</dcterms:modified>
</cp:coreProperties>
</file>