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7CDBE" w14:textId="77777777" w:rsidR="006016D9" w:rsidRDefault="006016D9" w:rsidP="006016D9">
      <w:pPr>
        <w:jc w:val="center"/>
        <w:rPr>
          <w:b/>
          <w:sz w:val="28"/>
          <w:szCs w:val="28"/>
          <w:lang w:val="en-GB"/>
        </w:rPr>
      </w:pPr>
      <w:r>
        <w:rPr>
          <w:b/>
          <w:sz w:val="28"/>
          <w:szCs w:val="28"/>
          <w:lang w:val="en-GB"/>
        </w:rPr>
        <w:t>TUTORIAL 4 – Establishment and services</w:t>
      </w:r>
    </w:p>
    <w:p w14:paraId="1B1CE005" w14:textId="77777777" w:rsidR="006016D9" w:rsidRDefault="006016D9" w:rsidP="006016D9">
      <w:pPr>
        <w:jc w:val="center"/>
        <w:rPr>
          <w:b/>
          <w:sz w:val="28"/>
          <w:szCs w:val="28"/>
          <w:lang w:val="en-GB"/>
        </w:rPr>
      </w:pPr>
    </w:p>
    <w:p w14:paraId="2CD30AFC" w14:textId="23D59694" w:rsidR="006016D9" w:rsidRPr="00AB4373" w:rsidRDefault="006016D9" w:rsidP="006016D9">
      <w:pPr>
        <w:jc w:val="both"/>
        <w:rPr>
          <w:lang w:val="en-GB"/>
        </w:rPr>
      </w:pPr>
    </w:p>
    <w:p w14:paraId="37592576" w14:textId="49D0F415" w:rsidR="006016D9" w:rsidRPr="00AB4373" w:rsidRDefault="006016D9" w:rsidP="006016D9">
      <w:pPr>
        <w:jc w:val="both"/>
        <w:rPr>
          <w:b/>
          <w:lang w:val="en-GB"/>
        </w:rPr>
      </w:pPr>
      <w:r w:rsidRPr="00AB4373">
        <w:rPr>
          <w:b/>
          <w:lang w:val="en-GB"/>
        </w:rPr>
        <w:t xml:space="preserve">Essential Reading </w:t>
      </w:r>
    </w:p>
    <w:p w14:paraId="71FEF761" w14:textId="59E54E1F" w:rsidR="006016D9" w:rsidRDefault="006016D9" w:rsidP="006016D9">
      <w:pPr>
        <w:jc w:val="both"/>
        <w:rPr>
          <w:lang w:val="en-GB"/>
        </w:rPr>
      </w:pPr>
    </w:p>
    <w:p w14:paraId="38556C9E" w14:textId="6BCB16D8" w:rsidR="00B7309E" w:rsidRPr="00B7309E" w:rsidRDefault="00B7309E" w:rsidP="006016D9">
      <w:pPr>
        <w:jc w:val="both"/>
        <w:rPr>
          <w:u w:val="single"/>
          <w:lang w:val="en-GB"/>
        </w:rPr>
      </w:pPr>
      <w:r w:rsidRPr="00B7309E">
        <w:rPr>
          <w:u w:val="single"/>
          <w:lang w:val="en-GB"/>
        </w:rPr>
        <w:t>Literature</w:t>
      </w:r>
    </w:p>
    <w:p w14:paraId="69384225" w14:textId="77777777" w:rsidR="00B7309E" w:rsidRDefault="00B7309E" w:rsidP="006016D9">
      <w:pPr>
        <w:jc w:val="both"/>
        <w:rPr>
          <w:lang w:val="en-GB"/>
        </w:rPr>
      </w:pPr>
    </w:p>
    <w:p w14:paraId="4CF2DF84" w14:textId="0BD80B9D" w:rsidR="004F4385" w:rsidRDefault="004F4385" w:rsidP="006016D9">
      <w:pPr>
        <w:jc w:val="both"/>
        <w:rPr>
          <w:lang w:val="en-GB"/>
        </w:rPr>
      </w:pPr>
      <w:r>
        <w:rPr>
          <w:lang w:val="en-GB"/>
        </w:rPr>
        <w:t>(There are several relevant chapters of Barnard (20</w:t>
      </w:r>
      <w:r w:rsidR="006506C3">
        <w:rPr>
          <w:lang w:val="en-GB"/>
        </w:rPr>
        <w:t>22</w:t>
      </w:r>
      <w:r>
        <w:rPr>
          <w:lang w:val="en-GB"/>
        </w:rPr>
        <w:t xml:space="preserve">) which cover establishment and services. Read those parts that are relevant to the material </w:t>
      </w:r>
      <w:r w:rsidR="00B7309E">
        <w:rPr>
          <w:lang w:val="en-GB"/>
        </w:rPr>
        <w:t>that</w:t>
      </w:r>
      <w:r>
        <w:rPr>
          <w:lang w:val="en-GB"/>
        </w:rPr>
        <w:t xml:space="preserve"> we covered in the lectures and the handout)</w:t>
      </w:r>
    </w:p>
    <w:p w14:paraId="75A4B88F" w14:textId="77777777" w:rsidR="004F4385" w:rsidRPr="00AB4373" w:rsidRDefault="004F4385" w:rsidP="006016D9">
      <w:pPr>
        <w:jc w:val="both"/>
        <w:rPr>
          <w:lang w:val="en-GB"/>
        </w:rPr>
      </w:pPr>
    </w:p>
    <w:p w14:paraId="11E56A74" w14:textId="16EC0784" w:rsidR="006016D9" w:rsidRPr="00AB4373" w:rsidRDefault="006016D9" w:rsidP="006016D9">
      <w:pPr>
        <w:jc w:val="both"/>
        <w:rPr>
          <w:lang w:val="en-GB"/>
        </w:rPr>
      </w:pPr>
      <w:r w:rsidRPr="00AB4373">
        <w:rPr>
          <w:lang w:val="en-GB"/>
        </w:rPr>
        <w:t xml:space="preserve">**Barnard, chapters </w:t>
      </w:r>
      <w:r w:rsidR="00AB4373">
        <w:rPr>
          <w:lang w:val="en-GB"/>
        </w:rPr>
        <w:t xml:space="preserve">7 (on </w:t>
      </w:r>
      <w:r w:rsidR="004F5AB0">
        <w:rPr>
          <w:lang w:val="en-GB"/>
        </w:rPr>
        <w:t>the self-employed</w:t>
      </w:r>
      <w:r w:rsidR="00AB4373">
        <w:rPr>
          <w:lang w:val="en-GB"/>
        </w:rPr>
        <w:t>)</w:t>
      </w:r>
      <w:r w:rsidR="00160F76">
        <w:rPr>
          <w:lang w:val="en-GB"/>
        </w:rPr>
        <w:t>,</w:t>
      </w:r>
      <w:r w:rsidR="00AB4373">
        <w:rPr>
          <w:lang w:val="en-GB"/>
        </w:rPr>
        <w:t xml:space="preserve"> 8</w:t>
      </w:r>
      <w:r w:rsidR="004F5AB0">
        <w:rPr>
          <w:lang w:val="en-GB"/>
        </w:rPr>
        <w:t>,</w:t>
      </w:r>
      <w:r w:rsidR="00160F76">
        <w:rPr>
          <w:lang w:val="en-GB"/>
        </w:rPr>
        <w:t xml:space="preserve"> 11 (</w:t>
      </w:r>
      <w:r w:rsidR="00FA2FCE">
        <w:rPr>
          <w:lang w:val="en-GB"/>
        </w:rPr>
        <w:t>pp.</w:t>
      </w:r>
      <w:r w:rsidR="00923A79">
        <w:rPr>
          <w:lang w:val="en-GB"/>
        </w:rPr>
        <w:t xml:space="preserve"> </w:t>
      </w:r>
      <w:r w:rsidR="00FA2FCE">
        <w:rPr>
          <w:lang w:val="en-GB"/>
        </w:rPr>
        <w:t>40</w:t>
      </w:r>
      <w:r w:rsidR="006A2610">
        <w:rPr>
          <w:lang w:val="en-GB"/>
        </w:rPr>
        <w:t>0</w:t>
      </w:r>
      <w:r w:rsidR="00923A79">
        <w:rPr>
          <w:lang w:val="en-GB"/>
        </w:rPr>
        <w:t>-41</w:t>
      </w:r>
      <w:r w:rsidR="006A2610">
        <w:rPr>
          <w:lang w:val="en-GB"/>
        </w:rPr>
        <w:t>5</w:t>
      </w:r>
      <w:r w:rsidR="00923A79">
        <w:rPr>
          <w:lang w:val="en-GB"/>
        </w:rPr>
        <w:t xml:space="preserve"> only)</w:t>
      </w:r>
      <w:r w:rsidR="00160F76">
        <w:rPr>
          <w:lang w:val="en-GB"/>
        </w:rPr>
        <w:t xml:space="preserve"> </w:t>
      </w:r>
      <w:r w:rsidR="004F5AB0">
        <w:rPr>
          <w:lang w:val="en-GB"/>
        </w:rPr>
        <w:t>and 12</w:t>
      </w:r>
      <w:r w:rsidR="00B7309E">
        <w:rPr>
          <w:lang w:val="en-GB"/>
        </w:rPr>
        <w:t xml:space="preserve"> (to the extent relevant to establishment/services)</w:t>
      </w:r>
      <w:r w:rsidR="00AB4373">
        <w:rPr>
          <w:lang w:val="en-GB"/>
        </w:rPr>
        <w:t xml:space="preserve">. </w:t>
      </w:r>
      <w:r w:rsidRPr="00AB4373">
        <w:rPr>
          <w:lang w:val="en-GB"/>
        </w:rPr>
        <w:t xml:space="preserve"> </w:t>
      </w:r>
    </w:p>
    <w:p w14:paraId="21260289" w14:textId="2722E31C" w:rsidR="004F5AB0" w:rsidRDefault="004F5AB0" w:rsidP="006016D9">
      <w:pPr>
        <w:jc w:val="both"/>
        <w:rPr>
          <w:lang w:val="en-GB"/>
        </w:rPr>
      </w:pPr>
    </w:p>
    <w:p w14:paraId="23CC3FB3" w14:textId="77777777" w:rsidR="00B7309E" w:rsidRPr="00AB4373" w:rsidRDefault="00B7309E" w:rsidP="00B7309E">
      <w:pPr>
        <w:jc w:val="both"/>
        <w:rPr>
          <w:lang w:val="en-GB"/>
        </w:rPr>
      </w:pPr>
      <w:r w:rsidRPr="00AB4373">
        <w:rPr>
          <w:lang w:val="en-GB"/>
        </w:rPr>
        <w:t xml:space="preserve">E. </w:t>
      </w:r>
      <w:proofErr w:type="spellStart"/>
      <w:r w:rsidRPr="00AB4373">
        <w:rPr>
          <w:lang w:val="en-GB"/>
        </w:rPr>
        <w:t>Spaventa</w:t>
      </w:r>
      <w:proofErr w:type="spellEnd"/>
      <w:r w:rsidRPr="00AB4373">
        <w:rPr>
          <w:lang w:val="en-GB"/>
        </w:rPr>
        <w:t xml:space="preserve"> “From </w:t>
      </w:r>
      <w:proofErr w:type="spellStart"/>
      <w:r w:rsidRPr="00AB4373">
        <w:rPr>
          <w:i/>
          <w:lang w:val="en-GB"/>
        </w:rPr>
        <w:t>Gebhard</w:t>
      </w:r>
      <w:proofErr w:type="spellEnd"/>
      <w:r w:rsidRPr="00AB4373">
        <w:rPr>
          <w:i/>
          <w:lang w:val="en-GB"/>
        </w:rPr>
        <w:t xml:space="preserve"> </w:t>
      </w:r>
      <w:r w:rsidRPr="00AB4373">
        <w:rPr>
          <w:lang w:val="en-GB"/>
        </w:rPr>
        <w:t xml:space="preserve">to </w:t>
      </w:r>
      <w:r w:rsidRPr="00AB4373">
        <w:rPr>
          <w:i/>
          <w:lang w:val="en-GB"/>
        </w:rPr>
        <w:t>Carpenter</w:t>
      </w:r>
      <w:r w:rsidRPr="00AB4373">
        <w:rPr>
          <w:lang w:val="en-GB"/>
        </w:rPr>
        <w:t xml:space="preserve">: Towards a (non-)Economic European Constitution” (2004) </w:t>
      </w:r>
      <w:proofErr w:type="spellStart"/>
      <w:r w:rsidRPr="00AB4373">
        <w:rPr>
          <w:lang w:val="en-GB"/>
        </w:rPr>
        <w:t>CMLRev</w:t>
      </w:r>
      <w:proofErr w:type="spellEnd"/>
      <w:r w:rsidRPr="00AB4373">
        <w:rPr>
          <w:lang w:val="en-GB"/>
        </w:rPr>
        <w:t xml:space="preserve"> 743</w:t>
      </w:r>
    </w:p>
    <w:p w14:paraId="6DB48945" w14:textId="77777777" w:rsidR="00B7309E" w:rsidRPr="00AB4373" w:rsidRDefault="00B7309E" w:rsidP="00B7309E">
      <w:pPr>
        <w:jc w:val="both"/>
        <w:rPr>
          <w:lang w:val="en-GB"/>
        </w:rPr>
      </w:pPr>
    </w:p>
    <w:p w14:paraId="1ED74475" w14:textId="717AC407" w:rsidR="00B7309E" w:rsidRPr="00B7309E" w:rsidRDefault="00B7309E" w:rsidP="006016D9">
      <w:pPr>
        <w:jc w:val="both"/>
        <w:rPr>
          <w:u w:val="single"/>
          <w:lang w:val="en-GB"/>
        </w:rPr>
      </w:pPr>
      <w:r w:rsidRPr="00B7309E">
        <w:rPr>
          <w:u w:val="single"/>
          <w:lang w:val="en-GB"/>
        </w:rPr>
        <w:t>Case law</w:t>
      </w:r>
    </w:p>
    <w:p w14:paraId="0DBF2F97" w14:textId="77777777" w:rsidR="00B7309E" w:rsidRPr="00AB4373" w:rsidRDefault="00B7309E" w:rsidP="006016D9">
      <w:pPr>
        <w:jc w:val="both"/>
        <w:rPr>
          <w:lang w:val="en-GB"/>
        </w:rPr>
      </w:pPr>
    </w:p>
    <w:p w14:paraId="71E253EB" w14:textId="77777777" w:rsidR="006016D9" w:rsidRPr="00AB4373" w:rsidRDefault="006016D9" w:rsidP="006016D9">
      <w:pPr>
        <w:widowControl w:val="0"/>
        <w:autoSpaceDE w:val="0"/>
        <w:autoSpaceDN w:val="0"/>
        <w:adjustRightInd w:val="0"/>
        <w:jc w:val="both"/>
        <w:rPr>
          <w:u w:color="0000FF"/>
          <w:lang w:eastAsia="en-US"/>
        </w:rPr>
      </w:pPr>
      <w:r w:rsidRPr="00AB4373">
        <w:rPr>
          <w:color w:val="000000"/>
          <w:u w:color="0000FF"/>
          <w:lang w:eastAsia="en-US"/>
        </w:rPr>
        <w:t>**Case</w:t>
      </w:r>
      <w:r w:rsidRPr="00AB4373">
        <w:rPr>
          <w:i/>
          <w:iCs/>
          <w:color w:val="000000"/>
          <w:u w:color="0000FF"/>
          <w:lang w:eastAsia="en-US"/>
        </w:rPr>
        <w:t xml:space="preserve"> </w:t>
      </w:r>
      <w:r w:rsidRPr="00AB4373">
        <w:rPr>
          <w:color w:val="000000"/>
          <w:u w:color="0000FF"/>
          <w:lang w:eastAsia="en-US"/>
        </w:rPr>
        <w:t>C-81/87</w:t>
      </w:r>
      <w:r w:rsidRPr="00AB4373">
        <w:rPr>
          <w:i/>
          <w:iCs/>
          <w:color w:val="000000"/>
          <w:u w:color="0000FF"/>
          <w:lang w:eastAsia="en-US"/>
        </w:rPr>
        <w:t xml:space="preserve"> Daily Mail </w:t>
      </w:r>
      <w:r w:rsidRPr="00AB4373">
        <w:rPr>
          <w:color w:val="000000"/>
          <w:u w:color="0000FF"/>
          <w:lang w:eastAsia="en-US"/>
        </w:rPr>
        <w:t>[1988] ECR 5483.</w:t>
      </w:r>
    </w:p>
    <w:p w14:paraId="12BA43AD" w14:textId="77777777" w:rsidR="006016D9" w:rsidRPr="00AB4373" w:rsidRDefault="006016D9" w:rsidP="006016D9">
      <w:pPr>
        <w:widowControl w:val="0"/>
        <w:autoSpaceDE w:val="0"/>
        <w:autoSpaceDN w:val="0"/>
        <w:adjustRightInd w:val="0"/>
        <w:jc w:val="both"/>
        <w:rPr>
          <w:u w:color="0000FF"/>
          <w:lang w:val="da-DK" w:eastAsia="en-US"/>
        </w:rPr>
      </w:pPr>
      <w:r w:rsidRPr="00AB4373">
        <w:rPr>
          <w:color w:val="000000"/>
          <w:u w:color="0000FF"/>
          <w:lang w:eastAsia="en-US"/>
        </w:rPr>
        <w:t>**</w:t>
      </w:r>
      <w:r w:rsidRPr="00AB4373">
        <w:rPr>
          <w:color w:val="000000"/>
          <w:u w:color="0000FF"/>
          <w:lang w:val="da-DK" w:eastAsia="en-US"/>
        </w:rPr>
        <w:t xml:space="preserve">Case C-212/97 </w:t>
      </w:r>
      <w:proofErr w:type="spellStart"/>
      <w:r w:rsidRPr="00AB4373">
        <w:rPr>
          <w:i/>
          <w:iCs/>
          <w:u w:color="0000FF"/>
          <w:lang w:val="da-DK" w:eastAsia="en-US"/>
        </w:rPr>
        <w:t>Centros</w:t>
      </w:r>
      <w:proofErr w:type="spellEnd"/>
      <w:r w:rsidRPr="00AB4373">
        <w:rPr>
          <w:i/>
          <w:iCs/>
          <w:u w:color="0000FF"/>
          <w:lang w:val="da-DK" w:eastAsia="en-US"/>
        </w:rPr>
        <w:t xml:space="preserve"> Ltd v </w:t>
      </w:r>
      <w:proofErr w:type="spellStart"/>
      <w:r w:rsidRPr="00AB4373">
        <w:rPr>
          <w:i/>
          <w:iCs/>
          <w:u w:color="0000FF"/>
          <w:lang w:val="da-DK" w:eastAsia="en-US"/>
        </w:rPr>
        <w:t>Ehrvervs</w:t>
      </w:r>
      <w:proofErr w:type="spellEnd"/>
      <w:r w:rsidRPr="00AB4373">
        <w:rPr>
          <w:i/>
          <w:iCs/>
          <w:u w:color="0000FF"/>
          <w:lang w:val="da-DK" w:eastAsia="en-US"/>
        </w:rPr>
        <w:t>- og Selskabsstyrelsen</w:t>
      </w:r>
      <w:r w:rsidRPr="00AB4373">
        <w:rPr>
          <w:u w:color="0000FF"/>
          <w:lang w:val="da-DK" w:eastAsia="en-US"/>
        </w:rPr>
        <w:t xml:space="preserve"> [1999] ECR I-1459</w:t>
      </w:r>
    </w:p>
    <w:p w14:paraId="0EC30D81" w14:textId="42D4E60A" w:rsidR="006016D9" w:rsidRPr="00AB4373" w:rsidRDefault="006016D9" w:rsidP="006016D9">
      <w:pPr>
        <w:widowControl w:val="0"/>
        <w:autoSpaceDE w:val="0"/>
        <w:autoSpaceDN w:val="0"/>
        <w:adjustRightInd w:val="0"/>
        <w:jc w:val="both"/>
        <w:rPr>
          <w:color w:val="000000"/>
          <w:u w:color="0000FF"/>
          <w:lang w:eastAsia="en-US"/>
        </w:rPr>
      </w:pPr>
      <w:r w:rsidRPr="00AB4373">
        <w:rPr>
          <w:color w:val="000000"/>
          <w:u w:color="0000FF"/>
          <w:lang w:eastAsia="en-US"/>
        </w:rPr>
        <w:t xml:space="preserve">Case C-208/00 </w:t>
      </w:r>
      <w:proofErr w:type="spellStart"/>
      <w:r w:rsidRPr="00AB4373">
        <w:rPr>
          <w:i/>
          <w:iCs/>
          <w:color w:val="000000"/>
          <w:u w:color="0000FF"/>
          <w:lang w:eastAsia="en-US"/>
        </w:rPr>
        <w:t>Überseering</w:t>
      </w:r>
      <w:proofErr w:type="spellEnd"/>
      <w:r w:rsidRPr="00AB4373">
        <w:rPr>
          <w:i/>
          <w:iCs/>
          <w:color w:val="000000"/>
          <w:u w:color="0000FF"/>
          <w:lang w:eastAsia="en-US"/>
        </w:rPr>
        <w:t xml:space="preserve"> BV </w:t>
      </w:r>
      <w:r w:rsidRPr="00AB4373">
        <w:rPr>
          <w:color w:val="000000"/>
          <w:u w:color="0000FF"/>
          <w:lang w:eastAsia="en-US"/>
        </w:rPr>
        <w:t>[2002] ECR I-9919</w:t>
      </w:r>
    </w:p>
    <w:p w14:paraId="6BE9D68B" w14:textId="77777777" w:rsidR="006016D9" w:rsidRPr="00AB4373" w:rsidRDefault="006016D9" w:rsidP="006016D9">
      <w:pPr>
        <w:widowControl w:val="0"/>
        <w:autoSpaceDE w:val="0"/>
        <w:autoSpaceDN w:val="0"/>
        <w:adjustRightInd w:val="0"/>
        <w:jc w:val="both"/>
        <w:rPr>
          <w:color w:val="000000"/>
          <w:u w:color="0000FF"/>
          <w:lang w:eastAsia="en-US"/>
        </w:rPr>
      </w:pPr>
      <w:r w:rsidRPr="00AB4373">
        <w:rPr>
          <w:u w:color="0000FF"/>
          <w:lang w:eastAsia="en-US"/>
        </w:rPr>
        <w:t>**</w:t>
      </w:r>
      <w:r w:rsidRPr="00AB4373">
        <w:rPr>
          <w:u w:color="0000FF"/>
          <w:lang w:val="nl-NL" w:eastAsia="en-US"/>
        </w:rPr>
        <w:t>Case C-167/01</w:t>
      </w:r>
      <w:r w:rsidRPr="00AB4373">
        <w:rPr>
          <w:i/>
          <w:iCs/>
          <w:color w:val="000000"/>
          <w:u w:color="0000FF"/>
          <w:lang w:val="nl-NL" w:eastAsia="en-US"/>
        </w:rPr>
        <w:t xml:space="preserve"> </w:t>
      </w:r>
      <w:proofErr w:type="spellStart"/>
      <w:r w:rsidRPr="00AB4373">
        <w:rPr>
          <w:i/>
          <w:iCs/>
          <w:color w:val="000000"/>
          <w:u w:color="0000FF"/>
          <w:lang w:val="nl-NL" w:eastAsia="en-US"/>
        </w:rPr>
        <w:t>Inspire</w:t>
      </w:r>
      <w:proofErr w:type="spellEnd"/>
      <w:r w:rsidRPr="00AB4373">
        <w:rPr>
          <w:i/>
          <w:iCs/>
          <w:color w:val="000000"/>
          <w:u w:color="0000FF"/>
          <w:lang w:val="nl-NL" w:eastAsia="en-US"/>
        </w:rPr>
        <w:t xml:space="preserve"> Art Ltd.</w:t>
      </w:r>
      <w:r w:rsidRPr="00AB4373">
        <w:rPr>
          <w:color w:val="000000"/>
          <w:u w:color="0000FF"/>
          <w:lang w:val="nl-NL" w:eastAsia="en-US"/>
        </w:rPr>
        <w:t xml:space="preserve"> </w:t>
      </w:r>
      <w:r w:rsidRPr="00AB4373">
        <w:rPr>
          <w:color w:val="000000"/>
          <w:u w:color="0000FF"/>
          <w:lang w:eastAsia="en-US"/>
        </w:rPr>
        <w:t>[2003] ECR I- 10155</w:t>
      </w:r>
    </w:p>
    <w:p w14:paraId="04D873AF" w14:textId="77777777" w:rsidR="006016D9" w:rsidRPr="00AB4373" w:rsidRDefault="006016D9" w:rsidP="006016D9">
      <w:pPr>
        <w:widowControl w:val="0"/>
        <w:autoSpaceDE w:val="0"/>
        <w:autoSpaceDN w:val="0"/>
        <w:adjustRightInd w:val="0"/>
        <w:jc w:val="both"/>
        <w:rPr>
          <w:bCs/>
          <w:color w:val="000000" w:themeColor="text1"/>
          <w:u w:color="0000FF"/>
          <w:lang w:eastAsia="en-US"/>
        </w:rPr>
      </w:pPr>
      <w:r w:rsidRPr="00AB4373">
        <w:rPr>
          <w:color w:val="000000" w:themeColor="text1"/>
          <w:lang w:val="en-US" w:eastAsia="en-US"/>
        </w:rPr>
        <w:t xml:space="preserve">Case C-411/03 </w:t>
      </w:r>
      <w:proofErr w:type="spellStart"/>
      <w:r w:rsidRPr="00AB4373">
        <w:rPr>
          <w:i/>
          <w:color w:val="000000" w:themeColor="text1"/>
          <w:lang w:val="en-US" w:eastAsia="en-US"/>
        </w:rPr>
        <w:t>Sevic</w:t>
      </w:r>
      <w:proofErr w:type="spellEnd"/>
      <w:r w:rsidRPr="00AB4373">
        <w:rPr>
          <w:i/>
          <w:color w:val="000000" w:themeColor="text1"/>
          <w:lang w:val="en-US" w:eastAsia="en-US"/>
        </w:rPr>
        <w:t xml:space="preserve"> Systems AG</w:t>
      </w:r>
      <w:r w:rsidRPr="00AB4373">
        <w:rPr>
          <w:color w:val="000000" w:themeColor="text1"/>
          <w:lang w:val="en-US" w:eastAsia="en-US"/>
        </w:rPr>
        <w:t xml:space="preserve"> [2005] ECR I-10805 </w:t>
      </w:r>
    </w:p>
    <w:p w14:paraId="7EDAA450" w14:textId="77777777" w:rsidR="006016D9" w:rsidRPr="00AB4373" w:rsidRDefault="006016D9" w:rsidP="006016D9">
      <w:pPr>
        <w:widowControl w:val="0"/>
        <w:autoSpaceDE w:val="0"/>
        <w:autoSpaceDN w:val="0"/>
        <w:adjustRightInd w:val="0"/>
        <w:jc w:val="both"/>
        <w:rPr>
          <w:bCs/>
          <w:i/>
          <w:color w:val="000000" w:themeColor="text1"/>
          <w:u w:color="0000FF"/>
          <w:lang w:eastAsia="en-US"/>
        </w:rPr>
      </w:pPr>
      <w:r w:rsidRPr="00AB4373">
        <w:rPr>
          <w:bCs/>
          <w:color w:val="000000" w:themeColor="text1"/>
          <w:lang w:val="en-US" w:eastAsia="en-US"/>
        </w:rPr>
        <w:t xml:space="preserve">**Case C-210/06 </w:t>
      </w:r>
      <w:proofErr w:type="spellStart"/>
      <w:r w:rsidRPr="00AB4373">
        <w:rPr>
          <w:bCs/>
          <w:i/>
          <w:color w:val="000000" w:themeColor="text1"/>
          <w:lang w:val="en-US" w:eastAsia="en-US"/>
        </w:rPr>
        <w:t>Cartesio</w:t>
      </w:r>
      <w:proofErr w:type="spellEnd"/>
      <w:r w:rsidRPr="00AB4373">
        <w:rPr>
          <w:bCs/>
          <w:i/>
          <w:color w:val="000000" w:themeColor="text1"/>
          <w:lang w:val="en-US" w:eastAsia="en-US"/>
        </w:rPr>
        <w:t xml:space="preserve"> </w:t>
      </w:r>
      <w:proofErr w:type="spellStart"/>
      <w:r w:rsidRPr="00AB4373">
        <w:rPr>
          <w:bCs/>
          <w:i/>
          <w:color w:val="000000" w:themeColor="text1"/>
          <w:lang w:val="en-US" w:eastAsia="en-US"/>
        </w:rPr>
        <w:t>Oktató</w:t>
      </w:r>
      <w:proofErr w:type="spellEnd"/>
      <w:r w:rsidRPr="00AB4373">
        <w:rPr>
          <w:bCs/>
          <w:i/>
          <w:color w:val="000000" w:themeColor="text1"/>
          <w:lang w:val="en-US" w:eastAsia="en-US"/>
        </w:rPr>
        <w:t xml:space="preserve"> </w:t>
      </w:r>
      <w:proofErr w:type="spellStart"/>
      <w:r w:rsidRPr="00AB4373">
        <w:rPr>
          <w:bCs/>
          <w:i/>
          <w:color w:val="000000" w:themeColor="text1"/>
          <w:lang w:val="en-US" w:eastAsia="en-US"/>
        </w:rPr>
        <w:t>és</w:t>
      </w:r>
      <w:proofErr w:type="spellEnd"/>
      <w:r w:rsidRPr="00AB4373">
        <w:rPr>
          <w:bCs/>
          <w:i/>
          <w:color w:val="000000" w:themeColor="text1"/>
          <w:lang w:val="en-US" w:eastAsia="en-US"/>
        </w:rPr>
        <w:t xml:space="preserve"> </w:t>
      </w:r>
      <w:proofErr w:type="spellStart"/>
      <w:r w:rsidRPr="00AB4373">
        <w:rPr>
          <w:bCs/>
          <w:i/>
          <w:color w:val="000000" w:themeColor="text1"/>
          <w:lang w:val="en-US" w:eastAsia="en-US"/>
        </w:rPr>
        <w:t>Szolgáltató</w:t>
      </w:r>
      <w:proofErr w:type="spellEnd"/>
      <w:r w:rsidRPr="00AB4373">
        <w:rPr>
          <w:bCs/>
          <w:i/>
          <w:color w:val="000000" w:themeColor="text1"/>
          <w:lang w:val="en-US" w:eastAsia="en-US"/>
        </w:rPr>
        <w:t xml:space="preserve"> </w:t>
      </w:r>
      <w:proofErr w:type="spellStart"/>
      <w:r w:rsidRPr="00AB4373">
        <w:rPr>
          <w:bCs/>
          <w:i/>
          <w:color w:val="000000" w:themeColor="text1"/>
          <w:lang w:val="en-US" w:eastAsia="en-US"/>
        </w:rPr>
        <w:t>bt</w:t>
      </w:r>
      <w:proofErr w:type="spellEnd"/>
      <w:r w:rsidRPr="00AB4373">
        <w:rPr>
          <w:bCs/>
          <w:color w:val="000000" w:themeColor="text1"/>
          <w:lang w:val="en-US" w:eastAsia="en-US"/>
        </w:rPr>
        <w:t xml:space="preserve"> </w:t>
      </w:r>
      <w:r w:rsidRPr="00AB4373">
        <w:rPr>
          <w:color w:val="000000" w:themeColor="text1"/>
          <w:lang w:val="en-US" w:eastAsia="en-US"/>
        </w:rPr>
        <w:t xml:space="preserve">[2008] </w:t>
      </w:r>
      <w:r w:rsidRPr="00AB4373">
        <w:rPr>
          <w:bCs/>
          <w:color w:val="000000" w:themeColor="text1"/>
          <w:lang w:val="en-US" w:eastAsia="en-US"/>
        </w:rPr>
        <w:t>ECR</w:t>
      </w:r>
      <w:r w:rsidRPr="00AB4373">
        <w:rPr>
          <w:color w:val="000000" w:themeColor="text1"/>
          <w:lang w:val="en-US" w:eastAsia="en-US"/>
        </w:rPr>
        <w:t xml:space="preserve"> I-9641</w:t>
      </w:r>
    </w:p>
    <w:p w14:paraId="18AD08BB" w14:textId="430CEB99" w:rsidR="007C62A1" w:rsidRPr="00AB4373" w:rsidRDefault="006A2610" w:rsidP="006016D9">
      <w:pPr>
        <w:widowControl w:val="0"/>
        <w:autoSpaceDE w:val="0"/>
        <w:autoSpaceDN w:val="0"/>
        <w:adjustRightInd w:val="0"/>
        <w:ind w:right="700"/>
        <w:rPr>
          <w:color w:val="000000" w:themeColor="text1"/>
          <w:lang w:val="en-US"/>
        </w:rPr>
      </w:pPr>
      <w:r>
        <w:rPr>
          <w:color w:val="000000" w:themeColor="text1"/>
          <w:lang w:val="en-US"/>
        </w:rPr>
        <w:t>**</w:t>
      </w:r>
      <w:r w:rsidR="006016D9" w:rsidRPr="00AB4373">
        <w:rPr>
          <w:color w:val="000000" w:themeColor="text1"/>
          <w:lang w:val="en-US"/>
        </w:rPr>
        <w:t xml:space="preserve">Case C-378/10 </w:t>
      </w:r>
      <w:r w:rsidR="006016D9" w:rsidRPr="00AB4373">
        <w:rPr>
          <w:i/>
          <w:color w:val="000000" w:themeColor="text1"/>
          <w:lang w:val="en-US"/>
        </w:rPr>
        <w:t xml:space="preserve">VALE </w:t>
      </w:r>
      <w:proofErr w:type="spellStart"/>
      <w:r w:rsidR="006016D9" w:rsidRPr="00AB4373">
        <w:rPr>
          <w:i/>
          <w:color w:val="000000" w:themeColor="text1"/>
          <w:lang w:val="en-US"/>
        </w:rPr>
        <w:t>Építési</w:t>
      </w:r>
      <w:proofErr w:type="spellEnd"/>
      <w:r w:rsidR="006016D9" w:rsidRPr="00AB4373">
        <w:rPr>
          <w:i/>
          <w:color w:val="000000" w:themeColor="text1"/>
          <w:lang w:val="en-US"/>
        </w:rPr>
        <w:t xml:space="preserve"> </w:t>
      </w:r>
      <w:proofErr w:type="spellStart"/>
      <w:r w:rsidR="006016D9" w:rsidRPr="00AB4373">
        <w:rPr>
          <w:i/>
          <w:color w:val="000000" w:themeColor="text1"/>
          <w:lang w:val="en-US"/>
        </w:rPr>
        <w:t>kft</w:t>
      </w:r>
      <w:proofErr w:type="spellEnd"/>
      <w:r w:rsidR="006016D9" w:rsidRPr="00AB4373">
        <w:rPr>
          <w:color w:val="000000" w:themeColor="text1"/>
          <w:lang w:val="en-US"/>
        </w:rPr>
        <w:t xml:space="preserve"> [2012] ECR 00000</w:t>
      </w:r>
    </w:p>
    <w:p w14:paraId="1FB2F62F" w14:textId="4866E4A2" w:rsidR="007C62A1" w:rsidRPr="00AB4373" w:rsidRDefault="006A2610" w:rsidP="007C62A1">
      <w:pPr>
        <w:pStyle w:val="p1"/>
        <w:spacing w:line="360" w:lineRule="auto"/>
        <w:jc w:val="both"/>
        <w:rPr>
          <w:rFonts w:ascii="Times New Roman" w:hAnsi="Times New Roman"/>
          <w:color w:val="000000" w:themeColor="text1"/>
          <w:sz w:val="24"/>
          <w:szCs w:val="24"/>
          <w:lang w:val="fr-FR"/>
        </w:rPr>
      </w:pPr>
      <w:r>
        <w:rPr>
          <w:rStyle w:val="s1"/>
          <w:rFonts w:ascii="Times New Roman" w:hAnsi="Times New Roman"/>
          <w:color w:val="000000" w:themeColor="text1"/>
          <w:sz w:val="24"/>
          <w:szCs w:val="24"/>
          <w:lang w:val="fr-FR"/>
        </w:rPr>
        <w:t>**</w:t>
      </w:r>
      <w:r w:rsidR="007C62A1" w:rsidRPr="00AB4373">
        <w:rPr>
          <w:rStyle w:val="s1"/>
          <w:rFonts w:ascii="Times New Roman" w:hAnsi="Times New Roman"/>
          <w:color w:val="000000" w:themeColor="text1"/>
          <w:sz w:val="24"/>
          <w:szCs w:val="24"/>
          <w:lang w:val="fr-FR"/>
        </w:rPr>
        <w:t>Case C</w:t>
      </w:r>
      <w:r w:rsidR="007C62A1" w:rsidRPr="00AB4373">
        <w:rPr>
          <w:rStyle w:val="s1"/>
          <w:rFonts w:ascii="Times New Roman" w:hAnsi="Times New Roman"/>
          <w:color w:val="000000" w:themeColor="text1"/>
          <w:sz w:val="24"/>
          <w:szCs w:val="24"/>
          <w:lang w:val="fr-FR"/>
        </w:rPr>
        <w:noBreakHyphen/>
        <w:t xml:space="preserve">106/16 </w:t>
      </w:r>
      <w:proofErr w:type="spellStart"/>
      <w:r w:rsidR="007C62A1" w:rsidRPr="00AB4373">
        <w:rPr>
          <w:rStyle w:val="s1"/>
          <w:rFonts w:ascii="Times New Roman" w:hAnsi="Times New Roman"/>
          <w:bCs/>
          <w:i/>
          <w:color w:val="000000" w:themeColor="text1"/>
          <w:sz w:val="24"/>
          <w:szCs w:val="24"/>
          <w:lang w:val="fr-FR"/>
        </w:rPr>
        <w:t>Polbud</w:t>
      </w:r>
      <w:proofErr w:type="spellEnd"/>
      <w:r w:rsidR="007C62A1" w:rsidRPr="00AB4373">
        <w:rPr>
          <w:rStyle w:val="s1"/>
          <w:rFonts w:ascii="Times New Roman" w:hAnsi="Times New Roman"/>
          <w:bCs/>
          <w:color w:val="000000" w:themeColor="text1"/>
          <w:sz w:val="24"/>
          <w:szCs w:val="24"/>
          <w:lang w:val="fr-FR"/>
        </w:rPr>
        <w:t xml:space="preserve"> </w:t>
      </w:r>
      <w:proofErr w:type="gramStart"/>
      <w:r w:rsidR="007C62A1" w:rsidRPr="00AB4373">
        <w:rPr>
          <w:rStyle w:val="s2"/>
          <w:rFonts w:ascii="Times New Roman" w:hAnsi="Times New Roman"/>
          <w:color w:val="000000" w:themeColor="text1"/>
          <w:sz w:val="24"/>
          <w:szCs w:val="24"/>
          <w:lang w:val="fr-FR"/>
        </w:rPr>
        <w:t>ECLI:</w:t>
      </w:r>
      <w:proofErr w:type="gramEnd"/>
      <w:r w:rsidR="007C62A1" w:rsidRPr="00AB4373">
        <w:rPr>
          <w:rStyle w:val="s2"/>
          <w:rFonts w:ascii="Times New Roman" w:hAnsi="Times New Roman"/>
          <w:color w:val="000000" w:themeColor="text1"/>
          <w:sz w:val="24"/>
          <w:szCs w:val="24"/>
          <w:lang w:val="fr-FR"/>
        </w:rPr>
        <w:t>EU:C:2017:804</w:t>
      </w:r>
    </w:p>
    <w:p w14:paraId="0769A70C" w14:textId="77777777" w:rsidR="006016D9" w:rsidRPr="00AB4373" w:rsidRDefault="006016D9" w:rsidP="006016D9">
      <w:pPr>
        <w:jc w:val="both"/>
        <w:rPr>
          <w:color w:val="000000" w:themeColor="text1"/>
          <w:lang w:val="fr-FR"/>
        </w:rPr>
      </w:pPr>
    </w:p>
    <w:p w14:paraId="6863F161" w14:textId="77777777" w:rsidR="003E06D6" w:rsidRPr="00AB4373" w:rsidRDefault="006016D9" w:rsidP="003E06D6">
      <w:pPr>
        <w:rPr>
          <w:color w:val="000000" w:themeColor="text1"/>
          <w:lang w:val="en-GB" w:eastAsia="en-GB"/>
        </w:rPr>
      </w:pPr>
      <w:r w:rsidRPr="00AB4373">
        <w:rPr>
          <w:color w:val="000000" w:themeColor="text1"/>
          <w:lang w:val="en-GB"/>
        </w:rPr>
        <w:t>**</w:t>
      </w:r>
      <w:r w:rsidR="00FB03B1" w:rsidRPr="00AB4373">
        <w:rPr>
          <w:color w:val="000000" w:themeColor="text1"/>
          <w:lang w:val="en-GB"/>
        </w:rPr>
        <w:t xml:space="preserve"> Case C-159/90 Grogan </w:t>
      </w:r>
      <w:r w:rsidR="003E06D6" w:rsidRPr="00AB4373">
        <w:rPr>
          <w:color w:val="000000" w:themeColor="text1"/>
          <w:shd w:val="clear" w:color="auto" w:fill="FFFFFF"/>
          <w:lang w:val="en-GB" w:eastAsia="en-GB"/>
        </w:rPr>
        <w:t>ECLI:EU:</w:t>
      </w:r>
      <w:proofErr w:type="gramStart"/>
      <w:r w:rsidR="003E06D6" w:rsidRPr="00AB4373">
        <w:rPr>
          <w:color w:val="000000" w:themeColor="text1"/>
          <w:shd w:val="clear" w:color="auto" w:fill="FFFFFF"/>
          <w:lang w:val="en-GB" w:eastAsia="en-GB"/>
        </w:rPr>
        <w:t>C:1991:378</w:t>
      </w:r>
      <w:proofErr w:type="gramEnd"/>
    </w:p>
    <w:p w14:paraId="7B3A1D45" w14:textId="60A087CD" w:rsidR="006016D9" w:rsidRPr="00AB4373" w:rsidRDefault="003E06D6" w:rsidP="006016D9">
      <w:pPr>
        <w:jc w:val="both"/>
        <w:rPr>
          <w:color w:val="000000" w:themeColor="text1"/>
          <w:lang w:val="en-GB"/>
        </w:rPr>
      </w:pPr>
      <w:r w:rsidRPr="00AB4373">
        <w:rPr>
          <w:color w:val="000000" w:themeColor="text1"/>
          <w:lang w:val="en-GB"/>
        </w:rPr>
        <w:t xml:space="preserve">**Case </w:t>
      </w:r>
      <w:r w:rsidR="006016D9" w:rsidRPr="00AB4373">
        <w:rPr>
          <w:color w:val="000000" w:themeColor="text1"/>
          <w:lang w:val="en-GB"/>
        </w:rPr>
        <w:t xml:space="preserve">C-55/94 </w:t>
      </w:r>
      <w:proofErr w:type="spellStart"/>
      <w:r w:rsidR="006016D9" w:rsidRPr="00AB4373">
        <w:rPr>
          <w:i/>
          <w:color w:val="000000" w:themeColor="text1"/>
          <w:lang w:val="en-GB"/>
        </w:rPr>
        <w:t>Gebhard</w:t>
      </w:r>
      <w:proofErr w:type="spellEnd"/>
      <w:r w:rsidR="006016D9" w:rsidRPr="00AB4373">
        <w:rPr>
          <w:color w:val="000000" w:themeColor="text1"/>
          <w:lang w:val="en-GB"/>
        </w:rPr>
        <w:t xml:space="preserve"> [1995] ECR I-4165</w:t>
      </w:r>
    </w:p>
    <w:p w14:paraId="7F81DCD2" w14:textId="77777777" w:rsidR="006016D9" w:rsidRPr="00AB4373" w:rsidRDefault="006016D9" w:rsidP="006016D9">
      <w:pPr>
        <w:jc w:val="both"/>
        <w:rPr>
          <w:color w:val="000000" w:themeColor="text1"/>
          <w:lang w:val="en-GB"/>
        </w:rPr>
      </w:pPr>
      <w:r w:rsidRPr="00AB4373">
        <w:rPr>
          <w:color w:val="000000" w:themeColor="text1"/>
          <w:lang w:val="en-GB"/>
        </w:rPr>
        <w:t xml:space="preserve">**C-442/02 </w:t>
      </w:r>
      <w:r w:rsidRPr="00AB4373">
        <w:rPr>
          <w:i/>
          <w:color w:val="000000" w:themeColor="text1"/>
          <w:lang w:val="en-GB"/>
        </w:rPr>
        <w:t>Caixa-Bank</w:t>
      </w:r>
      <w:r w:rsidRPr="00AB4373">
        <w:rPr>
          <w:color w:val="000000" w:themeColor="text1"/>
          <w:lang w:val="en-GB"/>
        </w:rPr>
        <w:t xml:space="preserve"> [2004] ECR I-8961, including AG’s </w:t>
      </w:r>
      <w:proofErr w:type="spellStart"/>
      <w:r w:rsidRPr="00AB4373">
        <w:rPr>
          <w:color w:val="000000" w:themeColor="text1"/>
          <w:lang w:val="en-GB"/>
        </w:rPr>
        <w:t>Tizzano’s</w:t>
      </w:r>
      <w:proofErr w:type="spellEnd"/>
      <w:r w:rsidRPr="00AB4373">
        <w:rPr>
          <w:color w:val="000000" w:themeColor="text1"/>
          <w:lang w:val="en-GB"/>
        </w:rPr>
        <w:t xml:space="preserve"> opinion</w:t>
      </w:r>
    </w:p>
    <w:p w14:paraId="31376D07" w14:textId="55A54CAA" w:rsidR="006016D9" w:rsidRPr="00AB4373" w:rsidRDefault="006016D9" w:rsidP="006016D9">
      <w:pPr>
        <w:jc w:val="both"/>
        <w:rPr>
          <w:lang w:val="en-GB"/>
        </w:rPr>
      </w:pPr>
      <w:r w:rsidRPr="00AB4373">
        <w:rPr>
          <w:lang w:val="en-GB"/>
        </w:rPr>
        <w:t xml:space="preserve">C-405/98 </w:t>
      </w:r>
      <w:r w:rsidRPr="00AB4373">
        <w:rPr>
          <w:i/>
          <w:lang w:val="en-GB"/>
        </w:rPr>
        <w:t>Gourmet International</w:t>
      </w:r>
      <w:r w:rsidRPr="00AB4373">
        <w:rPr>
          <w:lang w:val="en-GB"/>
        </w:rPr>
        <w:t xml:space="preserve"> [2001] ECR I-1795 (the services part)</w:t>
      </w:r>
    </w:p>
    <w:p w14:paraId="365E6562" w14:textId="4FA793F8" w:rsidR="006016D9" w:rsidRPr="00AB4373" w:rsidRDefault="006016D9" w:rsidP="006016D9">
      <w:pPr>
        <w:jc w:val="both"/>
        <w:rPr>
          <w:lang w:val="en-GB"/>
        </w:rPr>
      </w:pPr>
      <w:r w:rsidRPr="00AB4373">
        <w:rPr>
          <w:lang w:val="en-GB"/>
        </w:rPr>
        <w:t xml:space="preserve">C-384/93 </w:t>
      </w:r>
      <w:r w:rsidRPr="00AB4373">
        <w:rPr>
          <w:i/>
          <w:lang w:val="en-GB"/>
        </w:rPr>
        <w:t>Alpine Investments</w:t>
      </w:r>
      <w:r w:rsidRPr="00AB4373">
        <w:rPr>
          <w:lang w:val="en-GB"/>
        </w:rPr>
        <w:t xml:space="preserve"> [1995] ECR I-1141</w:t>
      </w:r>
    </w:p>
    <w:p w14:paraId="5E643126" w14:textId="77777777" w:rsidR="006016D9" w:rsidRPr="00AB4373" w:rsidRDefault="006016D9" w:rsidP="006016D9">
      <w:pPr>
        <w:jc w:val="both"/>
        <w:rPr>
          <w:lang w:val="en-GB"/>
        </w:rPr>
      </w:pPr>
    </w:p>
    <w:p w14:paraId="1DC07A48" w14:textId="77777777" w:rsidR="006016D9" w:rsidRDefault="006016D9" w:rsidP="006016D9">
      <w:pPr>
        <w:jc w:val="both"/>
        <w:rPr>
          <w:lang w:val="en-GB"/>
        </w:rPr>
      </w:pPr>
    </w:p>
    <w:p w14:paraId="74BD4AA0" w14:textId="77777777" w:rsidR="00924BFA" w:rsidRDefault="00924BFA" w:rsidP="006016D9">
      <w:pPr>
        <w:jc w:val="both"/>
        <w:rPr>
          <w:lang w:val="en-GB"/>
        </w:rPr>
      </w:pPr>
    </w:p>
    <w:p w14:paraId="1238F2F4" w14:textId="77777777" w:rsidR="00924BFA" w:rsidRDefault="00924BFA" w:rsidP="006016D9">
      <w:pPr>
        <w:jc w:val="both"/>
        <w:rPr>
          <w:lang w:val="en-GB"/>
        </w:rPr>
      </w:pPr>
    </w:p>
    <w:p w14:paraId="34915982" w14:textId="77777777" w:rsidR="00924BFA" w:rsidRDefault="00924BFA" w:rsidP="006016D9">
      <w:pPr>
        <w:jc w:val="both"/>
        <w:rPr>
          <w:lang w:val="en-GB"/>
        </w:rPr>
      </w:pPr>
    </w:p>
    <w:p w14:paraId="3F0C36AA" w14:textId="77777777" w:rsidR="00924BFA" w:rsidRDefault="00924BFA" w:rsidP="006016D9">
      <w:pPr>
        <w:jc w:val="both"/>
        <w:rPr>
          <w:lang w:val="en-GB"/>
        </w:rPr>
      </w:pPr>
    </w:p>
    <w:p w14:paraId="78EA1453" w14:textId="77777777" w:rsidR="00924BFA" w:rsidRDefault="00924BFA" w:rsidP="006016D9">
      <w:pPr>
        <w:jc w:val="both"/>
        <w:rPr>
          <w:lang w:val="en-GB"/>
        </w:rPr>
      </w:pPr>
    </w:p>
    <w:p w14:paraId="672F7119" w14:textId="77777777" w:rsidR="00924BFA" w:rsidRDefault="00924BFA" w:rsidP="006016D9">
      <w:pPr>
        <w:jc w:val="both"/>
        <w:rPr>
          <w:lang w:val="en-GB"/>
        </w:rPr>
      </w:pPr>
    </w:p>
    <w:p w14:paraId="44315557" w14:textId="77777777" w:rsidR="00924BFA" w:rsidRDefault="00924BFA" w:rsidP="006016D9">
      <w:pPr>
        <w:jc w:val="both"/>
        <w:rPr>
          <w:lang w:val="en-GB"/>
        </w:rPr>
      </w:pPr>
    </w:p>
    <w:p w14:paraId="2DF32CBB" w14:textId="77777777" w:rsidR="00924BFA" w:rsidRDefault="00924BFA" w:rsidP="006016D9">
      <w:pPr>
        <w:jc w:val="both"/>
        <w:rPr>
          <w:lang w:val="en-GB"/>
        </w:rPr>
      </w:pPr>
    </w:p>
    <w:p w14:paraId="79E5E855" w14:textId="77777777" w:rsidR="00924BFA" w:rsidRDefault="00924BFA" w:rsidP="006016D9">
      <w:pPr>
        <w:jc w:val="both"/>
        <w:rPr>
          <w:lang w:val="en-GB"/>
        </w:rPr>
      </w:pPr>
    </w:p>
    <w:p w14:paraId="4C0F8D29" w14:textId="77777777" w:rsidR="00924BFA" w:rsidRDefault="00924BFA" w:rsidP="006016D9">
      <w:pPr>
        <w:jc w:val="both"/>
        <w:rPr>
          <w:lang w:val="en-GB"/>
        </w:rPr>
      </w:pPr>
    </w:p>
    <w:p w14:paraId="26CA7339" w14:textId="77777777" w:rsidR="00924BFA" w:rsidRDefault="00924BFA" w:rsidP="006016D9">
      <w:pPr>
        <w:jc w:val="both"/>
        <w:rPr>
          <w:lang w:val="en-GB"/>
        </w:rPr>
      </w:pPr>
    </w:p>
    <w:p w14:paraId="566C991C" w14:textId="77777777" w:rsidR="00924BFA" w:rsidRDefault="00924BFA" w:rsidP="006016D9">
      <w:pPr>
        <w:jc w:val="both"/>
        <w:rPr>
          <w:lang w:val="en-GB"/>
        </w:rPr>
      </w:pPr>
    </w:p>
    <w:p w14:paraId="28C9900C" w14:textId="77777777" w:rsidR="00924BFA" w:rsidRDefault="00924BFA" w:rsidP="006016D9">
      <w:pPr>
        <w:jc w:val="both"/>
        <w:rPr>
          <w:lang w:val="en-GB"/>
        </w:rPr>
      </w:pPr>
    </w:p>
    <w:p w14:paraId="5D6CA470" w14:textId="77777777" w:rsidR="00924BFA" w:rsidRDefault="00924BFA" w:rsidP="006016D9">
      <w:pPr>
        <w:jc w:val="both"/>
        <w:rPr>
          <w:lang w:val="en-GB"/>
        </w:rPr>
      </w:pPr>
    </w:p>
    <w:p w14:paraId="46A506F7" w14:textId="77777777" w:rsidR="00924BFA" w:rsidRDefault="00924BFA" w:rsidP="006016D9">
      <w:pPr>
        <w:jc w:val="both"/>
        <w:rPr>
          <w:lang w:val="en-GB"/>
        </w:rPr>
      </w:pPr>
    </w:p>
    <w:p w14:paraId="2952DA1E" w14:textId="77777777" w:rsidR="00924BFA" w:rsidRPr="00AB4373" w:rsidRDefault="00924BFA" w:rsidP="006016D9">
      <w:pPr>
        <w:jc w:val="both"/>
        <w:rPr>
          <w:lang w:val="en-GB"/>
        </w:rPr>
      </w:pPr>
    </w:p>
    <w:p w14:paraId="707E8B61" w14:textId="7EA0A5D0" w:rsidR="006016D9" w:rsidRDefault="00EE664D" w:rsidP="006016D9">
      <w:pPr>
        <w:jc w:val="both"/>
        <w:rPr>
          <w:b/>
        </w:rPr>
      </w:pPr>
      <w:r w:rsidRPr="00AB4373">
        <w:rPr>
          <w:b/>
        </w:rPr>
        <w:lastRenderedPageBreak/>
        <w:t xml:space="preserve">Essay </w:t>
      </w:r>
      <w:r w:rsidR="006016D9" w:rsidRPr="00AB4373">
        <w:rPr>
          <w:b/>
        </w:rPr>
        <w:t>Questions</w:t>
      </w:r>
    </w:p>
    <w:p w14:paraId="1DBF7A55" w14:textId="06F3F68E" w:rsidR="00E147D1" w:rsidRPr="00E80F99" w:rsidRDefault="00E147D1" w:rsidP="006016D9">
      <w:pPr>
        <w:jc w:val="both"/>
        <w:rPr>
          <w:bCs/>
        </w:rPr>
      </w:pPr>
      <w:r w:rsidRPr="00E80F99">
        <w:rPr>
          <w:bCs/>
        </w:rPr>
        <w:t xml:space="preserve">Freedom of establishment </w:t>
      </w:r>
    </w:p>
    <w:p w14:paraId="1FC1F63E" w14:textId="783137F5" w:rsidR="00E147D1" w:rsidRPr="00E80F99" w:rsidRDefault="00E147D1" w:rsidP="006016D9">
      <w:pPr>
        <w:jc w:val="both"/>
        <w:rPr>
          <w:bCs/>
        </w:rPr>
      </w:pPr>
      <w:r w:rsidRPr="00E80F99">
        <w:rPr>
          <w:bCs/>
        </w:rPr>
        <w:sym w:font="Wingdings" w:char="F0E0"/>
      </w:r>
      <w:r w:rsidRPr="00E80F99">
        <w:rPr>
          <w:bCs/>
        </w:rPr>
        <w:t xml:space="preserve"> Individuals and companies to pursue activities in another member state, like setting up and manging a business or practising a profession permanently. </w:t>
      </w:r>
    </w:p>
    <w:p w14:paraId="41B5F81B" w14:textId="77777777" w:rsidR="006016D9" w:rsidRPr="00AB4373" w:rsidRDefault="006016D9" w:rsidP="006016D9">
      <w:pPr>
        <w:jc w:val="both"/>
        <w:rPr>
          <w:b/>
        </w:rPr>
      </w:pPr>
    </w:p>
    <w:p w14:paraId="4DE77AFC" w14:textId="22FB0652" w:rsidR="006016D9" w:rsidRDefault="00924BFA" w:rsidP="00924BFA">
      <w:pPr>
        <w:rPr>
          <w:lang w:val="en-GB"/>
        </w:rPr>
      </w:pPr>
      <w:r>
        <w:rPr>
          <w:lang w:val="en-GB"/>
        </w:rPr>
        <w:t xml:space="preserve">1. </w:t>
      </w:r>
      <w:r w:rsidR="006016D9" w:rsidRPr="00924BFA">
        <w:rPr>
          <w:lang w:val="en-GB"/>
        </w:rPr>
        <w:t xml:space="preserve">What do you think </w:t>
      </w:r>
      <w:r w:rsidR="008B6760" w:rsidRPr="00924BFA">
        <w:rPr>
          <w:lang w:val="en-GB"/>
        </w:rPr>
        <w:t xml:space="preserve">of </w:t>
      </w:r>
      <w:r w:rsidR="006016D9" w:rsidRPr="00924BFA">
        <w:rPr>
          <w:lang w:val="en-GB"/>
        </w:rPr>
        <w:t>the Court’s decision to step beyond discrimination in the case of services and establishment? Do you think it represents a problematic step? Why?</w:t>
      </w:r>
      <w:r w:rsidR="006D2D03" w:rsidRPr="00924BFA">
        <w:rPr>
          <w:lang w:val="en-GB"/>
        </w:rPr>
        <w:t xml:space="preserve"> </w:t>
      </w:r>
    </w:p>
    <w:p w14:paraId="758CA6BE" w14:textId="77777777" w:rsidR="00E147D1" w:rsidRDefault="00E147D1" w:rsidP="00F06DD6">
      <w:pPr>
        <w:rPr>
          <w:rStyle w:val="Strong"/>
          <w:lang w:val="en-US"/>
        </w:rPr>
      </w:pPr>
    </w:p>
    <w:p w14:paraId="30F2C7EE" w14:textId="002F45E1" w:rsidR="00D02627" w:rsidRDefault="00D02627" w:rsidP="00F06DD6">
      <w:pPr>
        <w:rPr>
          <w:rStyle w:val="Strong"/>
          <w:lang w:val="en-US"/>
        </w:rPr>
      </w:pPr>
      <w:r>
        <w:rPr>
          <w:rStyle w:val="Strong"/>
          <w:lang w:val="en-US"/>
        </w:rPr>
        <w:t xml:space="preserve">Non- discrimination </w:t>
      </w:r>
      <w:r w:rsidRPr="00D02627">
        <w:rPr>
          <w:rStyle w:val="Strong"/>
          <w:lang w:val="en-US"/>
        </w:rPr>
        <w:sym w:font="Wingdings" w:char="F0E0"/>
      </w:r>
      <w:r>
        <w:rPr>
          <w:rStyle w:val="Strong"/>
          <w:lang w:val="en-US"/>
        </w:rPr>
        <w:t xml:space="preserve"> a bit </w:t>
      </w:r>
      <w:proofErr w:type="gramStart"/>
      <w:r>
        <w:rPr>
          <w:rStyle w:val="Strong"/>
          <w:lang w:val="en-US"/>
        </w:rPr>
        <w:t>unclear</w:t>
      </w:r>
      <w:proofErr w:type="gramEnd"/>
      <w:r>
        <w:rPr>
          <w:rStyle w:val="Strong"/>
          <w:lang w:val="en-US"/>
        </w:rPr>
        <w:t xml:space="preserve"> </w:t>
      </w:r>
      <w:r w:rsidRPr="00D02627">
        <w:rPr>
          <w:rStyle w:val="Strong"/>
          <w:lang w:val="en-US"/>
        </w:rPr>
        <w:sym w:font="Wingdings" w:char="F0E0"/>
      </w:r>
      <w:r>
        <w:rPr>
          <w:rStyle w:val="Strong"/>
          <w:lang w:val="en-US"/>
        </w:rPr>
        <w:t xml:space="preserve"> no clear benchmark </w:t>
      </w:r>
    </w:p>
    <w:p w14:paraId="66C7E5CC" w14:textId="7AEE68F9" w:rsidR="00D02627" w:rsidRDefault="00D02627" w:rsidP="00F06DD6">
      <w:pPr>
        <w:rPr>
          <w:rStyle w:val="Strong"/>
          <w:lang w:val="en-US"/>
        </w:rPr>
      </w:pPr>
      <w:r w:rsidRPr="00D02627">
        <w:rPr>
          <w:rStyle w:val="Strong"/>
          <w:lang w:val="en-US"/>
        </w:rPr>
        <w:sym w:font="Wingdings" w:char="F0E0"/>
      </w:r>
      <w:r>
        <w:rPr>
          <w:rStyle w:val="Strong"/>
          <w:lang w:val="en-US"/>
        </w:rPr>
        <w:t xml:space="preserve"> how big the limit is </w:t>
      </w:r>
      <w:r w:rsidRPr="00D02627">
        <w:rPr>
          <w:rStyle w:val="Strong"/>
          <w:lang w:val="en-US"/>
        </w:rPr>
        <w:sym w:font="Wingdings" w:char="F0E0"/>
      </w:r>
      <w:r>
        <w:rPr>
          <w:rStyle w:val="Strong"/>
          <w:lang w:val="en-US"/>
        </w:rPr>
        <w:t xml:space="preserve"> test </w:t>
      </w:r>
      <w:r w:rsidRPr="00D02627">
        <w:rPr>
          <w:rStyle w:val="Strong"/>
          <w:lang w:val="en-US"/>
        </w:rPr>
        <w:sym w:font="Wingdings" w:char="F0E0"/>
      </w:r>
      <w:r>
        <w:rPr>
          <w:rStyle w:val="Strong"/>
          <w:lang w:val="en-US"/>
        </w:rPr>
        <w:t xml:space="preserve"> economic elements </w:t>
      </w:r>
      <w:r w:rsidRPr="00D02627">
        <w:rPr>
          <w:rStyle w:val="Strong"/>
          <w:lang w:val="en-US"/>
        </w:rPr>
        <w:sym w:font="Wingdings" w:char="F0E0"/>
      </w:r>
      <w:r>
        <w:rPr>
          <w:rStyle w:val="Strong"/>
          <w:lang w:val="en-US"/>
        </w:rPr>
        <w:t xml:space="preserve"> data </w:t>
      </w:r>
      <w:r w:rsidRPr="00D02627">
        <w:rPr>
          <w:rStyle w:val="Strong"/>
          <w:lang w:val="en-US"/>
        </w:rPr>
        <w:sym w:font="Wingdings" w:char="F0E0"/>
      </w:r>
      <w:r>
        <w:rPr>
          <w:rStyle w:val="Strong"/>
          <w:lang w:val="en-US"/>
        </w:rPr>
        <w:t xml:space="preserve"> impact on cross-border flows </w:t>
      </w:r>
    </w:p>
    <w:p w14:paraId="12EA205B" w14:textId="77777777" w:rsidR="00E147D1" w:rsidRDefault="00E147D1" w:rsidP="00E147D1">
      <w:r>
        <w:rPr>
          <w:rStyle w:val="Strong"/>
        </w:rPr>
        <w:t>Overview of the Shift Beyond Discrimination</w:t>
      </w:r>
      <w:r>
        <w:t xml:space="preserve"> </w:t>
      </w:r>
    </w:p>
    <w:p w14:paraId="36B6494D" w14:textId="77777777" w:rsidR="00E80F99" w:rsidRDefault="00E80F99" w:rsidP="00E80F99">
      <w:pPr>
        <w:pStyle w:val="break-words"/>
      </w:pPr>
      <w:r>
        <w:rPr>
          <w:rStyle w:val="Strong"/>
        </w:rPr>
        <w:t>What Happened</w:t>
      </w:r>
      <w:r>
        <w:t>: The European Court of Justice (ECJ) has expanded its scrutiny under Articles 49, 56, and 54 TFEU, moving beyond direct and indirect discrimination to include non-discriminatory restrictions on services and establishment that hinder or make less attractive these freedoms.</w:t>
      </w:r>
    </w:p>
    <w:p w14:paraId="1C819037" w14:textId="77777777" w:rsidR="00E80F99" w:rsidRDefault="00E80F99" w:rsidP="00E80F99">
      <w:r>
        <w:rPr>
          <w:rStyle w:val="Strong"/>
        </w:rPr>
        <w:t xml:space="preserve">Key Example - </w:t>
      </w:r>
      <w:proofErr w:type="spellStart"/>
      <w:r>
        <w:rPr>
          <w:rStyle w:val="Strong"/>
        </w:rPr>
        <w:t>Gebhard</w:t>
      </w:r>
      <w:proofErr w:type="spellEnd"/>
      <w:r>
        <w:rPr>
          <w:rStyle w:val="Strong"/>
        </w:rPr>
        <w:t xml:space="preserve"> (C-55/94)</w:t>
      </w:r>
      <w:r>
        <w:t xml:space="preserve">: </w:t>
      </w:r>
    </w:p>
    <w:p w14:paraId="59F4826A" w14:textId="065B2568" w:rsidR="00E80F99" w:rsidRPr="00E80F99" w:rsidRDefault="00E80F99" w:rsidP="00E80F99">
      <w:pPr>
        <w:rPr>
          <w:rStyle w:val="Strong"/>
          <w:b w:val="0"/>
          <w:bCs w:val="0"/>
        </w:rPr>
      </w:pPr>
      <w:r w:rsidRPr="00E80F99">
        <w:rPr>
          <w:rStyle w:val="Strong"/>
          <w:b w:val="0"/>
          <w:bCs w:val="0"/>
          <w:lang w:val="en-US"/>
        </w:rPr>
        <w:sym w:font="Wingdings" w:char="F0E0"/>
      </w:r>
      <w:r>
        <w:rPr>
          <w:rStyle w:val="Strong"/>
          <w:b w:val="0"/>
          <w:bCs w:val="0"/>
          <w:lang w:val="en-US"/>
        </w:rPr>
        <w:t xml:space="preserve"> </w:t>
      </w:r>
      <w:r>
        <w:t xml:space="preserve">A German lawyer, Reinhard </w:t>
      </w:r>
      <w:proofErr w:type="spellStart"/>
      <w:r>
        <w:t>Gebhard</w:t>
      </w:r>
      <w:proofErr w:type="spellEnd"/>
      <w:r>
        <w:t>, set up a practice in Italy but faced trouble for using the title “</w:t>
      </w:r>
      <w:proofErr w:type="spellStart"/>
      <w:r>
        <w:t>avvocato</w:t>
      </w:r>
      <w:proofErr w:type="spellEnd"/>
      <w:r>
        <w:t>” without joining the Italian bar, as required by local law.</w:t>
      </w:r>
    </w:p>
    <w:p w14:paraId="05F96A60" w14:textId="77777777" w:rsidR="00E80F99" w:rsidRPr="00E147D1" w:rsidRDefault="00E80F99" w:rsidP="00E80F99">
      <w:pPr>
        <w:rPr>
          <w:rStyle w:val="Strong"/>
          <w:b w:val="0"/>
          <w:bCs w:val="0"/>
          <w:lang w:val="en-US"/>
        </w:rPr>
      </w:pPr>
      <w:r w:rsidRPr="00E147D1">
        <w:rPr>
          <w:rStyle w:val="Strong"/>
          <w:b w:val="0"/>
          <w:bCs w:val="0"/>
          <w:lang w:val="en-US"/>
        </w:rPr>
        <w:sym w:font="Wingdings" w:char="F0E0"/>
      </w:r>
      <w:r w:rsidRPr="00E147D1">
        <w:rPr>
          <w:rStyle w:val="Strong"/>
          <w:b w:val="0"/>
          <w:bCs w:val="0"/>
          <w:lang w:val="en-US"/>
        </w:rPr>
        <w:t xml:space="preserve"> the court held that the right of establishment in another country must comply with relevant </w:t>
      </w:r>
      <w:proofErr w:type="gramStart"/>
      <w:r w:rsidRPr="00E147D1">
        <w:rPr>
          <w:rStyle w:val="Strong"/>
          <w:b w:val="0"/>
          <w:bCs w:val="0"/>
          <w:lang w:val="en-US"/>
        </w:rPr>
        <w:t>requir</w:t>
      </w:r>
      <w:r>
        <w:rPr>
          <w:rStyle w:val="Strong"/>
          <w:b w:val="0"/>
          <w:bCs w:val="0"/>
          <w:lang w:val="en-US"/>
        </w:rPr>
        <w:t>e</w:t>
      </w:r>
      <w:r w:rsidRPr="00E147D1">
        <w:rPr>
          <w:rStyle w:val="Strong"/>
          <w:b w:val="0"/>
          <w:bCs w:val="0"/>
          <w:lang w:val="en-US"/>
        </w:rPr>
        <w:t>ments, but</w:t>
      </w:r>
      <w:proofErr w:type="gramEnd"/>
      <w:r w:rsidRPr="00E147D1">
        <w:rPr>
          <w:rStyle w:val="Strong"/>
          <w:b w:val="0"/>
          <w:bCs w:val="0"/>
          <w:lang w:val="en-US"/>
        </w:rPr>
        <w:t xml:space="preserve"> measures liable to hinder or make less attractive the exercise of fundamental freedoms guarantee</w:t>
      </w:r>
      <w:r>
        <w:rPr>
          <w:rStyle w:val="Strong"/>
          <w:b w:val="0"/>
          <w:bCs w:val="0"/>
          <w:lang w:val="en-US"/>
        </w:rPr>
        <w:t>d</w:t>
      </w:r>
      <w:r w:rsidRPr="00E147D1">
        <w:rPr>
          <w:rStyle w:val="Strong"/>
          <w:b w:val="0"/>
          <w:bCs w:val="0"/>
          <w:lang w:val="en-US"/>
        </w:rPr>
        <w:t xml:space="preserve"> by the treaty must be discriminatory, justified in the general interest and suitable for and proportionate to their objective. </w:t>
      </w:r>
    </w:p>
    <w:p w14:paraId="4C72A218" w14:textId="77777777" w:rsidR="00E80F99" w:rsidRPr="00E147D1" w:rsidRDefault="00E80F99" w:rsidP="00E80F99">
      <w:pPr>
        <w:rPr>
          <w:rStyle w:val="Strong"/>
          <w:b w:val="0"/>
          <w:bCs w:val="0"/>
          <w:lang w:val="en-US"/>
        </w:rPr>
      </w:pPr>
    </w:p>
    <w:p w14:paraId="64C1410E" w14:textId="02C7B514" w:rsidR="00E80F99" w:rsidRPr="00E147D1" w:rsidRDefault="00E80F99" w:rsidP="00E80F99">
      <w:pPr>
        <w:rPr>
          <w:rStyle w:val="Strong"/>
          <w:b w:val="0"/>
          <w:bCs w:val="0"/>
          <w:lang w:val="en-US"/>
        </w:rPr>
      </w:pPr>
      <w:r w:rsidRPr="00E80F99">
        <w:rPr>
          <w:rStyle w:val="Strong"/>
          <w:b w:val="0"/>
          <w:bCs w:val="0"/>
          <w:lang w:val="en-US"/>
        </w:rPr>
        <w:sym w:font="Wingdings" w:char="F0E0"/>
      </w:r>
      <w:r>
        <w:rPr>
          <w:rStyle w:val="Strong"/>
          <w:b w:val="0"/>
          <w:bCs w:val="0"/>
          <w:lang w:val="en-US"/>
        </w:rPr>
        <w:t xml:space="preserve"> </w:t>
      </w:r>
      <w:proofErr w:type="spellStart"/>
      <w:r w:rsidRPr="00E147D1">
        <w:rPr>
          <w:rStyle w:val="Strong"/>
          <w:b w:val="0"/>
          <w:bCs w:val="0"/>
          <w:lang w:val="en-US"/>
        </w:rPr>
        <w:t>Gebhard</w:t>
      </w:r>
      <w:proofErr w:type="spellEnd"/>
      <w:r w:rsidRPr="00E147D1">
        <w:rPr>
          <w:rStyle w:val="Strong"/>
          <w:b w:val="0"/>
          <w:bCs w:val="0"/>
          <w:lang w:val="en-US"/>
        </w:rPr>
        <w:t xml:space="preserve"> extends art 49 beyond inequality of treatment to include restriction raising unnecessary obstacles to freedom of establishment. Any measures hindering or making less attractive the exercise of right, including those which are equally applicable to host state nationals must be objectively justified and proportionate. </w:t>
      </w:r>
    </w:p>
    <w:p w14:paraId="78918985" w14:textId="64E99F82" w:rsidR="00E80F99" w:rsidRDefault="00E80F99" w:rsidP="00E80F99">
      <w:pPr>
        <w:pStyle w:val="break-words"/>
      </w:pPr>
      <w:r>
        <w:rPr>
          <w:rStyle w:val="Strong"/>
        </w:rPr>
        <w:t>Another Example - Alpine Investments (C-384/93)</w:t>
      </w:r>
      <w:r>
        <w:t>: A Dutch company was banned from cold-calling clients, including those abroad, under a Dutch rule. The ECJ ruled this limited Article 56 TFEU’s service freedom, even though it wasn’t discriminatory, because it blocked access to other EU markets. This showed the Court cared about practical obstacles, not just unequal treatment.</w:t>
      </w:r>
    </w:p>
    <w:p w14:paraId="0255B6BF" w14:textId="77777777" w:rsidR="00E80F99" w:rsidRDefault="00E80F99" w:rsidP="00E80F99">
      <w:pPr>
        <w:pStyle w:val="break-words"/>
      </w:pPr>
      <w:r>
        <w:rPr>
          <w:rStyle w:val="Strong"/>
        </w:rPr>
        <w:t>Why It’s a Shift</w:t>
      </w:r>
      <w:r>
        <w:t xml:space="preserve">: Before, the ECJ focused on stopping discrimination—like treating a German lawyer worse than an Italian one. Now, with </w:t>
      </w:r>
      <w:proofErr w:type="spellStart"/>
      <w:r>
        <w:rPr>
          <w:rStyle w:val="Emphasis"/>
        </w:rPr>
        <w:t>Gebhard</w:t>
      </w:r>
      <w:proofErr w:type="spellEnd"/>
      <w:r>
        <w:t xml:space="preserve"> and </w:t>
      </w:r>
      <w:r>
        <w:rPr>
          <w:rStyle w:val="Emphasis"/>
        </w:rPr>
        <w:t>Alpine</w:t>
      </w:r>
      <w:r>
        <w:t>, it tackles any barrier, even fair ones, if they slow down EU-wide work or services, expanding the Treaty’s reach.</w:t>
      </w:r>
    </w:p>
    <w:p w14:paraId="2D50616E" w14:textId="77777777" w:rsidR="00E80F99" w:rsidRDefault="00E80F99" w:rsidP="00E80F99">
      <w:pPr>
        <w:pStyle w:val="Heading4"/>
      </w:pPr>
      <w:r>
        <w:t>Positive Aspects: Opening Doors and Protecting Rights</w:t>
      </w:r>
    </w:p>
    <w:p w14:paraId="7FB67A99" w14:textId="77777777" w:rsidR="00E80F99" w:rsidRDefault="00E80F99" w:rsidP="00E80F99">
      <w:pPr>
        <w:pStyle w:val="break-words"/>
      </w:pPr>
      <w:r>
        <w:rPr>
          <w:rStyle w:val="Strong"/>
        </w:rPr>
        <w:t xml:space="preserve">Helping Professionals Move - </w:t>
      </w:r>
      <w:proofErr w:type="spellStart"/>
      <w:r>
        <w:rPr>
          <w:rStyle w:val="Strong"/>
        </w:rPr>
        <w:t>Thieffry</w:t>
      </w:r>
      <w:proofErr w:type="spellEnd"/>
      <w:r>
        <w:rPr>
          <w:rStyle w:val="Strong"/>
        </w:rPr>
        <w:t xml:space="preserve"> Example</w:t>
      </w:r>
      <w:r>
        <w:t xml:space="preserve">: </w:t>
      </w:r>
    </w:p>
    <w:p w14:paraId="168A34EC" w14:textId="77777777" w:rsidR="00E80F99" w:rsidRDefault="00E80F99" w:rsidP="00E80F99">
      <w:pPr>
        <w:pStyle w:val="break-words"/>
      </w:pPr>
      <w:r>
        <w:rPr>
          <w:rStyle w:val="Strong"/>
        </w:rPr>
        <w:t>Argument</w:t>
      </w:r>
      <w:r>
        <w:t>: Rules like needing local qualifications can stop professionals from working abroad, even if fair. The ECJ’s new approach helps by checking these rules.</w:t>
      </w:r>
    </w:p>
    <w:p w14:paraId="4F1D0671" w14:textId="77777777" w:rsidR="00E80F99" w:rsidRDefault="00E80F99" w:rsidP="00E80F99">
      <w:pPr>
        <w:pStyle w:val="break-words"/>
      </w:pPr>
      <w:r>
        <w:rPr>
          <w:rStyle w:val="Strong"/>
        </w:rPr>
        <w:t xml:space="preserve">Case - </w:t>
      </w:r>
      <w:proofErr w:type="spellStart"/>
      <w:r>
        <w:rPr>
          <w:rStyle w:val="Strong"/>
        </w:rPr>
        <w:t>Thieffry</w:t>
      </w:r>
      <w:proofErr w:type="spellEnd"/>
      <w:r>
        <w:rPr>
          <w:rStyle w:val="Strong"/>
        </w:rPr>
        <w:t xml:space="preserve"> (C-71/76)</w:t>
      </w:r>
      <w:r>
        <w:t xml:space="preserve">: A Belgian lawyer, </w:t>
      </w:r>
      <w:proofErr w:type="spellStart"/>
      <w:r>
        <w:t>Thieffry</w:t>
      </w:r>
      <w:proofErr w:type="spellEnd"/>
      <w:r>
        <w:t>, was denied Paris bar admission because he lacked French qualifications, despite France recognizing his Belgian ones as equal. The ECJ held this broke Article 49 TFEU (then Article 52 EEC) as an unjustified barrier, not discrimination, since it stopped him practicing despite his skills.</w:t>
      </w:r>
    </w:p>
    <w:p w14:paraId="278D0C8C" w14:textId="77777777" w:rsidR="00E80F99" w:rsidRDefault="00E80F99" w:rsidP="00E80F99">
      <w:pPr>
        <w:pStyle w:val="break-words"/>
      </w:pPr>
      <w:r>
        <w:rPr>
          <w:rStyle w:val="Strong"/>
        </w:rPr>
        <w:lastRenderedPageBreak/>
        <w:t>Why It’s Good</w:t>
      </w:r>
      <w:r>
        <w:t xml:space="preserve">: This protects people like </w:t>
      </w:r>
      <w:proofErr w:type="spellStart"/>
      <w:r>
        <w:t>Gebhard</w:t>
      </w:r>
      <w:proofErr w:type="spellEnd"/>
      <w:r>
        <w:t xml:space="preserve"> or </w:t>
      </w:r>
      <w:proofErr w:type="spellStart"/>
      <w:r>
        <w:t>Thieffry</w:t>
      </w:r>
      <w:proofErr w:type="spellEnd"/>
      <w:r>
        <w:t>, ensuring qualifications don’t unfairly block EU movement. It’s fairer for professionals and boosts job opportunities across borders.</w:t>
      </w:r>
    </w:p>
    <w:p w14:paraId="6927151F" w14:textId="77777777" w:rsidR="00E80F99" w:rsidRDefault="00E80F99" w:rsidP="00E80F99">
      <w:pPr>
        <w:pStyle w:val="break-words"/>
      </w:pPr>
      <w:r>
        <w:rPr>
          <w:rStyle w:val="Strong"/>
        </w:rPr>
        <w:t>Building a United Market</w:t>
      </w:r>
      <w:r>
        <w:t xml:space="preserve">: </w:t>
      </w:r>
    </w:p>
    <w:p w14:paraId="1B62444B" w14:textId="77777777" w:rsidR="00E80F99" w:rsidRDefault="00E80F99" w:rsidP="00E80F99">
      <w:pPr>
        <w:pStyle w:val="break-words"/>
      </w:pPr>
      <w:r>
        <w:rPr>
          <w:rStyle w:val="Strong"/>
        </w:rPr>
        <w:t>Argument</w:t>
      </w:r>
      <w:r>
        <w:t>: The EU wants a single market with no walls (Article 3(3) TEU and Article 26 TFEU). By tackling all barriers, not just unfair ones, the ECJ makes this happen.</w:t>
      </w:r>
    </w:p>
    <w:p w14:paraId="23E2B8A8" w14:textId="77777777" w:rsidR="00E80F99" w:rsidRDefault="00E80F99" w:rsidP="00E80F99">
      <w:pPr>
        <w:pStyle w:val="break-words"/>
      </w:pPr>
      <w:r>
        <w:rPr>
          <w:rStyle w:val="Strong"/>
        </w:rPr>
        <w:t>Case - SEVIC Systems (C-411/03)</w:t>
      </w:r>
      <w:r>
        <w:t>: A German company wanted to merge with a Luxembourg one, but Germany refused to register it, though it allowed local mergers. The ECJ said this broke Articles 43 and 48 EC (now 49 and 54 TFEU) by blocking cross-border business growth, even though it wasn’t discriminatory.</w:t>
      </w:r>
    </w:p>
    <w:p w14:paraId="4BD2BC7A" w14:textId="77777777" w:rsidR="00E80F99" w:rsidRDefault="00E80F99" w:rsidP="00E80F99">
      <w:pPr>
        <w:pStyle w:val="break-words"/>
      </w:pPr>
      <w:r>
        <w:rPr>
          <w:rStyle w:val="Strong"/>
        </w:rPr>
        <w:t>Why It’s Good</w:t>
      </w:r>
      <w:r>
        <w:t xml:space="preserve">: It helps companies mix and grow across the EU, like in </w:t>
      </w:r>
      <w:r>
        <w:rPr>
          <w:rStyle w:val="Emphasis"/>
        </w:rPr>
        <w:t>SEVIC</w:t>
      </w:r>
      <w:r>
        <w:t>, making the market stronger and more connected, which the Treaty aims for.</w:t>
      </w:r>
    </w:p>
    <w:p w14:paraId="6E957E0B" w14:textId="77777777" w:rsidR="00E80F99" w:rsidRDefault="00E80F99" w:rsidP="00E80F99">
      <w:pPr>
        <w:pStyle w:val="break-words"/>
      </w:pPr>
      <w:r>
        <w:rPr>
          <w:rStyle w:val="Strong"/>
        </w:rPr>
        <w:t xml:space="preserve">Boosting Freedom - </w:t>
      </w:r>
      <w:proofErr w:type="spellStart"/>
      <w:r>
        <w:rPr>
          <w:rStyle w:val="Strong"/>
        </w:rPr>
        <w:t>Centros</w:t>
      </w:r>
      <w:proofErr w:type="spellEnd"/>
      <w:r>
        <w:rPr>
          <w:rStyle w:val="Strong"/>
        </w:rPr>
        <w:t xml:space="preserve"> and </w:t>
      </w:r>
      <w:proofErr w:type="spellStart"/>
      <w:r>
        <w:rPr>
          <w:rStyle w:val="Strong"/>
        </w:rPr>
        <w:t>Spaventa’s</w:t>
      </w:r>
      <w:proofErr w:type="spellEnd"/>
      <w:r>
        <w:rPr>
          <w:rStyle w:val="Strong"/>
        </w:rPr>
        <w:t xml:space="preserve"> View</w:t>
      </w:r>
      <w:r>
        <w:t xml:space="preserve">: </w:t>
      </w:r>
    </w:p>
    <w:p w14:paraId="78115125" w14:textId="77777777" w:rsidR="00E80F99" w:rsidRDefault="00E80F99" w:rsidP="00E80F99">
      <w:pPr>
        <w:pStyle w:val="break-words"/>
      </w:pPr>
      <w:r>
        <w:rPr>
          <w:rStyle w:val="Strong"/>
        </w:rPr>
        <w:t>Argument</w:t>
      </w:r>
      <w:r>
        <w:t>: People and companies get more choice, and the ECJ protects them from tough rules, acting like a rights guardian.</w:t>
      </w:r>
    </w:p>
    <w:p w14:paraId="4B6300E3" w14:textId="77777777" w:rsidR="00E80F99" w:rsidRDefault="00E80F99" w:rsidP="00E80F99">
      <w:pPr>
        <w:pStyle w:val="break-words"/>
      </w:pPr>
      <w:r>
        <w:rPr>
          <w:rStyle w:val="Strong"/>
        </w:rPr>
        <w:t xml:space="preserve">Case - </w:t>
      </w:r>
      <w:proofErr w:type="spellStart"/>
      <w:r>
        <w:rPr>
          <w:rStyle w:val="Strong"/>
        </w:rPr>
        <w:t>Centros</w:t>
      </w:r>
      <w:proofErr w:type="spellEnd"/>
      <w:r>
        <w:rPr>
          <w:rStyle w:val="Strong"/>
        </w:rPr>
        <w:t xml:space="preserve"> (C-212/97)</w:t>
      </w:r>
      <w:r>
        <w:t>: A UK company set up a Danish branch to avoid Denmark’s high capital rules. The ECJ upheld this under Articles 49 and 54 TFEU, saying it’s part of EU freedom, even if it skips local laws.</w:t>
      </w:r>
    </w:p>
    <w:p w14:paraId="3025D577" w14:textId="77777777" w:rsidR="00E80F99" w:rsidRDefault="00E80F99" w:rsidP="00E80F99">
      <w:pPr>
        <w:pStyle w:val="break-words"/>
      </w:pPr>
      <w:proofErr w:type="spellStart"/>
      <w:r>
        <w:rPr>
          <w:rStyle w:val="Strong"/>
        </w:rPr>
        <w:t>Spaventa’s</w:t>
      </w:r>
      <w:proofErr w:type="spellEnd"/>
      <w:r>
        <w:rPr>
          <w:rStyle w:val="Strong"/>
        </w:rPr>
        <w:t xml:space="preserve"> Point (</w:t>
      </w:r>
      <w:r>
        <w:rPr>
          <w:rStyle w:val="Emphasis"/>
          <w:b/>
          <w:bCs/>
        </w:rPr>
        <w:t>CML Rev. 2004</w:t>
      </w:r>
      <w:r>
        <w:rPr>
          <w:rStyle w:val="Strong"/>
        </w:rPr>
        <w:t>)</w:t>
      </w:r>
      <w:r>
        <w:t xml:space="preserve">: In </w:t>
      </w:r>
      <w:proofErr w:type="spellStart"/>
      <w:r>
        <w:rPr>
          <w:rStyle w:val="Emphasis"/>
        </w:rPr>
        <w:t>Gebhard</w:t>
      </w:r>
      <w:proofErr w:type="spellEnd"/>
      <w:r>
        <w:t xml:space="preserve">, </w:t>
      </w:r>
      <w:proofErr w:type="spellStart"/>
      <w:r>
        <w:t>Spaventa</w:t>
      </w:r>
      <w:proofErr w:type="spellEnd"/>
      <w:r>
        <w:t xml:space="preserve"> sees the ECJ acting like a constitutional court, shielding individuals from overstrict rules (e.g., Italy’s bar rule), not just fixing unfairness.</w:t>
      </w:r>
    </w:p>
    <w:p w14:paraId="367AF745" w14:textId="77777777" w:rsidR="00E80F99" w:rsidRDefault="00E80F99" w:rsidP="00E80F99">
      <w:pPr>
        <w:pStyle w:val="break-words"/>
      </w:pPr>
      <w:r>
        <w:rPr>
          <w:rStyle w:val="Strong"/>
        </w:rPr>
        <w:t>Why It’s Good</w:t>
      </w:r>
      <w:r>
        <w:t xml:space="preserve">: It gives freedom to work or run businesses your way, as in </w:t>
      </w:r>
      <w:proofErr w:type="spellStart"/>
      <w:r>
        <w:rPr>
          <w:rStyle w:val="Emphasis"/>
        </w:rPr>
        <w:t>Centros</w:t>
      </w:r>
      <w:proofErr w:type="spellEnd"/>
      <w:r>
        <w:t>, and protects rights beyond economics, making the EU more people-focused.</w:t>
      </w:r>
    </w:p>
    <w:p w14:paraId="266CDF05" w14:textId="77777777" w:rsidR="00E80F99" w:rsidRDefault="00E80F99" w:rsidP="00E80F99">
      <w:pPr>
        <w:pStyle w:val="Heading4"/>
      </w:pPr>
      <w:r>
        <w:t>Challenges: Countries Losing Control</w:t>
      </w:r>
    </w:p>
    <w:p w14:paraId="39B48B33" w14:textId="77777777" w:rsidR="00E80F99" w:rsidRDefault="00E80F99" w:rsidP="00E80F99">
      <w:pPr>
        <w:pStyle w:val="break-words"/>
      </w:pPr>
      <w:r>
        <w:rPr>
          <w:rStyle w:val="Strong"/>
        </w:rPr>
        <w:t>Regulatory Autonomy at Risk</w:t>
      </w:r>
      <w:r>
        <w:t xml:space="preserve">: </w:t>
      </w:r>
    </w:p>
    <w:p w14:paraId="5E4CE8D6" w14:textId="77777777" w:rsidR="00E80F99" w:rsidRDefault="00E80F99" w:rsidP="00E80F99">
      <w:pPr>
        <w:pStyle w:val="break-words"/>
      </w:pPr>
      <w:r>
        <w:rPr>
          <w:rStyle w:val="Strong"/>
        </w:rPr>
        <w:t>Argument</w:t>
      </w:r>
      <w:r>
        <w:t>: Countries can set rules for good reasons (Articles 51 and 52 TFEU allow this for official roles or public safety), but now even fair rules get questioned, reducing their power.</w:t>
      </w:r>
    </w:p>
    <w:p w14:paraId="478D3441" w14:textId="77777777" w:rsidR="00E80F99" w:rsidRDefault="00E80F99" w:rsidP="00E80F99">
      <w:pPr>
        <w:pStyle w:val="break-words"/>
      </w:pPr>
      <w:r>
        <w:rPr>
          <w:rStyle w:val="Strong"/>
        </w:rPr>
        <w:t xml:space="preserve">Case - </w:t>
      </w:r>
      <w:proofErr w:type="spellStart"/>
      <w:r>
        <w:rPr>
          <w:rStyle w:val="Strong"/>
        </w:rPr>
        <w:t>CaixaBank</w:t>
      </w:r>
      <w:proofErr w:type="spellEnd"/>
      <w:r>
        <w:rPr>
          <w:rStyle w:val="Strong"/>
        </w:rPr>
        <w:t xml:space="preserve"> France (C-442/02)</w:t>
      </w:r>
      <w:r>
        <w:t>: France banned paying interest on bank accounts for all firms, aiming to protect consumers. The ECJ said this broke Article 43 EC (now 49 TFEU) by making it less appealing to set up there, even though it wasn’t unfair.</w:t>
      </w:r>
    </w:p>
    <w:p w14:paraId="0F1A8BA4" w14:textId="77777777" w:rsidR="00E80F99" w:rsidRDefault="00E80F99" w:rsidP="00E80F99">
      <w:pPr>
        <w:pStyle w:val="break-words"/>
      </w:pPr>
      <w:r>
        <w:rPr>
          <w:rStyle w:val="Strong"/>
        </w:rPr>
        <w:t>Case - Payroll Data Services (C-79/01)</w:t>
      </w:r>
      <w:r>
        <w:t>: Italy limited payroll work to certain experts, applied to all. The ECJ found it too restrictive under Article 49 TFEU, despite no EU-specific issue, cutting into Italy’s rule-making.</w:t>
      </w:r>
    </w:p>
    <w:p w14:paraId="086BC6E2" w14:textId="77777777" w:rsidR="00E80F99" w:rsidRDefault="00E80F99" w:rsidP="00E80F99">
      <w:pPr>
        <w:pStyle w:val="break-words"/>
      </w:pPr>
      <w:proofErr w:type="spellStart"/>
      <w:r>
        <w:rPr>
          <w:rStyle w:val="Strong"/>
        </w:rPr>
        <w:t>Spaventa’s</w:t>
      </w:r>
      <w:proofErr w:type="spellEnd"/>
      <w:r>
        <w:rPr>
          <w:rStyle w:val="Strong"/>
        </w:rPr>
        <w:t xml:space="preserve"> Worry</w:t>
      </w:r>
      <w:r>
        <w:t xml:space="preserve">: </w:t>
      </w:r>
      <w:proofErr w:type="spellStart"/>
      <w:r>
        <w:t>Spaventa</w:t>
      </w:r>
      <w:proofErr w:type="spellEnd"/>
      <w:r>
        <w:t xml:space="preserve"> says </w:t>
      </w:r>
      <w:proofErr w:type="spellStart"/>
      <w:r>
        <w:rPr>
          <w:rStyle w:val="Emphasis"/>
        </w:rPr>
        <w:t>Gebhard</w:t>
      </w:r>
      <w:r>
        <w:t>’s</w:t>
      </w:r>
      <w:proofErr w:type="spellEnd"/>
      <w:r>
        <w:t xml:space="preserve"> wide test—any rule making things harder—goes too far, risking national control over things like banking or jobs.</w:t>
      </w:r>
    </w:p>
    <w:p w14:paraId="29B97756" w14:textId="77777777" w:rsidR="00E80F99" w:rsidRDefault="00E80F99" w:rsidP="00E80F99">
      <w:pPr>
        <w:pStyle w:val="break-words"/>
      </w:pPr>
      <w:r>
        <w:rPr>
          <w:rStyle w:val="Strong"/>
        </w:rPr>
        <w:lastRenderedPageBreak/>
        <w:t>Why It’s a Problem</w:t>
      </w:r>
      <w:r>
        <w:t xml:space="preserve">: Countries might lose the ability to shape their own systems, as </w:t>
      </w:r>
      <w:proofErr w:type="spellStart"/>
      <w:r>
        <w:rPr>
          <w:rStyle w:val="Emphasis"/>
        </w:rPr>
        <w:t>CaixaBank</w:t>
      </w:r>
      <w:proofErr w:type="spellEnd"/>
      <w:r>
        <w:t xml:space="preserve"> shows, which could upset local needs and plans.</w:t>
      </w:r>
    </w:p>
    <w:p w14:paraId="4B23F0AA" w14:textId="77777777" w:rsidR="00E80F99" w:rsidRDefault="00E80F99" w:rsidP="00E80F99">
      <w:pPr>
        <w:pStyle w:val="break-words"/>
      </w:pPr>
      <w:r>
        <w:rPr>
          <w:rStyle w:val="Strong"/>
        </w:rPr>
        <w:t>Hard to Predict - Legal Uncertainty</w:t>
      </w:r>
      <w:r>
        <w:t xml:space="preserve">: </w:t>
      </w:r>
    </w:p>
    <w:p w14:paraId="3CD47C1B" w14:textId="77777777" w:rsidR="00E80F99" w:rsidRDefault="00E80F99" w:rsidP="00E80F99">
      <w:pPr>
        <w:pStyle w:val="break-words"/>
      </w:pPr>
      <w:r>
        <w:rPr>
          <w:rStyle w:val="Strong"/>
        </w:rPr>
        <w:t>Argument</w:t>
      </w:r>
      <w:r>
        <w:t>: It’s unclear what counts as a “barrier,” so countries don’t know when the ECJ will step in, causing confusion.</w:t>
      </w:r>
    </w:p>
    <w:p w14:paraId="3EA9E330" w14:textId="77777777" w:rsidR="00E80F99" w:rsidRDefault="00E80F99" w:rsidP="00E80F99">
      <w:pPr>
        <w:pStyle w:val="break-words"/>
      </w:pPr>
      <w:r>
        <w:rPr>
          <w:rStyle w:val="Strong"/>
        </w:rPr>
        <w:t>Case - Gourmet International Products (C-405/98)</w:t>
      </w:r>
      <w:r>
        <w:t>: Sweden banned alcohol ads in magazines, fair to all, but the ECJ said it might limit Articles 28 and 49 EC (now 34 and 56 TFEU) trade and services, leaving it vague for courts to decide if it’s fair.</w:t>
      </w:r>
    </w:p>
    <w:p w14:paraId="167D77F0" w14:textId="77777777" w:rsidR="00E80F99" w:rsidRDefault="00E80F99" w:rsidP="00E80F99">
      <w:pPr>
        <w:pStyle w:val="break-words"/>
      </w:pPr>
      <w:r>
        <w:rPr>
          <w:rStyle w:val="Strong"/>
        </w:rPr>
        <w:t>Case - Casa Uno (C-418/93)</w:t>
      </w:r>
      <w:r>
        <w:t xml:space="preserve">: The ECJ said some rules are too vague to count, but this exception is blurry, as </w:t>
      </w:r>
      <w:proofErr w:type="spellStart"/>
      <w:r>
        <w:t>Spaventa</w:t>
      </w:r>
      <w:proofErr w:type="spellEnd"/>
      <w:r>
        <w:t xml:space="preserve"> notes, leaving Treaty edges fuzzy.</w:t>
      </w:r>
    </w:p>
    <w:p w14:paraId="666F014F" w14:textId="77777777" w:rsidR="00E80F99" w:rsidRDefault="00E80F99" w:rsidP="00E80F99">
      <w:pPr>
        <w:pStyle w:val="break-words"/>
      </w:pPr>
      <w:r>
        <w:rPr>
          <w:rStyle w:val="Strong"/>
        </w:rPr>
        <w:t>Why It’s a Problem</w:t>
      </w:r>
      <w:r>
        <w:t xml:space="preserve">: With </w:t>
      </w:r>
      <w:r>
        <w:rPr>
          <w:rStyle w:val="Emphasis"/>
        </w:rPr>
        <w:t>Gourmet</w:t>
      </w:r>
      <w:r>
        <w:t>’s open end, countries can’t plan rules safely, risking unexpected ECJ rulings that disrupt them.</w:t>
      </w:r>
    </w:p>
    <w:p w14:paraId="4B922CB5" w14:textId="77777777" w:rsidR="00E80F99" w:rsidRDefault="00E80F99" w:rsidP="00E80F99">
      <w:pPr>
        <w:pStyle w:val="Heading4"/>
      </w:pPr>
      <w:r>
        <w:t>Mixing Money and Personal Rights</w:t>
      </w:r>
    </w:p>
    <w:p w14:paraId="41CA0301" w14:textId="77777777" w:rsidR="00E80F99" w:rsidRDefault="00E80F99" w:rsidP="00E80F99">
      <w:pPr>
        <w:pStyle w:val="break-words"/>
      </w:pPr>
      <w:r>
        <w:rPr>
          <w:rStyle w:val="Strong"/>
        </w:rPr>
        <w:t>Economic vs. Personal Balance</w:t>
      </w:r>
      <w:r>
        <w:t xml:space="preserve">: </w:t>
      </w:r>
    </w:p>
    <w:p w14:paraId="7DE222BD" w14:textId="77777777" w:rsidR="00E80F99" w:rsidRDefault="00E80F99" w:rsidP="00E80F99">
      <w:pPr>
        <w:pStyle w:val="break-words"/>
      </w:pPr>
      <w:r>
        <w:rPr>
          <w:rStyle w:val="Strong"/>
        </w:rPr>
        <w:t>Argument</w:t>
      </w:r>
      <w:r>
        <w:t>: The ECJ now mixes work freedoms with personal rights, stretching beyond the Treaty’s business focus (Article 5 TEU limits EU powers).</w:t>
      </w:r>
    </w:p>
    <w:p w14:paraId="675BA3A5" w14:textId="77777777" w:rsidR="00E80F99" w:rsidRDefault="00E80F99" w:rsidP="00E80F99">
      <w:pPr>
        <w:pStyle w:val="break-words"/>
      </w:pPr>
      <w:r>
        <w:rPr>
          <w:rStyle w:val="Strong"/>
        </w:rPr>
        <w:t>Case - Carpenter (C-60/00)</w:t>
      </w:r>
      <w:r>
        <w:t>: A UK man’s wife faced deportation, but he offered services abroad (Article 56 TFEU). The ECJ tied this to family rights (ECHR), stopping the deportation, though the work link was thin.</w:t>
      </w:r>
    </w:p>
    <w:p w14:paraId="41A1DBDD" w14:textId="77777777" w:rsidR="00E80F99" w:rsidRDefault="00E80F99" w:rsidP="00E80F99">
      <w:pPr>
        <w:pStyle w:val="break-words"/>
      </w:pPr>
      <w:r>
        <w:rPr>
          <w:rStyle w:val="Strong"/>
        </w:rPr>
        <w:t xml:space="preserve">Case - </w:t>
      </w:r>
      <w:proofErr w:type="spellStart"/>
      <w:r>
        <w:rPr>
          <w:rStyle w:val="Strong"/>
        </w:rPr>
        <w:t>Baumbast</w:t>
      </w:r>
      <w:proofErr w:type="spellEnd"/>
      <w:r>
        <w:rPr>
          <w:rStyle w:val="Strong"/>
        </w:rPr>
        <w:t xml:space="preserve"> (C-413/99)</w:t>
      </w:r>
      <w:r>
        <w:t>: A family stayed in the UK under Article 18 TFEU citizenship rights, showing personal freedoms growing alongside work ones.</w:t>
      </w:r>
    </w:p>
    <w:p w14:paraId="797C8ED7" w14:textId="77777777" w:rsidR="00E80F99" w:rsidRDefault="00E80F99" w:rsidP="00E80F99">
      <w:pPr>
        <w:pStyle w:val="break-words"/>
      </w:pPr>
      <w:r>
        <w:rPr>
          <w:rStyle w:val="Strong"/>
        </w:rPr>
        <w:t>SEVIC Debate</w:t>
      </w:r>
      <w:r>
        <w:t xml:space="preserve">: Germany argued in </w:t>
      </w:r>
      <w:r>
        <w:rPr>
          <w:rStyle w:val="Emphasis"/>
        </w:rPr>
        <w:t>SEVIC</w:t>
      </w:r>
      <w:r>
        <w:t xml:space="preserve"> that merging firms across borders needs EU-wide rules, not just ECJ fixes, hinting at overreach.</w:t>
      </w:r>
    </w:p>
    <w:p w14:paraId="3A80BAFA" w14:textId="77777777" w:rsidR="00E80F99" w:rsidRDefault="00E80F99" w:rsidP="00E80F99">
      <w:pPr>
        <w:pStyle w:val="break-words"/>
      </w:pPr>
      <w:r>
        <w:rPr>
          <w:rStyle w:val="Strong"/>
        </w:rPr>
        <w:t>Why It’s a Problem</w:t>
      </w:r>
      <w:r>
        <w:t xml:space="preserve">: </w:t>
      </w:r>
      <w:r>
        <w:rPr>
          <w:rStyle w:val="Emphasis"/>
        </w:rPr>
        <w:t>Carpenter</w:t>
      </w:r>
      <w:r>
        <w:t xml:space="preserve"> goes beyond economics, which might overstep what the Treaty meant, confusing EU goals and powers.</w:t>
      </w:r>
    </w:p>
    <w:p w14:paraId="7791DFCF" w14:textId="77777777" w:rsidR="00E80F99" w:rsidRDefault="00E80F99" w:rsidP="00E80F99">
      <w:pPr>
        <w:pStyle w:val="Heading4"/>
      </w:pPr>
      <w:r>
        <w:t>Business Competition and Worker Worries</w:t>
      </w:r>
    </w:p>
    <w:p w14:paraId="324403FB" w14:textId="77777777" w:rsidR="00E80F99" w:rsidRDefault="00E80F99" w:rsidP="00E80F99">
      <w:pPr>
        <w:pStyle w:val="break-words"/>
      </w:pPr>
      <w:r>
        <w:rPr>
          <w:rStyle w:val="Strong"/>
        </w:rPr>
        <w:t>Regulatory Competition</w:t>
      </w:r>
      <w:r>
        <w:t xml:space="preserve">: </w:t>
      </w:r>
    </w:p>
    <w:p w14:paraId="765990B8" w14:textId="77777777" w:rsidR="00E80F99" w:rsidRDefault="00E80F99" w:rsidP="00E80F99">
      <w:pPr>
        <w:pStyle w:val="break-words"/>
      </w:pPr>
      <w:r>
        <w:rPr>
          <w:rStyle w:val="Strong"/>
        </w:rPr>
        <w:t>Argument</w:t>
      </w:r>
      <w:r>
        <w:t xml:space="preserve">: Companies can pick easier countries, pushing a “race to the bottom” where rules weaken, per the </w:t>
      </w:r>
      <w:r>
        <w:rPr>
          <w:rStyle w:val="Emphasis"/>
        </w:rPr>
        <w:t>Establishment</w:t>
      </w:r>
      <w:r>
        <w:t xml:space="preserve"> handout.</w:t>
      </w:r>
    </w:p>
    <w:p w14:paraId="6511C932" w14:textId="77777777" w:rsidR="00E80F99" w:rsidRDefault="00E80F99" w:rsidP="00E80F99">
      <w:pPr>
        <w:pStyle w:val="break-words"/>
      </w:pPr>
      <w:r>
        <w:rPr>
          <w:rStyle w:val="Strong"/>
        </w:rPr>
        <w:t>Case - Inspire Art (C-167/01)</w:t>
      </w:r>
      <w:r>
        <w:t>: A UK firm worked in the Netherlands, dodging stricter Dutch rules, allowed under Articles 49 and 54 TFEU.</w:t>
      </w:r>
    </w:p>
    <w:p w14:paraId="766061A5" w14:textId="77777777" w:rsidR="00E80F99" w:rsidRDefault="00E80F99" w:rsidP="00E80F99">
      <w:pPr>
        <w:pStyle w:val="break-words"/>
      </w:pPr>
      <w:r>
        <w:rPr>
          <w:rStyle w:val="Strong"/>
        </w:rPr>
        <w:t xml:space="preserve">Balance - Daily Mail (C-81/87) &amp; </w:t>
      </w:r>
      <w:proofErr w:type="spellStart"/>
      <w:r>
        <w:rPr>
          <w:rStyle w:val="Strong"/>
        </w:rPr>
        <w:t>Cartesio</w:t>
      </w:r>
      <w:proofErr w:type="spellEnd"/>
      <w:r>
        <w:rPr>
          <w:rStyle w:val="Strong"/>
        </w:rPr>
        <w:t xml:space="preserve"> (C-210/06)</w:t>
      </w:r>
      <w:r>
        <w:t xml:space="preserve">: These let home countries control leaving firms, but </w:t>
      </w:r>
      <w:r>
        <w:rPr>
          <w:rStyle w:val="Emphasis"/>
        </w:rPr>
        <w:t>VALE (C-378/10)</w:t>
      </w:r>
      <w:r>
        <w:t xml:space="preserve"> eased moving in, boosting mobility.</w:t>
      </w:r>
    </w:p>
    <w:p w14:paraId="6A8EF904" w14:textId="77777777" w:rsidR="00E80F99" w:rsidRDefault="00E80F99" w:rsidP="00E80F99">
      <w:pPr>
        <w:pStyle w:val="break-words"/>
      </w:pPr>
      <w:r>
        <w:rPr>
          <w:rStyle w:val="Strong"/>
        </w:rPr>
        <w:lastRenderedPageBreak/>
        <w:t>Why It’s a Problem</w:t>
      </w:r>
      <w:r>
        <w:t xml:space="preserve">: </w:t>
      </w:r>
      <w:r>
        <w:rPr>
          <w:rStyle w:val="Emphasis"/>
        </w:rPr>
        <w:t>Inspire Art</w:t>
      </w:r>
      <w:r>
        <w:t xml:space="preserve"> might make countries cut rules to compete, risking weaker standards, though it’s not proven big yet.</w:t>
      </w:r>
    </w:p>
    <w:p w14:paraId="09F3F4E2" w14:textId="77777777" w:rsidR="00E80F99" w:rsidRDefault="00E80F99" w:rsidP="00E80F99">
      <w:pPr>
        <w:pStyle w:val="break-words"/>
      </w:pPr>
      <w:r>
        <w:rPr>
          <w:rStyle w:val="Strong"/>
        </w:rPr>
        <w:t>Social Rights Clash</w:t>
      </w:r>
      <w:r>
        <w:t xml:space="preserve">: </w:t>
      </w:r>
    </w:p>
    <w:p w14:paraId="6F064130" w14:textId="77777777" w:rsidR="00E80F99" w:rsidRDefault="00E80F99" w:rsidP="00E80F99">
      <w:pPr>
        <w:pStyle w:val="break-words"/>
      </w:pPr>
      <w:r>
        <w:rPr>
          <w:rStyle w:val="Strong"/>
        </w:rPr>
        <w:t>Argument</w:t>
      </w:r>
      <w:r>
        <w:t xml:space="preserve">: Free movement can hurt workers if firms move for cheaper </w:t>
      </w:r>
      <w:proofErr w:type="spellStart"/>
      <w:r>
        <w:t>labor</w:t>
      </w:r>
      <w:proofErr w:type="spellEnd"/>
      <w:r>
        <w:t xml:space="preserve">, per the </w:t>
      </w:r>
      <w:r>
        <w:rPr>
          <w:rStyle w:val="Emphasis"/>
        </w:rPr>
        <w:t>Establishment</w:t>
      </w:r>
      <w:r>
        <w:t xml:space="preserve"> handout’s post-enlargement fears.</w:t>
      </w:r>
    </w:p>
    <w:p w14:paraId="5DFFCC64" w14:textId="77777777" w:rsidR="00E80F99" w:rsidRDefault="00E80F99" w:rsidP="00E80F99">
      <w:pPr>
        <w:pStyle w:val="break-words"/>
      </w:pPr>
      <w:r>
        <w:rPr>
          <w:rStyle w:val="Strong"/>
        </w:rPr>
        <w:t>Case - Viking (C-438/05)</w:t>
      </w:r>
      <w:r>
        <w:t xml:space="preserve">: Finnish unions fought a ship moving to Estonia for lower costs (Article 49 TFEU). The ECJ said their block was too much, </w:t>
      </w:r>
      <w:proofErr w:type="spellStart"/>
      <w:r>
        <w:t>favoring</w:t>
      </w:r>
      <w:proofErr w:type="spellEnd"/>
      <w:r>
        <w:t xml:space="preserve"> business over worker rights.</w:t>
      </w:r>
    </w:p>
    <w:p w14:paraId="3950FF35" w14:textId="77777777" w:rsidR="00E80F99" w:rsidRDefault="00E80F99" w:rsidP="00E80F99">
      <w:pPr>
        <w:pStyle w:val="break-words"/>
      </w:pPr>
      <w:r>
        <w:rPr>
          <w:rStyle w:val="Strong"/>
        </w:rPr>
        <w:t>Why It’s a Problem</w:t>
      </w:r>
      <w:r>
        <w:t xml:space="preserve">: </w:t>
      </w:r>
      <w:r>
        <w:rPr>
          <w:rStyle w:val="Emphasis"/>
        </w:rPr>
        <w:t>Viking</w:t>
      </w:r>
      <w:r>
        <w:t xml:space="preserve"> shows work freedoms trumping social protections, possibly worsening worker conditions in poorer EU areas.</w:t>
      </w:r>
    </w:p>
    <w:p w14:paraId="735B56CA" w14:textId="77777777" w:rsidR="00E80F99" w:rsidRDefault="00E80F99" w:rsidP="00E80F99">
      <w:pPr>
        <w:pStyle w:val="Heading4"/>
      </w:pPr>
      <w:r>
        <w:t>Conclusion: Good but Tricky</w:t>
      </w:r>
    </w:p>
    <w:p w14:paraId="121D689D" w14:textId="77777777" w:rsidR="00E80F99" w:rsidRDefault="00E80F99" w:rsidP="00E80F99">
      <w:pPr>
        <w:pStyle w:val="break-words"/>
        <w:numPr>
          <w:ilvl w:val="0"/>
          <w:numId w:val="82"/>
        </w:numPr>
      </w:pPr>
      <w:r>
        <w:rPr>
          <w:rStyle w:val="Strong"/>
        </w:rPr>
        <w:t>What I Think</w:t>
      </w:r>
      <w:r>
        <w:t xml:space="preserve">: The ECJ’s move beyond discrimination, as in </w:t>
      </w:r>
      <w:proofErr w:type="spellStart"/>
      <w:r>
        <w:rPr>
          <w:rStyle w:val="Emphasis"/>
        </w:rPr>
        <w:t>Gebhard</w:t>
      </w:r>
      <w:proofErr w:type="spellEnd"/>
      <w:r>
        <w:t xml:space="preserve"> and </w:t>
      </w:r>
      <w:r>
        <w:rPr>
          <w:rStyle w:val="Emphasis"/>
        </w:rPr>
        <w:t>Alpine</w:t>
      </w:r>
      <w:r>
        <w:t xml:space="preserve">, is smart—it opens the EU market and protects people like </w:t>
      </w:r>
      <w:proofErr w:type="spellStart"/>
      <w:r>
        <w:t>Thieffry</w:t>
      </w:r>
      <w:proofErr w:type="spellEnd"/>
      <w:r>
        <w:t xml:space="preserve"> or companies like </w:t>
      </w:r>
      <w:r>
        <w:rPr>
          <w:rStyle w:val="Emphasis"/>
        </w:rPr>
        <w:t>SEVIC</w:t>
      </w:r>
      <w:r>
        <w:t xml:space="preserve">. It fits the EU’s unity goal and boosts rights, per </w:t>
      </w:r>
      <w:proofErr w:type="spellStart"/>
      <w:r>
        <w:t>Spaventa</w:t>
      </w:r>
      <w:proofErr w:type="spellEnd"/>
      <w:r>
        <w:t>.</w:t>
      </w:r>
    </w:p>
    <w:p w14:paraId="0D4311CD" w14:textId="77777777" w:rsidR="00E80F99" w:rsidRDefault="00E80F99" w:rsidP="00E80F99">
      <w:pPr>
        <w:pStyle w:val="break-words"/>
        <w:numPr>
          <w:ilvl w:val="0"/>
          <w:numId w:val="82"/>
        </w:numPr>
      </w:pPr>
      <w:r>
        <w:rPr>
          <w:rStyle w:val="Strong"/>
        </w:rPr>
        <w:t>Problematic? Yes, Partly</w:t>
      </w:r>
      <w:r>
        <w:t>: But it’s tricky because it cuts country control (</w:t>
      </w:r>
      <w:proofErr w:type="spellStart"/>
      <w:r>
        <w:rPr>
          <w:rStyle w:val="Emphasis"/>
        </w:rPr>
        <w:t>CaixaBank</w:t>
      </w:r>
      <w:proofErr w:type="spellEnd"/>
      <w:r>
        <w:t>), confuses what’s a barrier (</w:t>
      </w:r>
      <w:r>
        <w:rPr>
          <w:rStyle w:val="Emphasis"/>
        </w:rPr>
        <w:t>Gourmet</w:t>
      </w:r>
      <w:r>
        <w:t>), mixes personal stuff into business (</w:t>
      </w:r>
      <w:r>
        <w:rPr>
          <w:rStyle w:val="Emphasis"/>
        </w:rPr>
        <w:t>Carpenter</w:t>
      </w:r>
      <w:r>
        <w:t>), and risks weak rules or worker harm (</w:t>
      </w:r>
      <w:r>
        <w:rPr>
          <w:rStyle w:val="Emphasis"/>
        </w:rPr>
        <w:t>Viking</w:t>
      </w:r>
      <w:r>
        <w:t xml:space="preserve">). It’s great for freedom, but without clear limits or EU-wide rules (like Germany wanted in </w:t>
      </w:r>
      <w:r>
        <w:rPr>
          <w:rStyle w:val="Emphasis"/>
        </w:rPr>
        <w:t>SEVIC</w:t>
      </w:r>
      <w:r>
        <w:t>), it can overreach, making it both helpful and problematic.</w:t>
      </w:r>
    </w:p>
    <w:p w14:paraId="4465E9D7" w14:textId="7EB865B3" w:rsidR="006016D9" w:rsidRPr="00AB4373" w:rsidRDefault="00286B25" w:rsidP="006016D9">
      <w:pPr>
        <w:rPr>
          <w:lang w:val="en-GB"/>
        </w:rPr>
      </w:pPr>
      <w:r>
        <w:pict w14:anchorId="1A63E4F3">
          <v:rect id="Horizontal Line 2" o:spid="_x0000_s1026"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C8C436" w14:textId="1FB3712B" w:rsidR="006016D9" w:rsidRPr="00924BFA" w:rsidRDefault="00924BFA" w:rsidP="00924BFA">
      <w:pPr>
        <w:rPr>
          <w:lang w:val="en-GB"/>
        </w:rPr>
      </w:pPr>
      <w:r>
        <w:rPr>
          <w:lang w:val="en-GB"/>
        </w:rPr>
        <w:t xml:space="preserve">2. </w:t>
      </w:r>
      <w:r w:rsidR="006016D9" w:rsidRPr="00924BFA">
        <w:rPr>
          <w:lang w:val="en-GB"/>
        </w:rPr>
        <w:t xml:space="preserve">Think critically about the ruling in </w:t>
      </w:r>
      <w:r w:rsidR="00FB03B1" w:rsidRPr="00924BFA">
        <w:rPr>
          <w:i/>
          <w:lang w:val="en-GB"/>
        </w:rPr>
        <w:t>Grogan</w:t>
      </w:r>
      <w:r w:rsidR="002E4EE6" w:rsidRPr="00924BFA">
        <w:rPr>
          <w:lang w:val="en-GB"/>
        </w:rPr>
        <w:t>.</w:t>
      </w:r>
      <w:r w:rsidR="006016D9" w:rsidRPr="00924BFA">
        <w:rPr>
          <w:lang w:val="en-GB"/>
        </w:rPr>
        <w:t xml:space="preserve"> </w:t>
      </w:r>
      <w:r w:rsidR="002E4EE6" w:rsidRPr="00924BFA">
        <w:rPr>
          <w:lang w:val="en-GB"/>
        </w:rPr>
        <w:t>D</w:t>
      </w:r>
      <w:r w:rsidR="006016D9" w:rsidRPr="00924BFA">
        <w:rPr>
          <w:lang w:val="en-GB"/>
        </w:rPr>
        <w:t xml:space="preserve">o you </w:t>
      </w:r>
      <w:r w:rsidR="002E4EE6" w:rsidRPr="00924BFA">
        <w:rPr>
          <w:lang w:val="en-GB"/>
        </w:rPr>
        <w:t xml:space="preserve">think </w:t>
      </w:r>
      <w:r w:rsidR="006016D9" w:rsidRPr="00924BFA">
        <w:rPr>
          <w:lang w:val="en-GB"/>
        </w:rPr>
        <w:t xml:space="preserve">that </w:t>
      </w:r>
      <w:r w:rsidR="00F461BC" w:rsidRPr="00924BFA">
        <w:rPr>
          <w:lang w:val="en-GB"/>
        </w:rPr>
        <w:t>it</w:t>
      </w:r>
      <w:r w:rsidR="006016D9" w:rsidRPr="00924BFA">
        <w:rPr>
          <w:lang w:val="en-GB"/>
        </w:rPr>
        <w:t xml:space="preserve"> </w:t>
      </w:r>
      <w:r w:rsidR="00FB03B1" w:rsidRPr="00924BFA">
        <w:rPr>
          <w:lang w:val="en-GB"/>
        </w:rPr>
        <w:t xml:space="preserve">is </w:t>
      </w:r>
      <w:r w:rsidR="006016D9" w:rsidRPr="00924BFA">
        <w:rPr>
          <w:lang w:val="en-GB"/>
        </w:rPr>
        <w:t xml:space="preserve">problematic? </w:t>
      </w:r>
    </w:p>
    <w:p w14:paraId="05EB2D5B" w14:textId="262869B0" w:rsidR="00924BFA" w:rsidRDefault="00924BFA" w:rsidP="00924BFA"/>
    <w:p w14:paraId="696F36A2" w14:textId="77777777" w:rsidR="00893BA2" w:rsidRDefault="00893BA2" w:rsidP="00893BA2">
      <w:pPr>
        <w:pStyle w:val="Heading4"/>
      </w:pPr>
      <w:r>
        <w:t>Case Details (Facts, Held, Reasoning)</w:t>
      </w:r>
    </w:p>
    <w:p w14:paraId="6A8FC309" w14:textId="77777777" w:rsidR="00893BA2" w:rsidRDefault="00893BA2" w:rsidP="00893BA2">
      <w:pPr>
        <w:pStyle w:val="break-words"/>
      </w:pPr>
      <w:r>
        <w:rPr>
          <w:rStyle w:val="Strong"/>
        </w:rPr>
        <w:t>Facts</w:t>
      </w:r>
      <w:r>
        <w:t xml:space="preserve">: </w:t>
      </w:r>
    </w:p>
    <w:p w14:paraId="283A1679" w14:textId="77777777" w:rsidR="00893BA2" w:rsidRDefault="00893BA2" w:rsidP="00893BA2">
      <w:pPr>
        <w:pStyle w:val="break-words"/>
      </w:pPr>
      <w:r>
        <w:t>In 1991, Ireland’s Constitution banned abortion, reflecting a firm stance on protecting unborn life. The Society for the Protection of Unborn Children Ireland (SPUC) sought an Irish High Court injunction to stop Stephen Grogan and other student union officers from distributing leaflets at Dublin universities. These leaflets listed contact details for UK abortion clinics, where abortion was legal, to inform Irish women of options unavailable at home. SPUC argued this violated Irish law by aiding abortion. Unsure if this clashed with EEC service freedoms, the High Court asked the European Court of Justice (ECJ) whether Ireland’s ban breached Articles 59 and 60 EEC Treaty (now Articles 56 and 57 TFEU).</w:t>
      </w:r>
    </w:p>
    <w:p w14:paraId="577CF081" w14:textId="77777777" w:rsidR="00893BA2" w:rsidRDefault="00893BA2" w:rsidP="00893BA2">
      <w:pPr>
        <w:pStyle w:val="break-words"/>
      </w:pPr>
      <w:r>
        <w:rPr>
          <w:rStyle w:val="Strong"/>
        </w:rPr>
        <w:t>Held</w:t>
      </w:r>
      <w:r>
        <w:t xml:space="preserve">: </w:t>
      </w:r>
    </w:p>
    <w:p w14:paraId="6F2368D1" w14:textId="77777777" w:rsidR="00893BA2" w:rsidRDefault="00893BA2" w:rsidP="00893BA2">
      <w:pPr>
        <w:pStyle w:val="break-words"/>
      </w:pPr>
      <w:r>
        <w:t xml:space="preserve">The ECJ ruled on three key points: </w:t>
      </w:r>
    </w:p>
    <w:p w14:paraId="3C78FF9B" w14:textId="77777777" w:rsidR="00893BA2" w:rsidRDefault="00893BA2" w:rsidP="00893BA2">
      <w:pPr>
        <w:pStyle w:val="break-words"/>
        <w:numPr>
          <w:ilvl w:val="2"/>
          <w:numId w:val="74"/>
        </w:numPr>
      </w:pPr>
      <w:r>
        <w:rPr>
          <w:rStyle w:val="Strong"/>
        </w:rPr>
        <w:t>Abortion as a Service</w:t>
      </w:r>
      <w:r>
        <w:t>: Abortion, when legally provided in the UK for payment, is a “service” under Article 60 EEC Treaty. Sharing info about it can count too, but only if tied to the clinics’ business.</w:t>
      </w:r>
    </w:p>
    <w:p w14:paraId="08F2A385" w14:textId="77777777" w:rsidR="00893BA2" w:rsidRDefault="00893BA2" w:rsidP="00893BA2">
      <w:pPr>
        <w:pStyle w:val="break-words"/>
        <w:numPr>
          <w:ilvl w:val="2"/>
          <w:numId w:val="74"/>
        </w:numPr>
      </w:pPr>
      <w:r>
        <w:rPr>
          <w:rStyle w:val="Strong"/>
        </w:rPr>
        <w:t>No Violation Here</w:t>
      </w:r>
      <w:r>
        <w:t>: Ireland’s ban didn’t break Article 59 EEC Treaty because the students handed out leaflets for free, with no link to UK clinics, so their actions weren’t covered.</w:t>
      </w:r>
    </w:p>
    <w:p w14:paraId="5F77E05C" w14:textId="77777777" w:rsidR="00893BA2" w:rsidRDefault="00893BA2" w:rsidP="00893BA2">
      <w:pPr>
        <w:pStyle w:val="break-words"/>
        <w:numPr>
          <w:ilvl w:val="2"/>
          <w:numId w:val="74"/>
        </w:numPr>
      </w:pPr>
      <w:r>
        <w:rPr>
          <w:rStyle w:val="Strong"/>
        </w:rPr>
        <w:t>Not an EU Issue</w:t>
      </w:r>
      <w:r>
        <w:t>: The ECJ didn’t check if Ireland’s ban was okay under public policy (Article 56 EEC Treaty) since, without an economic tie, it was just an Irish matter, not an EU one.</w:t>
      </w:r>
    </w:p>
    <w:p w14:paraId="14E7085C" w14:textId="77777777" w:rsidR="00893BA2" w:rsidRDefault="00893BA2" w:rsidP="00893BA2">
      <w:pPr>
        <w:pStyle w:val="break-words"/>
      </w:pPr>
      <w:r>
        <w:rPr>
          <w:rStyle w:val="Strong"/>
        </w:rPr>
        <w:lastRenderedPageBreak/>
        <w:t>Reasoning</w:t>
      </w:r>
      <w:r>
        <w:t xml:space="preserve">: </w:t>
      </w:r>
    </w:p>
    <w:p w14:paraId="7E386A37" w14:textId="77777777" w:rsidR="00893BA2" w:rsidRDefault="00893BA2" w:rsidP="00893BA2">
      <w:pPr>
        <w:pStyle w:val="break-words"/>
        <w:numPr>
          <w:ilvl w:val="1"/>
          <w:numId w:val="76"/>
        </w:numPr>
      </w:pPr>
      <w:r>
        <w:rPr>
          <w:rStyle w:val="Strong"/>
        </w:rPr>
        <w:t>Service Definition</w:t>
      </w:r>
      <w:r>
        <w:t xml:space="preserve">: Article 60 EEC Treaty says services involve payment, like UK abortions. The </w:t>
      </w:r>
      <w:r>
        <w:rPr>
          <w:rStyle w:val="Emphasis"/>
        </w:rPr>
        <w:t>Free Movement of Services</w:t>
      </w:r>
      <w:r>
        <w:t xml:space="preserve"> handout confirms this in </w:t>
      </w:r>
      <w:proofErr w:type="spellStart"/>
      <w:r>
        <w:rPr>
          <w:rStyle w:val="Emphasis"/>
        </w:rPr>
        <w:t>Humbel</w:t>
      </w:r>
      <w:proofErr w:type="spellEnd"/>
      <w:r>
        <w:t xml:space="preserve"> (C-263/86), where free state education wasn’t a service, but </w:t>
      </w:r>
      <w:r>
        <w:rPr>
          <w:rStyle w:val="Emphasis"/>
        </w:rPr>
        <w:t>Schwarz</w:t>
      </w:r>
      <w:r>
        <w:t xml:space="preserve"> (C-76/05) included private education for pay. The ECJ said info about services counts if it’s part of the paid activity, but the students acted independently, not for clinics.</w:t>
      </w:r>
    </w:p>
    <w:p w14:paraId="554FB40B" w14:textId="77777777" w:rsidR="00893BA2" w:rsidRDefault="00893BA2" w:rsidP="00893BA2">
      <w:pPr>
        <w:pStyle w:val="break-words"/>
        <w:numPr>
          <w:ilvl w:val="1"/>
          <w:numId w:val="76"/>
        </w:numPr>
      </w:pPr>
      <w:r>
        <w:rPr>
          <w:rStyle w:val="Strong"/>
        </w:rPr>
        <w:t>No Economic Link</w:t>
      </w:r>
      <w:r>
        <w:t xml:space="preserve">: Article 59 EEC Treaty stops restrictions on cross-border services, per the </w:t>
      </w:r>
      <w:r>
        <w:rPr>
          <w:rStyle w:val="Emphasis"/>
        </w:rPr>
        <w:t>Services</w:t>
      </w:r>
      <w:r>
        <w:t xml:space="preserve"> handout’s broad scope (e.g., providers or recipients moving). But the students weren’t paid or clinic agents, so their leaflets didn’t trigger it, even if they helped women reach UK services.</w:t>
      </w:r>
    </w:p>
    <w:p w14:paraId="6DBAF1C5" w14:textId="77777777" w:rsidR="00893BA2" w:rsidRDefault="00893BA2" w:rsidP="00893BA2">
      <w:pPr>
        <w:pStyle w:val="break-words"/>
        <w:numPr>
          <w:ilvl w:val="1"/>
          <w:numId w:val="76"/>
        </w:numPr>
      </w:pPr>
      <w:r>
        <w:rPr>
          <w:rStyle w:val="Strong"/>
        </w:rPr>
        <w:t>Internal Matter</w:t>
      </w:r>
      <w:r>
        <w:t xml:space="preserve">: Without a business tie, it stayed an Irish issue. The </w:t>
      </w:r>
      <w:r>
        <w:rPr>
          <w:rStyle w:val="Emphasis"/>
        </w:rPr>
        <w:t>Establishment</w:t>
      </w:r>
      <w:r>
        <w:t xml:space="preserve"> handout’s </w:t>
      </w:r>
      <w:r>
        <w:rPr>
          <w:rStyle w:val="Emphasis"/>
        </w:rPr>
        <w:t>Kraus</w:t>
      </w:r>
      <w:r>
        <w:t xml:space="preserve"> (C-19/92) says EU law needs a cross-border link, absent here, so the ECJ skipped public policy questions.</w:t>
      </w:r>
    </w:p>
    <w:p w14:paraId="37DA025C" w14:textId="77777777" w:rsidR="00893BA2" w:rsidRDefault="00893BA2" w:rsidP="00893BA2">
      <w:pPr>
        <w:pStyle w:val="Heading4"/>
      </w:pPr>
      <w:r>
        <w:t>Problematic?</w:t>
      </w:r>
    </w:p>
    <w:p w14:paraId="41995D90" w14:textId="77777777" w:rsidR="00893BA2" w:rsidRDefault="00893BA2" w:rsidP="00893BA2">
      <w:pPr>
        <w:pStyle w:val="break-words"/>
      </w:pPr>
      <w:r>
        <w:rPr>
          <w:rStyle w:val="Strong"/>
        </w:rPr>
        <w:t>Too Strict on Services: Limits Access</w:t>
      </w:r>
      <w:r>
        <w:t xml:space="preserve">: </w:t>
      </w:r>
    </w:p>
    <w:p w14:paraId="33A7247F" w14:textId="77777777" w:rsidR="00893BA2" w:rsidRDefault="00893BA2" w:rsidP="00893BA2">
      <w:pPr>
        <w:pStyle w:val="break-words"/>
      </w:pPr>
      <w:r>
        <w:t xml:space="preserve">The ECJ’s need for a paid link is problematic—it’s too narrow. The students’ free leaflets still helped women use UK services, but </w:t>
      </w:r>
      <w:r>
        <w:rPr>
          <w:rStyle w:val="Emphasis"/>
        </w:rPr>
        <w:t>Grogan</w:t>
      </w:r>
      <w:r>
        <w:t xml:space="preserve"> ignored this because they weren’t clinic-paid. The </w:t>
      </w:r>
      <w:r>
        <w:rPr>
          <w:rStyle w:val="Emphasis"/>
        </w:rPr>
        <w:t>Services</w:t>
      </w:r>
      <w:r>
        <w:t xml:space="preserve"> handout’s </w:t>
      </w:r>
      <w:proofErr w:type="spellStart"/>
      <w:r>
        <w:rPr>
          <w:rStyle w:val="Emphasis"/>
        </w:rPr>
        <w:t>Säger</w:t>
      </w:r>
      <w:proofErr w:type="spellEnd"/>
      <w:r>
        <w:t xml:space="preserve"> (C-76/90) says Article 56 TFEU (now) stops any barrier to services, even non-discriminatory ones, if they block access. </w:t>
      </w:r>
      <w:r>
        <w:rPr>
          <w:rStyle w:val="Emphasis"/>
        </w:rPr>
        <w:t>Alpine Investments</w:t>
      </w:r>
      <w:r>
        <w:t xml:space="preserve"> (C-384/93) ruled a Dutch cold-calling ban limited service reach abroad, no payment link needed. </w:t>
      </w:r>
      <w:r>
        <w:rPr>
          <w:rStyle w:val="Emphasis"/>
        </w:rPr>
        <w:t>Grogan</w:t>
      </w:r>
      <w:r>
        <w:t>’s tight rule misses this broader protection, hurting women’s service access.</w:t>
      </w:r>
    </w:p>
    <w:p w14:paraId="2E2FE50B" w14:textId="77777777" w:rsidR="00893BA2" w:rsidRDefault="00893BA2" w:rsidP="00893BA2">
      <w:pPr>
        <w:pStyle w:val="break-words"/>
      </w:pPr>
      <w:r>
        <w:rPr>
          <w:rStyle w:val="Strong"/>
        </w:rPr>
        <w:t>Why It Matters</w:t>
      </w:r>
      <w:r>
        <w:t xml:space="preserve">: </w:t>
      </w:r>
      <w:proofErr w:type="spellStart"/>
      <w:r>
        <w:rPr>
          <w:rStyle w:val="Emphasis"/>
        </w:rPr>
        <w:t>Säger</w:t>
      </w:r>
      <w:proofErr w:type="spellEnd"/>
      <w:r>
        <w:t xml:space="preserve"> and </w:t>
      </w:r>
      <w:r>
        <w:rPr>
          <w:rStyle w:val="Emphasis"/>
        </w:rPr>
        <w:t>Alpine</w:t>
      </w:r>
      <w:r>
        <w:t xml:space="preserve"> show the ECJ later cared about real effects, not just cash ties, making </w:t>
      </w:r>
      <w:r>
        <w:rPr>
          <w:rStyle w:val="Emphasis"/>
        </w:rPr>
        <w:t>Grogan</w:t>
      </w:r>
      <w:r>
        <w:t xml:space="preserve"> outdated and less helpful for service users.</w:t>
      </w:r>
    </w:p>
    <w:p w14:paraId="431380FB" w14:textId="7D6F54E6" w:rsidR="00893BA2" w:rsidRDefault="00893BA2" w:rsidP="00893BA2">
      <w:pPr>
        <w:pStyle w:val="break-words"/>
      </w:pPr>
      <w:r>
        <w:sym w:font="Wingdings" w:char="F0E0"/>
      </w:r>
      <w:r>
        <w:t xml:space="preserve"> </w:t>
      </w:r>
      <w:r w:rsidR="00D02627">
        <w:t xml:space="preserve">Focus that there is a service provider </w:t>
      </w:r>
      <w:r w:rsidR="0029695C">
        <w:sym w:font="Wingdings" w:char="F0E0"/>
      </w:r>
      <w:r w:rsidR="0029695C">
        <w:t xml:space="preserve"> benefited from the provision </w:t>
      </w:r>
      <w:r w:rsidR="0029695C">
        <w:sym w:font="Wingdings" w:char="F0E0"/>
      </w:r>
      <w:r w:rsidR="0029695C">
        <w:t xml:space="preserve"> justified to cut out the provision of service because there is no direct link </w:t>
      </w:r>
    </w:p>
    <w:p w14:paraId="7E72A6B7" w14:textId="77777777" w:rsidR="00893BA2" w:rsidRDefault="00893BA2" w:rsidP="00893BA2">
      <w:pPr>
        <w:pStyle w:val="break-words"/>
      </w:pPr>
      <w:r>
        <w:rPr>
          <w:rStyle w:val="Strong"/>
        </w:rPr>
        <w:t>Skips Rights: Leaves Questions Open</w:t>
      </w:r>
      <w:r>
        <w:t xml:space="preserve">: </w:t>
      </w:r>
    </w:p>
    <w:p w14:paraId="0F72C4E0" w14:textId="77777777" w:rsidR="00893BA2" w:rsidRDefault="00893BA2" w:rsidP="00893BA2">
      <w:pPr>
        <w:pStyle w:val="break-words"/>
      </w:pPr>
      <w:r>
        <w:t xml:space="preserve">It’s problematic that the ECJ didn’t weigh Ireland’s ban against women’s rights. The </w:t>
      </w:r>
      <w:r>
        <w:rPr>
          <w:rStyle w:val="Emphasis"/>
        </w:rPr>
        <w:t>Services</w:t>
      </w:r>
      <w:r>
        <w:t xml:space="preserve"> handout says Article 62 TFEU applies Article 52 TFEU’s public policy excuse, but it must fit basic rights, per </w:t>
      </w:r>
      <w:r>
        <w:rPr>
          <w:rStyle w:val="Emphasis"/>
        </w:rPr>
        <w:t>Carpenter</w:t>
      </w:r>
      <w:r>
        <w:t xml:space="preserve"> (C-60/00). There, a UK deportation hurt a service provider’s family life (Article 56 TFEU now) and broke human rights rules. </w:t>
      </w:r>
      <w:r>
        <w:rPr>
          <w:rStyle w:val="Emphasis"/>
        </w:rPr>
        <w:t>Grogan</w:t>
      </w:r>
      <w:r>
        <w:t xml:space="preserve"> didn’t ask if Ireland’s ban went too far against women’s choice or health, a gap </w:t>
      </w:r>
      <w:proofErr w:type="spellStart"/>
      <w:r>
        <w:t>Spaventa</w:t>
      </w:r>
      <w:proofErr w:type="spellEnd"/>
      <w:r>
        <w:t xml:space="preserve"> (</w:t>
      </w:r>
      <w:r>
        <w:rPr>
          <w:rStyle w:val="Emphasis"/>
        </w:rPr>
        <w:t>CML Rev. 2004</w:t>
      </w:r>
      <w:r>
        <w:t xml:space="preserve">) says later cases like </w:t>
      </w:r>
      <w:proofErr w:type="spellStart"/>
      <w:r>
        <w:rPr>
          <w:rStyle w:val="Emphasis"/>
        </w:rPr>
        <w:t>Gebhard</w:t>
      </w:r>
      <w:proofErr w:type="spellEnd"/>
      <w:r>
        <w:t xml:space="preserve"> (C-55/94) filled by protecting people, not just business.</w:t>
      </w:r>
    </w:p>
    <w:p w14:paraId="40F78BBC" w14:textId="77777777" w:rsidR="00893BA2" w:rsidRDefault="00893BA2" w:rsidP="00893BA2">
      <w:pPr>
        <w:pStyle w:val="break-words"/>
      </w:pPr>
      <w:r>
        <w:rPr>
          <w:rStyle w:val="Strong"/>
        </w:rPr>
        <w:t>Why It Matters</w:t>
      </w:r>
      <w:r>
        <w:t xml:space="preserve">: </w:t>
      </w:r>
      <w:r>
        <w:rPr>
          <w:rStyle w:val="Emphasis"/>
        </w:rPr>
        <w:t>Carpenter</w:t>
      </w:r>
      <w:r>
        <w:t xml:space="preserve"> balanced rights with services, but </w:t>
      </w:r>
      <w:r>
        <w:rPr>
          <w:rStyle w:val="Emphasis"/>
        </w:rPr>
        <w:t>Grogan</w:t>
      </w:r>
      <w:r>
        <w:t xml:space="preserve"> dodged this, leaving women’s options unchecked.</w:t>
      </w:r>
    </w:p>
    <w:p w14:paraId="73B87446" w14:textId="77777777" w:rsidR="00893BA2" w:rsidRDefault="00893BA2" w:rsidP="00893BA2">
      <w:pPr>
        <w:pStyle w:val="break-words"/>
      </w:pPr>
      <w:r>
        <w:rPr>
          <w:rStyle w:val="Strong"/>
        </w:rPr>
        <w:t>‘Irish Only’ Call: Misses Cross-Border Impact</w:t>
      </w:r>
      <w:r>
        <w:t xml:space="preserve">: </w:t>
      </w:r>
    </w:p>
    <w:p w14:paraId="06519E7D" w14:textId="77777777" w:rsidR="00893BA2" w:rsidRDefault="00893BA2" w:rsidP="00893BA2">
      <w:pPr>
        <w:pStyle w:val="break-words"/>
      </w:pPr>
      <w:r>
        <w:t xml:space="preserve">Saying it’s just Ireland’s problem is shaky—the ban stopped women reaching UK services, a clear cross-border effect. The </w:t>
      </w:r>
      <w:r>
        <w:rPr>
          <w:rStyle w:val="Emphasis"/>
        </w:rPr>
        <w:t>Services</w:t>
      </w:r>
      <w:r>
        <w:t xml:space="preserve"> handout’s </w:t>
      </w:r>
      <w:r>
        <w:rPr>
          <w:rStyle w:val="Emphasis"/>
        </w:rPr>
        <w:t>Gourmet</w:t>
      </w:r>
      <w:r>
        <w:t xml:space="preserve"> (C-405/98) ruled a Swedish ad ban hurt services (Article 56 TFEU now) by blocking access, even indirectly. </w:t>
      </w:r>
      <w:r>
        <w:rPr>
          <w:rStyle w:val="Emphasis"/>
        </w:rPr>
        <w:t>Grogan</w:t>
      </w:r>
      <w:r>
        <w:t xml:space="preserve">’s strict “no economic link” cutoff doesn’t match this, </w:t>
      </w:r>
      <w:proofErr w:type="spellStart"/>
      <w:r>
        <w:t>underprotecting</w:t>
      </w:r>
      <w:proofErr w:type="spellEnd"/>
      <w:r>
        <w:t xml:space="preserve"> service users compared to </w:t>
      </w:r>
      <w:r>
        <w:rPr>
          <w:rStyle w:val="Emphasis"/>
        </w:rPr>
        <w:t>Kraus</w:t>
      </w:r>
      <w:r>
        <w:t xml:space="preserve"> (C-19/92) needing a cross-border tie.</w:t>
      </w:r>
    </w:p>
    <w:p w14:paraId="0439DB09" w14:textId="77777777" w:rsidR="00893BA2" w:rsidRDefault="00893BA2" w:rsidP="00893BA2">
      <w:pPr>
        <w:pStyle w:val="break-words"/>
      </w:pPr>
      <w:r>
        <w:rPr>
          <w:rStyle w:val="Strong"/>
        </w:rPr>
        <w:lastRenderedPageBreak/>
        <w:t>Why It Matters</w:t>
      </w:r>
      <w:r>
        <w:t xml:space="preserve">: </w:t>
      </w:r>
      <w:r>
        <w:rPr>
          <w:rStyle w:val="Emphasis"/>
        </w:rPr>
        <w:t>Gourmet</w:t>
      </w:r>
      <w:r>
        <w:t xml:space="preserve"> saw broader impacts, unlike </w:t>
      </w:r>
      <w:r>
        <w:rPr>
          <w:rStyle w:val="Emphasis"/>
        </w:rPr>
        <w:t>Grogan</w:t>
      </w:r>
      <w:r>
        <w:t>, making its narrow view less fair to recipients.</w:t>
      </w:r>
    </w:p>
    <w:p w14:paraId="3A948F88" w14:textId="77777777" w:rsidR="00893BA2" w:rsidRDefault="00893BA2" w:rsidP="00893BA2">
      <w:pPr>
        <w:pStyle w:val="break-words"/>
      </w:pPr>
      <w:r>
        <w:rPr>
          <w:rStyle w:val="Strong"/>
        </w:rPr>
        <w:t>Blocks EU Unity: Keeps Walls Up</w:t>
      </w:r>
      <w:r>
        <w:t xml:space="preserve">: </w:t>
      </w:r>
    </w:p>
    <w:p w14:paraId="70533523" w14:textId="77777777" w:rsidR="00893BA2" w:rsidRDefault="00893BA2" w:rsidP="00893BA2">
      <w:pPr>
        <w:pStyle w:val="break-words"/>
      </w:pPr>
      <w:r>
        <w:t xml:space="preserve">Not challenging Ireland’s ban is problematic—it lets country rules split the EU market. The </w:t>
      </w:r>
      <w:r>
        <w:rPr>
          <w:rStyle w:val="Emphasis"/>
        </w:rPr>
        <w:t>Establishment</w:t>
      </w:r>
      <w:r>
        <w:t xml:space="preserve"> handout’s </w:t>
      </w:r>
      <w:proofErr w:type="spellStart"/>
      <w:r>
        <w:rPr>
          <w:rStyle w:val="Emphasis"/>
        </w:rPr>
        <w:t>Centros</w:t>
      </w:r>
      <w:proofErr w:type="spellEnd"/>
      <w:r>
        <w:t xml:space="preserve"> (C-212/97) let a UK firm dodge Danish rules (Articles 49 and 54 TFEU now), boosting mobility. The </w:t>
      </w:r>
      <w:r>
        <w:rPr>
          <w:rStyle w:val="Emphasis"/>
        </w:rPr>
        <w:t>Services</w:t>
      </w:r>
      <w:r>
        <w:t xml:space="preserve"> handout’s </w:t>
      </w:r>
      <w:r>
        <w:rPr>
          <w:rStyle w:val="Emphasis"/>
        </w:rPr>
        <w:t>Schindler</w:t>
      </w:r>
      <w:r>
        <w:t xml:space="preserve"> (C-275/92) said a UK gambling ban needed justification (Article 56 TFEU now) as it blocked services. </w:t>
      </w:r>
      <w:r>
        <w:rPr>
          <w:rStyle w:val="Emphasis"/>
        </w:rPr>
        <w:t>Grogan</w:t>
      </w:r>
      <w:r>
        <w:t xml:space="preserve"> leaves Ireland’s barrier standing, slowing service flow.</w:t>
      </w:r>
    </w:p>
    <w:p w14:paraId="432A6CA9" w14:textId="77777777" w:rsidR="00893BA2" w:rsidRDefault="00893BA2" w:rsidP="00893BA2">
      <w:pPr>
        <w:pStyle w:val="break-words"/>
      </w:pPr>
      <w:r>
        <w:rPr>
          <w:rStyle w:val="Strong"/>
        </w:rPr>
        <w:t>Why It Matters</w:t>
      </w:r>
      <w:r>
        <w:t xml:space="preserve">: </w:t>
      </w:r>
      <w:proofErr w:type="spellStart"/>
      <w:r>
        <w:rPr>
          <w:rStyle w:val="Emphasis"/>
        </w:rPr>
        <w:t>Centros</w:t>
      </w:r>
      <w:proofErr w:type="spellEnd"/>
      <w:r>
        <w:t xml:space="preserve"> and </w:t>
      </w:r>
      <w:r>
        <w:rPr>
          <w:rStyle w:val="Emphasis"/>
        </w:rPr>
        <w:t>Schindler</w:t>
      </w:r>
      <w:r>
        <w:t xml:space="preserve"> push an open market, but </w:t>
      </w:r>
      <w:r>
        <w:rPr>
          <w:rStyle w:val="Emphasis"/>
        </w:rPr>
        <w:t>Grogan</w:t>
      </w:r>
      <w:r>
        <w:t xml:space="preserve"> stalls it, keeping services apart.</w:t>
      </w:r>
    </w:p>
    <w:p w14:paraId="4D976D47" w14:textId="77777777" w:rsidR="00893BA2" w:rsidRDefault="00893BA2" w:rsidP="00893BA2">
      <w:pPr>
        <w:pStyle w:val="break-words"/>
      </w:pPr>
      <w:r>
        <w:rPr>
          <w:rStyle w:val="Strong"/>
        </w:rPr>
        <w:t>Conclusion: Yes, It’s Problematic</w:t>
      </w:r>
      <w:r>
        <w:t xml:space="preserve">: </w:t>
      </w:r>
    </w:p>
    <w:p w14:paraId="45482D7C" w14:textId="77777777" w:rsidR="00893BA2" w:rsidRDefault="00893BA2" w:rsidP="00893BA2">
      <w:pPr>
        <w:pStyle w:val="break-words"/>
      </w:pPr>
      <w:r>
        <w:rPr>
          <w:rStyle w:val="Emphasis"/>
        </w:rPr>
        <w:t>Grogan</w:t>
      </w:r>
      <w:r>
        <w:t xml:space="preserve">’s strict service rule, skipping rights, narrow ‘internal’ label, and market split are problematic. In 1991, it was careful, but later cases like </w:t>
      </w:r>
      <w:proofErr w:type="spellStart"/>
      <w:r>
        <w:rPr>
          <w:rStyle w:val="Emphasis"/>
        </w:rPr>
        <w:t>Säger</w:t>
      </w:r>
      <w:proofErr w:type="spellEnd"/>
      <w:r>
        <w:t xml:space="preserve">, </w:t>
      </w:r>
      <w:r>
        <w:rPr>
          <w:rStyle w:val="Emphasis"/>
        </w:rPr>
        <w:t>Carpenter</w:t>
      </w:r>
      <w:r>
        <w:t xml:space="preserve">, and </w:t>
      </w:r>
      <w:r>
        <w:rPr>
          <w:rStyle w:val="Emphasis"/>
        </w:rPr>
        <w:t>Gourmet</w:t>
      </w:r>
      <w:r>
        <w:t xml:space="preserve"> (from the </w:t>
      </w:r>
      <w:r>
        <w:rPr>
          <w:rStyle w:val="Emphasis"/>
        </w:rPr>
        <w:t>Services</w:t>
      </w:r>
      <w:r>
        <w:t xml:space="preserve"> handout) widened freedoms and rights. </w:t>
      </w:r>
      <w:r>
        <w:rPr>
          <w:rStyle w:val="Emphasis"/>
        </w:rPr>
        <w:t>Grogan</w:t>
      </w:r>
      <w:r>
        <w:t xml:space="preserve"> limits women’s service access and fairness checks, falling behind the EU’s mix of market and human goals, per </w:t>
      </w:r>
      <w:proofErr w:type="spellStart"/>
      <w:r>
        <w:t>Spaventa</w:t>
      </w:r>
      <w:proofErr w:type="spellEnd"/>
      <w:r>
        <w:t>.</w:t>
      </w:r>
    </w:p>
    <w:p w14:paraId="4AA6F81D" w14:textId="77777777" w:rsidR="0029695C" w:rsidRDefault="0029695C" w:rsidP="002E3372">
      <w:pPr>
        <w:rPr>
          <w:b/>
          <w:bCs/>
          <w:lang w:val="en-GB"/>
        </w:rPr>
      </w:pPr>
    </w:p>
    <w:p w14:paraId="66D1E3BC" w14:textId="77777777" w:rsidR="0029695C" w:rsidRDefault="0029695C" w:rsidP="002E3372">
      <w:pPr>
        <w:rPr>
          <w:b/>
          <w:bCs/>
          <w:lang w:val="en-GB"/>
        </w:rPr>
      </w:pPr>
    </w:p>
    <w:p w14:paraId="21AED1CC" w14:textId="77777777" w:rsidR="0029695C" w:rsidRDefault="0029695C" w:rsidP="002E3372">
      <w:pPr>
        <w:rPr>
          <w:b/>
          <w:bCs/>
          <w:lang w:val="en-GB"/>
        </w:rPr>
      </w:pPr>
    </w:p>
    <w:p w14:paraId="5C06A3DB" w14:textId="77777777" w:rsidR="0029695C" w:rsidRDefault="0029695C" w:rsidP="002E3372">
      <w:pPr>
        <w:rPr>
          <w:b/>
          <w:bCs/>
          <w:lang w:val="en-GB"/>
        </w:rPr>
      </w:pPr>
    </w:p>
    <w:p w14:paraId="07CA4769" w14:textId="77777777" w:rsidR="0029695C" w:rsidRDefault="0029695C" w:rsidP="002E3372">
      <w:pPr>
        <w:rPr>
          <w:b/>
          <w:bCs/>
          <w:lang w:val="en-GB"/>
        </w:rPr>
      </w:pPr>
    </w:p>
    <w:p w14:paraId="19BF9C7B" w14:textId="77777777" w:rsidR="0029695C" w:rsidRDefault="0029695C" w:rsidP="002E3372">
      <w:pPr>
        <w:rPr>
          <w:b/>
          <w:bCs/>
          <w:lang w:val="en-GB"/>
        </w:rPr>
      </w:pPr>
    </w:p>
    <w:p w14:paraId="271440AC" w14:textId="77777777" w:rsidR="0029695C" w:rsidRDefault="0029695C" w:rsidP="002E3372">
      <w:pPr>
        <w:rPr>
          <w:b/>
          <w:bCs/>
          <w:lang w:val="en-GB"/>
        </w:rPr>
      </w:pPr>
    </w:p>
    <w:p w14:paraId="10E31D0F" w14:textId="77777777" w:rsidR="0029695C" w:rsidRDefault="0029695C" w:rsidP="002E3372">
      <w:pPr>
        <w:rPr>
          <w:b/>
          <w:bCs/>
          <w:lang w:val="en-GB"/>
        </w:rPr>
      </w:pPr>
    </w:p>
    <w:p w14:paraId="3A58F85B" w14:textId="77777777" w:rsidR="0029695C" w:rsidRDefault="0029695C" w:rsidP="002E3372">
      <w:pPr>
        <w:rPr>
          <w:b/>
          <w:bCs/>
          <w:lang w:val="en-GB"/>
        </w:rPr>
      </w:pPr>
    </w:p>
    <w:p w14:paraId="674BE2B1" w14:textId="77777777" w:rsidR="0029695C" w:rsidRDefault="0029695C" w:rsidP="002E3372">
      <w:pPr>
        <w:rPr>
          <w:b/>
          <w:bCs/>
          <w:lang w:val="en-GB"/>
        </w:rPr>
      </w:pPr>
    </w:p>
    <w:p w14:paraId="13C5E970" w14:textId="77777777" w:rsidR="0029695C" w:rsidRDefault="0029695C" w:rsidP="002E3372">
      <w:pPr>
        <w:rPr>
          <w:b/>
          <w:bCs/>
          <w:lang w:val="en-GB"/>
        </w:rPr>
      </w:pPr>
    </w:p>
    <w:p w14:paraId="53404FE6" w14:textId="77777777" w:rsidR="0029695C" w:rsidRDefault="0029695C" w:rsidP="002E3372">
      <w:pPr>
        <w:rPr>
          <w:b/>
          <w:bCs/>
          <w:lang w:val="en-GB"/>
        </w:rPr>
      </w:pPr>
    </w:p>
    <w:p w14:paraId="4A938352" w14:textId="77777777" w:rsidR="0029695C" w:rsidRDefault="0029695C" w:rsidP="002E3372">
      <w:pPr>
        <w:rPr>
          <w:b/>
          <w:bCs/>
          <w:lang w:val="en-GB"/>
        </w:rPr>
      </w:pPr>
    </w:p>
    <w:p w14:paraId="5FD9717B" w14:textId="77777777" w:rsidR="0029695C" w:rsidRDefault="0029695C" w:rsidP="002E3372">
      <w:pPr>
        <w:rPr>
          <w:b/>
          <w:bCs/>
          <w:lang w:val="en-GB"/>
        </w:rPr>
      </w:pPr>
    </w:p>
    <w:p w14:paraId="33A263DC" w14:textId="77777777" w:rsidR="0029695C" w:rsidRDefault="0029695C" w:rsidP="002E3372">
      <w:pPr>
        <w:rPr>
          <w:b/>
          <w:bCs/>
          <w:lang w:val="en-GB"/>
        </w:rPr>
      </w:pPr>
    </w:p>
    <w:p w14:paraId="12ED0CB2" w14:textId="77777777" w:rsidR="0029695C" w:rsidRDefault="0029695C" w:rsidP="002E3372">
      <w:pPr>
        <w:rPr>
          <w:b/>
          <w:bCs/>
          <w:lang w:val="en-GB"/>
        </w:rPr>
      </w:pPr>
    </w:p>
    <w:p w14:paraId="23807868" w14:textId="77777777" w:rsidR="0029695C" w:rsidRDefault="0029695C" w:rsidP="002E3372">
      <w:pPr>
        <w:rPr>
          <w:b/>
          <w:bCs/>
          <w:lang w:val="en-GB"/>
        </w:rPr>
      </w:pPr>
    </w:p>
    <w:p w14:paraId="69EE1886" w14:textId="77777777" w:rsidR="0029695C" w:rsidRDefault="0029695C" w:rsidP="002E3372">
      <w:pPr>
        <w:rPr>
          <w:b/>
          <w:bCs/>
          <w:lang w:val="en-GB"/>
        </w:rPr>
      </w:pPr>
    </w:p>
    <w:p w14:paraId="36BD7AD9" w14:textId="77777777" w:rsidR="0029695C" w:rsidRDefault="0029695C" w:rsidP="002E3372">
      <w:pPr>
        <w:rPr>
          <w:b/>
          <w:bCs/>
          <w:lang w:val="en-GB"/>
        </w:rPr>
      </w:pPr>
    </w:p>
    <w:p w14:paraId="1AF0C236" w14:textId="77777777" w:rsidR="0029695C" w:rsidRDefault="0029695C" w:rsidP="002E3372">
      <w:pPr>
        <w:rPr>
          <w:b/>
          <w:bCs/>
          <w:lang w:val="en-GB"/>
        </w:rPr>
      </w:pPr>
    </w:p>
    <w:p w14:paraId="2C47784A" w14:textId="77777777" w:rsidR="0029695C" w:rsidRDefault="0029695C" w:rsidP="002E3372">
      <w:pPr>
        <w:rPr>
          <w:b/>
          <w:bCs/>
          <w:lang w:val="en-GB"/>
        </w:rPr>
      </w:pPr>
    </w:p>
    <w:p w14:paraId="0CCBD9F0" w14:textId="77777777" w:rsidR="0029695C" w:rsidRDefault="0029695C" w:rsidP="002E3372">
      <w:pPr>
        <w:rPr>
          <w:b/>
          <w:bCs/>
          <w:lang w:val="en-GB"/>
        </w:rPr>
      </w:pPr>
    </w:p>
    <w:p w14:paraId="29CAD1FB" w14:textId="77777777" w:rsidR="0029695C" w:rsidRDefault="0029695C" w:rsidP="002E3372">
      <w:pPr>
        <w:rPr>
          <w:b/>
          <w:bCs/>
          <w:lang w:val="en-GB"/>
        </w:rPr>
      </w:pPr>
    </w:p>
    <w:p w14:paraId="71E37687" w14:textId="77777777" w:rsidR="0029695C" w:rsidRDefault="0029695C" w:rsidP="002E3372">
      <w:pPr>
        <w:rPr>
          <w:b/>
          <w:bCs/>
          <w:lang w:val="en-GB"/>
        </w:rPr>
      </w:pPr>
    </w:p>
    <w:p w14:paraId="290919C6" w14:textId="64E64B4B" w:rsidR="00EE664D" w:rsidRPr="00AB4373" w:rsidRDefault="00EE664D" w:rsidP="002E3372">
      <w:pPr>
        <w:rPr>
          <w:b/>
          <w:bCs/>
          <w:lang w:val="en-GB"/>
        </w:rPr>
      </w:pPr>
      <w:r w:rsidRPr="00AB4373">
        <w:rPr>
          <w:b/>
          <w:bCs/>
          <w:lang w:val="en-GB"/>
        </w:rPr>
        <w:t>Problem Questions:</w:t>
      </w:r>
    </w:p>
    <w:p w14:paraId="5EA1187F" w14:textId="52BED14E" w:rsidR="00EE664D" w:rsidRPr="00AB4373" w:rsidRDefault="00EE664D" w:rsidP="002E3372">
      <w:pPr>
        <w:rPr>
          <w:lang w:val="en-GB"/>
        </w:rPr>
      </w:pPr>
    </w:p>
    <w:p w14:paraId="429C6DCD" w14:textId="12D97739" w:rsidR="00A53CAB" w:rsidRPr="00AB4373" w:rsidRDefault="00987135" w:rsidP="005C2D43">
      <w:pPr>
        <w:pStyle w:val="ListParagraph"/>
        <w:numPr>
          <w:ilvl w:val="0"/>
          <w:numId w:val="9"/>
        </w:numPr>
        <w:jc w:val="both"/>
        <w:rPr>
          <w:lang w:val="en-GB"/>
        </w:rPr>
      </w:pPr>
      <w:r w:rsidRPr="00AB4373">
        <w:rPr>
          <w:lang w:val="en-GB"/>
        </w:rPr>
        <w:t xml:space="preserve">The Daily, an Irish company, is a successful </w:t>
      </w:r>
      <w:r w:rsidR="00F60434" w:rsidRPr="00AB4373">
        <w:rPr>
          <w:lang w:val="en-GB"/>
        </w:rPr>
        <w:t>tabloid</w:t>
      </w:r>
      <w:r w:rsidR="004518E4" w:rsidRPr="00AB4373">
        <w:rPr>
          <w:lang w:val="en-GB"/>
        </w:rPr>
        <w:t xml:space="preserve"> in Ireland and beyond</w:t>
      </w:r>
      <w:r w:rsidR="00F60434" w:rsidRPr="00AB4373">
        <w:rPr>
          <w:lang w:val="en-GB"/>
        </w:rPr>
        <w:t xml:space="preserve">. </w:t>
      </w:r>
      <w:r w:rsidRPr="00AB4373">
        <w:rPr>
          <w:lang w:val="en-GB"/>
        </w:rPr>
        <w:t xml:space="preserve">For operational reasons, it </w:t>
      </w:r>
      <w:r w:rsidR="004518E4" w:rsidRPr="00AB4373">
        <w:rPr>
          <w:lang w:val="en-GB"/>
        </w:rPr>
        <w:t xml:space="preserve">decides </w:t>
      </w:r>
      <w:r w:rsidRPr="00AB4373">
        <w:rPr>
          <w:lang w:val="en-GB"/>
        </w:rPr>
        <w:t>t</w:t>
      </w:r>
      <w:r w:rsidR="004518E4" w:rsidRPr="00AB4373">
        <w:rPr>
          <w:lang w:val="en-GB"/>
        </w:rPr>
        <w:t xml:space="preserve">hat </w:t>
      </w:r>
      <w:r w:rsidR="001740D3" w:rsidRPr="00AB4373">
        <w:rPr>
          <w:lang w:val="en-GB"/>
        </w:rPr>
        <w:t xml:space="preserve">in order to </w:t>
      </w:r>
      <w:r w:rsidRPr="00AB4373">
        <w:rPr>
          <w:lang w:val="en-GB"/>
        </w:rPr>
        <w:t>sell its newspapers in France</w:t>
      </w:r>
      <w:r w:rsidR="001740D3" w:rsidRPr="00AB4373">
        <w:rPr>
          <w:lang w:val="en-GB"/>
        </w:rPr>
        <w:t>,</w:t>
      </w:r>
      <w:r w:rsidRPr="00AB4373">
        <w:rPr>
          <w:lang w:val="en-GB"/>
        </w:rPr>
        <w:t xml:space="preserve"> </w:t>
      </w:r>
      <w:r w:rsidR="004518E4" w:rsidRPr="00AB4373">
        <w:rPr>
          <w:lang w:val="en-GB"/>
        </w:rPr>
        <w:t xml:space="preserve">it is more effective to operate </w:t>
      </w:r>
      <w:r w:rsidR="004518E4" w:rsidRPr="00DF6BDC">
        <w:rPr>
          <w:u w:val="single"/>
          <w:lang w:val="en-GB"/>
        </w:rPr>
        <w:t>through a</w:t>
      </w:r>
      <w:r w:rsidRPr="00DF6BDC">
        <w:rPr>
          <w:u w:val="single"/>
          <w:lang w:val="en-GB"/>
        </w:rPr>
        <w:t xml:space="preserve"> branch </w:t>
      </w:r>
      <w:r w:rsidR="008B6760" w:rsidRPr="00DF6BDC">
        <w:rPr>
          <w:u w:val="single"/>
          <w:lang w:val="en-GB"/>
        </w:rPr>
        <w:t xml:space="preserve">in France rather </w:t>
      </w:r>
      <w:r w:rsidR="004518E4" w:rsidRPr="00DF6BDC">
        <w:rPr>
          <w:u w:val="single"/>
          <w:lang w:val="en-GB"/>
        </w:rPr>
        <w:t xml:space="preserve">than </w:t>
      </w:r>
      <w:r w:rsidRPr="00DF6BDC">
        <w:rPr>
          <w:u w:val="single"/>
          <w:lang w:val="en-GB"/>
        </w:rPr>
        <w:t>through a French public limited company</w:t>
      </w:r>
      <w:r w:rsidR="00DC7C27" w:rsidRPr="00DF6BDC">
        <w:rPr>
          <w:u w:val="single"/>
          <w:lang w:val="en-GB"/>
        </w:rPr>
        <w:t xml:space="preserve"> which requires significant amounts of minimum capital</w:t>
      </w:r>
      <w:r w:rsidRPr="00AB4373">
        <w:rPr>
          <w:lang w:val="en-GB"/>
        </w:rPr>
        <w:t xml:space="preserve">. </w:t>
      </w:r>
      <w:r w:rsidR="00A1060F">
        <w:rPr>
          <w:lang w:val="en-GB"/>
        </w:rPr>
        <w:t xml:space="preserve">Although Ireland applies the incorporation doctrine, </w:t>
      </w:r>
      <w:r w:rsidR="00077492">
        <w:rPr>
          <w:lang w:val="en-GB"/>
        </w:rPr>
        <w:t>t</w:t>
      </w:r>
      <w:r w:rsidRPr="00AB4373">
        <w:rPr>
          <w:lang w:val="en-GB"/>
        </w:rPr>
        <w:t xml:space="preserve">he </w:t>
      </w:r>
      <w:r w:rsidRPr="00AB4373">
        <w:rPr>
          <w:lang w:val="en-GB"/>
        </w:rPr>
        <w:lastRenderedPageBreak/>
        <w:t xml:space="preserve">Irish </w:t>
      </w:r>
      <w:r w:rsidR="00B47810">
        <w:rPr>
          <w:lang w:val="en-GB"/>
        </w:rPr>
        <w:t xml:space="preserve">authorities </w:t>
      </w:r>
      <w:r w:rsidRPr="00AB4373">
        <w:rPr>
          <w:lang w:val="en-GB"/>
        </w:rPr>
        <w:t xml:space="preserve">inform </w:t>
      </w:r>
      <w:r w:rsidR="00DC7C27" w:rsidRPr="00723E45">
        <w:rPr>
          <w:color w:val="FF0000"/>
          <w:u w:val="single"/>
          <w:lang w:val="en-GB"/>
        </w:rPr>
        <w:t xml:space="preserve">The </w:t>
      </w:r>
      <w:r w:rsidRPr="00723E45">
        <w:rPr>
          <w:color w:val="FF0000"/>
          <w:u w:val="single"/>
          <w:lang w:val="en-GB"/>
        </w:rPr>
        <w:t xml:space="preserve">Daily that </w:t>
      </w:r>
      <w:r w:rsidR="00106D34" w:rsidRPr="00723E45">
        <w:rPr>
          <w:color w:val="FF0000"/>
          <w:u w:val="single"/>
          <w:lang w:val="en-GB"/>
        </w:rPr>
        <w:t xml:space="preserve">according to </w:t>
      </w:r>
      <w:r w:rsidR="00C65110" w:rsidRPr="00723E45">
        <w:rPr>
          <w:color w:val="FF0000"/>
          <w:u w:val="single"/>
          <w:lang w:val="en-GB"/>
        </w:rPr>
        <w:t xml:space="preserve">new </w:t>
      </w:r>
      <w:r w:rsidRPr="00723E45">
        <w:rPr>
          <w:color w:val="FF0000"/>
          <w:u w:val="single"/>
          <w:lang w:val="en-GB"/>
        </w:rPr>
        <w:t>Irish legislation</w:t>
      </w:r>
      <w:r w:rsidR="00C65110" w:rsidRPr="00723E45">
        <w:rPr>
          <w:color w:val="FF0000"/>
          <w:u w:val="single"/>
          <w:lang w:val="en-GB"/>
        </w:rPr>
        <w:t xml:space="preserve">, </w:t>
      </w:r>
      <w:r w:rsidR="00C65110" w:rsidRPr="0029695C">
        <w:rPr>
          <w:color w:val="FF0000"/>
          <w:highlight w:val="yellow"/>
          <w:u w:val="single"/>
          <w:lang w:val="en-GB"/>
        </w:rPr>
        <w:t xml:space="preserve">which seeks to curb the excessive reliance on branches </w:t>
      </w:r>
      <w:r w:rsidR="001B77E7" w:rsidRPr="0029695C">
        <w:rPr>
          <w:color w:val="FF0000"/>
          <w:highlight w:val="yellow"/>
          <w:u w:val="single"/>
          <w:lang w:val="en-GB"/>
        </w:rPr>
        <w:t>abroad</w:t>
      </w:r>
      <w:r w:rsidR="001B77E7" w:rsidRPr="00DF6BDC">
        <w:rPr>
          <w:u w:val="single"/>
          <w:lang w:val="en-GB"/>
        </w:rPr>
        <w:t xml:space="preserve">, </w:t>
      </w:r>
      <w:r w:rsidR="001B77E7" w:rsidRPr="00DF6BDC">
        <w:rPr>
          <w:color w:val="FF0000"/>
          <w:u w:val="single"/>
          <w:lang w:val="en-GB"/>
        </w:rPr>
        <w:t xml:space="preserve">Irish companies above a certain capitalisation </w:t>
      </w:r>
      <w:r w:rsidR="00A1060F" w:rsidRPr="00DF6BDC">
        <w:rPr>
          <w:color w:val="FF0000"/>
          <w:u w:val="single"/>
          <w:lang w:val="en-GB"/>
        </w:rPr>
        <w:t>must ask the Irish authorities for consent if they wish to operate through a branch as opposed to a subsidiary abroad.</w:t>
      </w:r>
      <w:r w:rsidR="00A1060F">
        <w:rPr>
          <w:lang w:val="en-GB"/>
        </w:rPr>
        <w:t xml:space="preserve"> The Daily seeks authorisation, </w:t>
      </w:r>
      <w:r w:rsidR="002E4EE6">
        <w:rPr>
          <w:lang w:val="en-GB"/>
        </w:rPr>
        <w:t>which it is promptly refused.</w:t>
      </w:r>
      <w:r w:rsidR="001B77E7">
        <w:rPr>
          <w:lang w:val="en-GB"/>
        </w:rPr>
        <w:t xml:space="preserve"> </w:t>
      </w:r>
      <w:r w:rsidRPr="00AB4373">
        <w:rPr>
          <w:lang w:val="en-GB"/>
        </w:rPr>
        <w:t xml:space="preserve"> </w:t>
      </w:r>
    </w:p>
    <w:p w14:paraId="0ECC4343" w14:textId="77777777" w:rsidR="00A53CAB" w:rsidRPr="00AB4373" w:rsidRDefault="00A53CAB" w:rsidP="00A53CAB">
      <w:pPr>
        <w:pStyle w:val="ListParagraph"/>
        <w:jc w:val="both"/>
        <w:rPr>
          <w:lang w:val="en-GB"/>
        </w:rPr>
      </w:pPr>
    </w:p>
    <w:p w14:paraId="64F0E6AC" w14:textId="062D3162" w:rsidR="00987135" w:rsidRDefault="00987135" w:rsidP="00BF7A13">
      <w:pPr>
        <w:jc w:val="both"/>
        <w:rPr>
          <w:lang w:val="en-GB"/>
        </w:rPr>
      </w:pPr>
      <w:r w:rsidRPr="00BF7A13">
        <w:rPr>
          <w:lang w:val="en-GB"/>
        </w:rPr>
        <w:t xml:space="preserve">Advise </w:t>
      </w:r>
      <w:r w:rsidR="00DC7C27" w:rsidRPr="00BF7A13">
        <w:rPr>
          <w:lang w:val="en-GB"/>
        </w:rPr>
        <w:t xml:space="preserve">The </w:t>
      </w:r>
      <w:r w:rsidRPr="00BF7A13">
        <w:rPr>
          <w:lang w:val="en-GB"/>
        </w:rPr>
        <w:t xml:space="preserve">Daily. </w:t>
      </w:r>
    </w:p>
    <w:p w14:paraId="5D57577D" w14:textId="0E1F3550" w:rsidR="0029695C" w:rsidRDefault="0029695C" w:rsidP="00BF7A13">
      <w:pPr>
        <w:jc w:val="both"/>
        <w:rPr>
          <w:lang w:val="en-GB"/>
        </w:rPr>
      </w:pPr>
      <w:r>
        <w:rPr>
          <w:lang w:val="en-GB"/>
        </w:rPr>
        <w:t xml:space="preserve">Intro </w:t>
      </w:r>
      <w:r w:rsidRPr="0029695C">
        <w:rPr>
          <w:lang w:val="en-GB"/>
        </w:rPr>
        <w:sym w:font="Wingdings" w:char="F0E0"/>
      </w:r>
      <w:r>
        <w:rPr>
          <w:lang w:val="en-GB"/>
        </w:rPr>
        <w:t xml:space="preserve"> Freedom of establishment, cross border, horizontal/ vertical application </w:t>
      </w:r>
    </w:p>
    <w:p w14:paraId="76CECD8D" w14:textId="77777777" w:rsidR="00F06DD6" w:rsidRDefault="00F06DD6" w:rsidP="00BF7A13">
      <w:pPr>
        <w:jc w:val="both"/>
        <w:rPr>
          <w:lang w:val="en-GB"/>
        </w:rPr>
      </w:pPr>
    </w:p>
    <w:p w14:paraId="75407BA0" w14:textId="77777777" w:rsidR="00E147D1" w:rsidRDefault="00E147D1" w:rsidP="00E147D1">
      <w:pPr>
        <w:pStyle w:val="Heading4"/>
      </w:pPr>
      <w:r>
        <w:t>Personal Scope of Article 49 TFEU</w:t>
      </w:r>
    </w:p>
    <w:p w14:paraId="31C7777A" w14:textId="77777777" w:rsidR="0029695C" w:rsidRDefault="00E147D1" w:rsidP="00E147D1">
      <w:pPr>
        <w:pStyle w:val="break-words"/>
      </w:pPr>
      <w:r>
        <w:t xml:space="preserve">The Daily, an Irish company, qualifies as a legal entity under Article 54 TFEU, which extends establishment rights to companies formed under a Member State’s law with a registered office, central administration, or principal place of business in the EU. As an Irish-incorporated tabloid, it meets these connecting factors, and Ireland’s adoption of the incorporation doctrine reinforces its status under Irish law, irrespective of operational location. </w:t>
      </w:r>
    </w:p>
    <w:p w14:paraId="45D3B145" w14:textId="3A9CF09D" w:rsidR="00E147D1" w:rsidRDefault="00E147D1" w:rsidP="00E147D1">
      <w:pPr>
        <w:pStyle w:val="break-words"/>
      </w:pPr>
      <w:r>
        <w:t xml:space="preserve">Article 49 TFEU applies, as The Daily seeks to establish a branch in France, an intra-Union move distinct from the purely internal situations excluded per </w:t>
      </w:r>
      <w:r>
        <w:rPr>
          <w:rStyle w:val="Emphasis"/>
        </w:rPr>
        <w:t>Kraus</w:t>
      </w:r>
      <w:r>
        <w:t xml:space="preserve"> (C-19/92), where a returnee’s rights were upheld due to prior movement.</w:t>
      </w:r>
    </w:p>
    <w:p w14:paraId="65447F8D" w14:textId="77777777" w:rsidR="00E147D1" w:rsidRDefault="00E147D1" w:rsidP="00E147D1">
      <w:pPr>
        <w:pStyle w:val="Heading4"/>
      </w:pPr>
      <w:r>
        <w:t>Material Scope - Rights Granted by Article 49 TFEU</w:t>
      </w:r>
    </w:p>
    <w:p w14:paraId="40282CD5" w14:textId="77777777" w:rsidR="0029695C" w:rsidRDefault="00E147D1" w:rsidP="00893BA2">
      <w:pPr>
        <w:pStyle w:val="break-words"/>
      </w:pPr>
      <w:r>
        <w:rPr>
          <w:rStyle w:val="Strong"/>
        </w:rPr>
        <w:t>Right to Leave, Enter, and Stay</w:t>
      </w:r>
      <w:r>
        <w:t xml:space="preserve">: Article 49 TFEU grants The Daily the right to set up branches in another Member State, here France, on a stable basis, per </w:t>
      </w:r>
      <w:proofErr w:type="spellStart"/>
      <w:r>
        <w:rPr>
          <w:rStyle w:val="Emphasis"/>
        </w:rPr>
        <w:t>Gebhard</w:t>
      </w:r>
      <w:proofErr w:type="spellEnd"/>
      <w:r>
        <w:t xml:space="preserve"> (C-55/94), where establishment was broadly defined as participation in economic life. </w:t>
      </w:r>
    </w:p>
    <w:p w14:paraId="0FDE3C1C" w14:textId="59A593E9" w:rsidR="00E147D1" w:rsidRDefault="00E147D1" w:rsidP="00893BA2">
      <w:pPr>
        <w:pStyle w:val="break-words"/>
      </w:pPr>
      <w:r>
        <w:t xml:space="preserve">However, Ireland’s new legislation requiring consent for companies above a certain capitalization to operate via branches abroad restricts this right. In </w:t>
      </w:r>
      <w:r>
        <w:rPr>
          <w:rStyle w:val="Emphasis"/>
        </w:rPr>
        <w:t>Daily Mail</w:t>
      </w:r>
      <w:r>
        <w:t xml:space="preserve"> (C-81/87), the ECJ held that Member States can regulate a company’s outbound transfer of management (requiring UK consent), suggesting Ireland retains some control over The Daily’s exit. Yet, </w:t>
      </w:r>
      <w:proofErr w:type="spellStart"/>
      <w:r>
        <w:rPr>
          <w:rStyle w:val="Emphasis"/>
        </w:rPr>
        <w:t>Centros</w:t>
      </w:r>
      <w:proofErr w:type="spellEnd"/>
      <w:r>
        <w:t xml:space="preserve"> (C-212/97) clarified that setting up a branch abroad is a core establishment right under Articles 49 and 54 TFEU, and restrictions must be justified.</w:t>
      </w:r>
    </w:p>
    <w:p w14:paraId="5BB4C9A0" w14:textId="77777777" w:rsidR="00E147D1" w:rsidRDefault="00E147D1" w:rsidP="00893BA2">
      <w:pPr>
        <w:pStyle w:val="break-words"/>
      </w:pPr>
      <w:r>
        <w:rPr>
          <w:rStyle w:val="Strong"/>
        </w:rPr>
        <w:t>Right Not to Be Discriminated Against</w:t>
      </w:r>
      <w:r>
        <w:t xml:space="preserve">: </w:t>
      </w:r>
    </w:p>
    <w:p w14:paraId="41A7D598" w14:textId="77777777" w:rsidR="00E147D1" w:rsidRDefault="00E147D1" w:rsidP="00E147D1">
      <w:pPr>
        <w:pStyle w:val="break-words"/>
      </w:pPr>
      <w:r>
        <w:rPr>
          <w:rStyle w:val="Emphasis"/>
        </w:rPr>
        <w:t>Direct Discrimination</w:t>
      </w:r>
      <w:r>
        <w:t xml:space="preserve">: The Irish rule applies only to Irish companies, not foreign ones establishing branches in Ireland, constituting direct discrimination based on nationality (or place of incorporation). Per the handout, this can only be justified under Treaty derogations (Article 52 TFEU) or the official authority exception (Article 51 TFEU), narrowly interpreted per </w:t>
      </w:r>
      <w:proofErr w:type="spellStart"/>
      <w:r>
        <w:rPr>
          <w:rStyle w:val="Emphasis"/>
        </w:rPr>
        <w:t>Reyners</w:t>
      </w:r>
      <w:proofErr w:type="spellEnd"/>
      <w:r>
        <w:t xml:space="preserve"> (C-2/74). No evidence suggests publishing involves official authority, and Ireland’s aim (curbing branch reliance) lacks a clear public policy, security, or health basis under Article 52 TFEU.</w:t>
      </w:r>
    </w:p>
    <w:p w14:paraId="5EB9F338" w14:textId="77777777" w:rsidR="00E147D1" w:rsidRDefault="00E147D1" w:rsidP="00E147D1">
      <w:pPr>
        <w:pStyle w:val="break-words"/>
      </w:pPr>
      <w:r>
        <w:rPr>
          <w:rStyle w:val="Emphasis"/>
        </w:rPr>
        <w:t>Indirect Discrimination</w:t>
      </w:r>
      <w:r>
        <w:t xml:space="preserve">: If interpreted as neutral (affecting all large Irish firms), it still disproportionately impacts those seeking cross-border establishment, akin to residence rules in </w:t>
      </w:r>
      <w:r>
        <w:rPr>
          <w:rStyle w:val="Emphasis"/>
        </w:rPr>
        <w:t>Commission v Luxembourg</w:t>
      </w:r>
      <w:r>
        <w:t xml:space="preserve"> (C-111/91), requiring justification.</w:t>
      </w:r>
    </w:p>
    <w:p w14:paraId="1EB4A4BB" w14:textId="77777777" w:rsidR="00E147D1" w:rsidRDefault="00E147D1" w:rsidP="00893BA2">
      <w:pPr>
        <w:pStyle w:val="break-words"/>
      </w:pPr>
      <w:r>
        <w:rPr>
          <w:rStyle w:val="Strong"/>
        </w:rPr>
        <w:t>Right to Have More Than One Establishment</w:t>
      </w:r>
      <w:r>
        <w:t xml:space="preserve">: The Daily’s plan aligns with </w:t>
      </w:r>
      <w:r>
        <w:rPr>
          <w:rStyle w:val="Emphasis"/>
        </w:rPr>
        <w:t>Klopp</w:t>
      </w:r>
      <w:r>
        <w:t xml:space="preserve"> (C-107/83), where operating in multiple Member States was upheld under Article 49 TFEU. The Irish restriction directly hinders this right by </w:t>
      </w:r>
      <w:proofErr w:type="spellStart"/>
      <w:r>
        <w:t>favoring</w:t>
      </w:r>
      <w:proofErr w:type="spellEnd"/>
      <w:r>
        <w:t xml:space="preserve"> subsidiaries over branches.</w:t>
      </w:r>
    </w:p>
    <w:p w14:paraId="1320574E" w14:textId="77777777" w:rsidR="00E147D1" w:rsidRDefault="00E147D1" w:rsidP="00893BA2">
      <w:pPr>
        <w:pStyle w:val="break-words"/>
      </w:pPr>
      <w:r>
        <w:rPr>
          <w:rStyle w:val="Strong"/>
        </w:rPr>
        <w:lastRenderedPageBreak/>
        <w:t>Non-Discriminatory Barriers</w:t>
      </w:r>
      <w:r>
        <w:t xml:space="preserve">: Even if non-discriminatory, the consent requirement hinders establishment, per </w:t>
      </w:r>
      <w:proofErr w:type="spellStart"/>
      <w:r>
        <w:rPr>
          <w:rStyle w:val="Emphasis"/>
        </w:rPr>
        <w:t>Gebhard</w:t>
      </w:r>
      <w:r>
        <w:t>’s</w:t>
      </w:r>
      <w:proofErr w:type="spellEnd"/>
      <w:r>
        <w:t xml:space="preserve"> test (hindrance or less attractiveness). Ireland must justify it via imperative requirements (e.g., economic stability) and proportionality. The prompt refusal suggests a blanket policy, unlikely to meet </w:t>
      </w:r>
      <w:r>
        <w:rPr>
          <w:rStyle w:val="Emphasis"/>
        </w:rPr>
        <w:t>SEVIC Systems</w:t>
      </w:r>
      <w:r>
        <w:t xml:space="preserve"> (C-411/03) standards, where Germany’s general ban on cross-border mergers was disproportionate.</w:t>
      </w:r>
    </w:p>
    <w:p w14:paraId="0515F0EA" w14:textId="32E8DCF6" w:rsidR="00F06DD6" w:rsidRDefault="00E147D1" w:rsidP="0029695C">
      <w:pPr>
        <w:pStyle w:val="break-words"/>
      </w:pPr>
      <w:r>
        <w:rPr>
          <w:rStyle w:val="Strong"/>
        </w:rPr>
        <w:t>Controversies - Company Mobility and Regulatory Competition</w:t>
      </w:r>
      <w:r>
        <w:t xml:space="preserve">: The Irish law reflects fears of regulatory arbitrage, per the handout, akin to Germany’s real seat doctrine in </w:t>
      </w:r>
      <w:proofErr w:type="spellStart"/>
      <w:r>
        <w:rPr>
          <w:rStyle w:val="Emphasis"/>
        </w:rPr>
        <w:t>Überseering</w:t>
      </w:r>
      <w:proofErr w:type="spellEnd"/>
      <w:r>
        <w:t xml:space="preserve"> (C-208/00). Yet, </w:t>
      </w:r>
      <w:proofErr w:type="spellStart"/>
      <w:r>
        <w:rPr>
          <w:rStyle w:val="Emphasis"/>
        </w:rPr>
        <w:t>Centros</w:t>
      </w:r>
      <w:proofErr w:type="spellEnd"/>
      <w:r>
        <w:t xml:space="preserve"> and </w:t>
      </w:r>
      <w:r>
        <w:rPr>
          <w:rStyle w:val="Emphasis"/>
        </w:rPr>
        <w:t>Inspire Art</w:t>
      </w:r>
      <w:r>
        <w:t xml:space="preserve"> (C-167/01) protect companies establishing branches abroad to leverage lenient rules, suggesting Ireland’s restriction contravenes EU law unless justified. No social dumping clash (per </w:t>
      </w:r>
      <w:r>
        <w:rPr>
          <w:rStyle w:val="Emphasis"/>
        </w:rPr>
        <w:t>Viking</w:t>
      </w:r>
      <w:r>
        <w:t>, C-438/05) applies here.</w:t>
      </w:r>
    </w:p>
    <w:p w14:paraId="602B0C7E" w14:textId="0421370B" w:rsidR="0029695C" w:rsidRPr="0029695C" w:rsidRDefault="0029695C" w:rsidP="0029695C">
      <w:pPr>
        <w:pStyle w:val="break-words"/>
      </w:pPr>
      <w:r>
        <w:sym w:font="Wingdings" w:char="F0E0"/>
      </w:r>
      <w:r>
        <w:t xml:space="preserve"> no justification </w:t>
      </w:r>
      <w:r>
        <w:sym w:font="Wingdings" w:char="F0E0"/>
      </w:r>
      <w:r>
        <w:t xml:space="preserve"> excessive reliance on branches </w:t>
      </w:r>
      <w:r>
        <w:sym w:font="Wingdings" w:char="F0E0"/>
      </w:r>
      <w:r>
        <w:t xml:space="preserve"> this is not a valid justification </w:t>
      </w:r>
    </w:p>
    <w:p w14:paraId="54BDD217" w14:textId="5BC7F620" w:rsidR="00863AB1" w:rsidRDefault="00286B25" w:rsidP="00987135">
      <w:pPr>
        <w:jc w:val="both"/>
        <w:rPr>
          <w:lang w:val="en-GB"/>
        </w:rPr>
      </w:pPr>
      <w:r>
        <w:rPr>
          <w:noProof/>
        </w:rPr>
        <w:pict w14:anchorId="213A0424">
          <v:rect id="_x0000_i1026" alt="" style="width:451.3pt;height:.05pt;mso-width-percent:0;mso-height-percent:0;mso-width-percent:0;mso-height-percent:0" o:hralign="center" o:hrstd="t" o:hr="t" fillcolor="#a0a0a0" stroked="f"/>
        </w:pict>
      </w:r>
    </w:p>
    <w:p w14:paraId="75FC7FE6" w14:textId="77777777" w:rsidR="00F243D6" w:rsidRPr="00AB4373" w:rsidRDefault="00F243D6" w:rsidP="00987135">
      <w:pPr>
        <w:jc w:val="both"/>
        <w:rPr>
          <w:lang w:val="en-GB"/>
        </w:rPr>
      </w:pPr>
    </w:p>
    <w:p w14:paraId="41E0BE20" w14:textId="60CF477A" w:rsidR="005C2D43" w:rsidRPr="0029695C" w:rsidRDefault="00987135" w:rsidP="005C2D43">
      <w:pPr>
        <w:pStyle w:val="ListParagraph"/>
        <w:numPr>
          <w:ilvl w:val="0"/>
          <w:numId w:val="9"/>
        </w:numPr>
        <w:jc w:val="both"/>
        <w:rPr>
          <w:b/>
          <w:bCs/>
          <w:u w:val="single"/>
          <w:lang w:val="en-GB"/>
        </w:rPr>
      </w:pPr>
      <w:r w:rsidRPr="00AB4373">
        <w:rPr>
          <w:lang w:val="en-GB"/>
        </w:rPr>
        <w:t>The Wagner’s are a German couple that wish to set up a company in</w:t>
      </w:r>
      <w:r w:rsidR="00EC323E">
        <w:rPr>
          <w:lang w:val="en-GB"/>
        </w:rPr>
        <w:t xml:space="preserve"> Malta</w:t>
      </w:r>
      <w:r w:rsidR="00095AF6" w:rsidRPr="00AB4373">
        <w:rPr>
          <w:lang w:val="en-GB"/>
        </w:rPr>
        <w:t xml:space="preserve">. They want to take advantage of </w:t>
      </w:r>
      <w:r w:rsidR="00095AF6" w:rsidRPr="00863AB1">
        <w:rPr>
          <w:b/>
          <w:bCs/>
          <w:lang w:val="en-GB"/>
        </w:rPr>
        <w:t xml:space="preserve">the </w:t>
      </w:r>
      <w:r w:rsidR="00095AF6" w:rsidRPr="00863AB1">
        <w:rPr>
          <w:b/>
          <w:bCs/>
          <w:u w:val="single"/>
          <w:lang w:val="en-GB"/>
        </w:rPr>
        <w:t xml:space="preserve">fact </w:t>
      </w:r>
      <w:r w:rsidR="00095AF6" w:rsidRPr="00E147D1">
        <w:rPr>
          <w:b/>
          <w:bCs/>
          <w:color w:val="FF0000"/>
          <w:u w:val="single"/>
          <w:lang w:val="en-GB"/>
        </w:rPr>
        <w:t xml:space="preserve">that </w:t>
      </w:r>
      <w:r w:rsidRPr="00E147D1">
        <w:rPr>
          <w:b/>
          <w:bCs/>
          <w:color w:val="FF0000"/>
          <w:u w:val="single"/>
          <w:lang w:val="en-GB"/>
        </w:rPr>
        <w:t xml:space="preserve">incorporating a company in </w:t>
      </w:r>
      <w:r w:rsidR="00EC323E" w:rsidRPr="00E147D1">
        <w:rPr>
          <w:b/>
          <w:bCs/>
          <w:color w:val="FF0000"/>
          <w:u w:val="single"/>
          <w:lang w:val="en-GB"/>
        </w:rPr>
        <w:t>Malta</w:t>
      </w:r>
      <w:r w:rsidRPr="00E147D1">
        <w:rPr>
          <w:b/>
          <w:bCs/>
          <w:color w:val="FF0000"/>
          <w:u w:val="single"/>
          <w:lang w:val="en-GB"/>
        </w:rPr>
        <w:t xml:space="preserve"> is much cheaper than establishing a company in Germany</w:t>
      </w:r>
      <w:r w:rsidR="00B76677" w:rsidRPr="00E147D1">
        <w:rPr>
          <w:b/>
          <w:bCs/>
          <w:color w:val="FF0000"/>
          <w:u w:val="single"/>
          <w:lang w:val="en-GB"/>
        </w:rPr>
        <w:t>.</w:t>
      </w:r>
      <w:r w:rsidR="00B76677">
        <w:rPr>
          <w:lang w:val="en-GB"/>
        </w:rPr>
        <w:t xml:space="preserve"> A</w:t>
      </w:r>
      <w:r w:rsidR="00825D6B">
        <w:rPr>
          <w:lang w:val="en-GB"/>
        </w:rPr>
        <w:t xml:space="preserve">ccording to </w:t>
      </w:r>
      <w:r w:rsidR="00EC323E">
        <w:rPr>
          <w:lang w:val="en-GB"/>
        </w:rPr>
        <w:t>Maltese</w:t>
      </w:r>
      <w:r w:rsidR="00825D6B">
        <w:rPr>
          <w:lang w:val="en-GB"/>
        </w:rPr>
        <w:t xml:space="preserve"> law, </w:t>
      </w:r>
      <w:r w:rsidR="00825D6B" w:rsidRPr="00E147D1">
        <w:rPr>
          <w:b/>
          <w:bCs/>
          <w:lang w:val="en-GB"/>
        </w:rPr>
        <w:t>the minimum capital for establishing a company is just EUR1 whereas in Germany it is many thousands of euros</w:t>
      </w:r>
      <w:r w:rsidR="00825D6B">
        <w:rPr>
          <w:lang w:val="en-GB"/>
        </w:rPr>
        <w:t>.</w:t>
      </w:r>
      <w:r w:rsidRPr="00AB4373">
        <w:rPr>
          <w:lang w:val="en-GB"/>
        </w:rPr>
        <w:t xml:space="preserve"> </w:t>
      </w:r>
      <w:r w:rsidR="008B6760">
        <w:rPr>
          <w:lang w:val="en-GB"/>
        </w:rPr>
        <w:t>They also</w:t>
      </w:r>
      <w:r w:rsidR="00B629EC">
        <w:rPr>
          <w:lang w:val="en-GB"/>
        </w:rPr>
        <w:t xml:space="preserve"> </w:t>
      </w:r>
      <w:r w:rsidR="008B6760">
        <w:rPr>
          <w:lang w:val="en-GB"/>
        </w:rPr>
        <w:t xml:space="preserve">hope that using a Maltese company </w:t>
      </w:r>
      <w:r w:rsidR="008B6760" w:rsidRPr="00AB4373">
        <w:rPr>
          <w:lang w:val="en-GB"/>
        </w:rPr>
        <w:t xml:space="preserve">will greatly </w:t>
      </w:r>
      <w:r w:rsidR="008B6760" w:rsidRPr="00863AB1">
        <w:rPr>
          <w:b/>
          <w:bCs/>
          <w:lang w:val="en-GB"/>
        </w:rPr>
        <w:t xml:space="preserve">facilitate ‘cooking the </w:t>
      </w:r>
      <w:proofErr w:type="gramStart"/>
      <w:r w:rsidR="008B6760" w:rsidRPr="00863AB1">
        <w:rPr>
          <w:b/>
          <w:bCs/>
          <w:lang w:val="en-GB"/>
        </w:rPr>
        <w:t>books’</w:t>
      </w:r>
      <w:proofErr w:type="gramEnd"/>
      <w:r w:rsidR="008B6760" w:rsidRPr="00AB4373">
        <w:rPr>
          <w:lang w:val="en-GB"/>
        </w:rPr>
        <w:t>.</w:t>
      </w:r>
      <w:r w:rsidR="008B6760">
        <w:rPr>
          <w:lang w:val="en-GB"/>
        </w:rPr>
        <w:t xml:space="preserve"> </w:t>
      </w:r>
      <w:r w:rsidRPr="00AB4373">
        <w:rPr>
          <w:lang w:val="en-GB"/>
        </w:rPr>
        <w:t>The</w:t>
      </w:r>
      <w:r w:rsidR="00B76677">
        <w:rPr>
          <w:lang w:val="en-GB"/>
        </w:rPr>
        <w:t xml:space="preserve"> couple</w:t>
      </w:r>
      <w:r w:rsidRPr="00AB4373">
        <w:rPr>
          <w:lang w:val="en-GB"/>
        </w:rPr>
        <w:t xml:space="preserve"> </w:t>
      </w:r>
      <w:r w:rsidR="00DB5982" w:rsidRPr="00AB4373">
        <w:rPr>
          <w:lang w:val="en-GB"/>
        </w:rPr>
        <w:t xml:space="preserve">subsequently </w:t>
      </w:r>
      <w:r w:rsidRPr="00AB4373">
        <w:rPr>
          <w:lang w:val="en-GB"/>
        </w:rPr>
        <w:t>plan</w:t>
      </w:r>
      <w:r w:rsidR="00090DCD">
        <w:rPr>
          <w:lang w:val="en-GB"/>
        </w:rPr>
        <w:t>s</w:t>
      </w:r>
      <w:r w:rsidRPr="00AB4373">
        <w:rPr>
          <w:lang w:val="en-GB"/>
        </w:rPr>
        <w:t xml:space="preserve"> to set </w:t>
      </w:r>
      <w:r w:rsidR="00B76677">
        <w:rPr>
          <w:lang w:val="en-GB"/>
        </w:rPr>
        <w:t xml:space="preserve">up </w:t>
      </w:r>
      <w:r w:rsidRPr="00AB4373">
        <w:rPr>
          <w:lang w:val="en-GB"/>
        </w:rPr>
        <w:t xml:space="preserve">a branch in Germany which they intend to use in order to carry out all their business activities. However, </w:t>
      </w:r>
      <w:r w:rsidRPr="0029695C">
        <w:rPr>
          <w:b/>
          <w:bCs/>
          <w:u w:val="single"/>
          <w:lang w:val="en-GB"/>
        </w:rPr>
        <w:t>the German authorities refuse to register the branch in Germany</w:t>
      </w:r>
      <w:r w:rsidR="00DB5982" w:rsidRPr="0029695C">
        <w:rPr>
          <w:b/>
          <w:bCs/>
          <w:u w:val="single"/>
          <w:lang w:val="en-GB"/>
        </w:rPr>
        <w:t xml:space="preserve"> and </w:t>
      </w:r>
      <w:r w:rsidR="00B76677" w:rsidRPr="0029695C">
        <w:rPr>
          <w:b/>
          <w:bCs/>
          <w:u w:val="single"/>
          <w:lang w:val="en-GB"/>
        </w:rPr>
        <w:t xml:space="preserve">bring </w:t>
      </w:r>
      <w:r w:rsidR="00825D6B" w:rsidRPr="0029695C">
        <w:rPr>
          <w:b/>
          <w:bCs/>
          <w:u w:val="single"/>
          <w:lang w:val="en-GB"/>
        </w:rPr>
        <w:t xml:space="preserve">criminal </w:t>
      </w:r>
      <w:r w:rsidR="00DB5982" w:rsidRPr="0029695C">
        <w:rPr>
          <w:b/>
          <w:bCs/>
          <w:u w:val="single"/>
          <w:lang w:val="en-GB"/>
        </w:rPr>
        <w:t>proceedings against the Wagner’s in Germany</w:t>
      </w:r>
      <w:r w:rsidRPr="0029695C">
        <w:rPr>
          <w:b/>
          <w:bCs/>
          <w:u w:val="single"/>
          <w:lang w:val="en-GB"/>
        </w:rPr>
        <w:t xml:space="preserve">. </w:t>
      </w:r>
    </w:p>
    <w:p w14:paraId="02C7912E" w14:textId="77777777" w:rsidR="00BF7A13" w:rsidRPr="0029695C" w:rsidRDefault="00BF7A13" w:rsidP="00BF7A13">
      <w:pPr>
        <w:jc w:val="both"/>
        <w:rPr>
          <w:u w:val="single"/>
          <w:lang w:val="en-GB"/>
        </w:rPr>
      </w:pPr>
    </w:p>
    <w:p w14:paraId="206C2030" w14:textId="6D9EDE6B" w:rsidR="005C2D43" w:rsidRDefault="00DB5982" w:rsidP="00BF7A13">
      <w:pPr>
        <w:jc w:val="both"/>
        <w:rPr>
          <w:lang w:val="en-GB"/>
        </w:rPr>
      </w:pPr>
      <w:r w:rsidRPr="00BF7A13">
        <w:rPr>
          <w:lang w:val="en-GB"/>
        </w:rPr>
        <w:t xml:space="preserve">Advise the Wagner’s on their EU law rights. </w:t>
      </w:r>
    </w:p>
    <w:p w14:paraId="782B07F7" w14:textId="4909801A" w:rsidR="0029695C" w:rsidRDefault="0029695C" w:rsidP="00BF7A13">
      <w:pPr>
        <w:jc w:val="both"/>
        <w:rPr>
          <w:lang w:val="en-GB"/>
        </w:rPr>
      </w:pPr>
      <w:r>
        <w:rPr>
          <w:lang w:val="en-GB"/>
        </w:rPr>
        <w:t xml:space="preserve">Establishment of corporation, cross border, vertical </w:t>
      </w:r>
    </w:p>
    <w:p w14:paraId="46BF193D" w14:textId="48920005" w:rsidR="0029695C" w:rsidRDefault="0029695C" w:rsidP="00BF7A13">
      <w:pPr>
        <w:jc w:val="both"/>
        <w:rPr>
          <w:lang w:val="en-GB"/>
        </w:rPr>
      </w:pPr>
      <w:r>
        <w:rPr>
          <w:lang w:val="en-GB"/>
        </w:rPr>
        <w:t xml:space="preserve">2 restrictions </w:t>
      </w:r>
    </w:p>
    <w:p w14:paraId="4129165E" w14:textId="77777777" w:rsidR="00E147D1" w:rsidRDefault="00E147D1" w:rsidP="00E147D1">
      <w:pPr>
        <w:pStyle w:val="Heading4"/>
      </w:pPr>
      <w:r>
        <w:t>Personal Scope of Article 49 TFEU</w:t>
      </w:r>
    </w:p>
    <w:p w14:paraId="6907545A" w14:textId="77777777" w:rsidR="0029695C" w:rsidRDefault="00E147D1" w:rsidP="00E147D1">
      <w:pPr>
        <w:pStyle w:val="break-words"/>
      </w:pPr>
      <w:r>
        <w:t xml:space="preserve">The </w:t>
      </w:r>
      <w:proofErr w:type="spellStart"/>
      <w:r>
        <w:t>Wagners</w:t>
      </w:r>
      <w:proofErr w:type="spellEnd"/>
      <w:r>
        <w:t xml:space="preserve">, German nationals, and their Maltese company fall under Article 49 TFEU (individuals) and Article 54 TFEU (companies). The company, incorporated in Malta with a EUR1 minimum capital, satisfies Malta’s incorporation doctrine, a valid connecting factor per </w:t>
      </w:r>
      <w:proofErr w:type="spellStart"/>
      <w:r>
        <w:rPr>
          <w:rStyle w:val="Emphasis"/>
        </w:rPr>
        <w:t>Cartesio</w:t>
      </w:r>
      <w:proofErr w:type="spellEnd"/>
      <w:r>
        <w:t xml:space="preserve"> (C-210/06), where Member States define incorporation rules. </w:t>
      </w:r>
    </w:p>
    <w:p w14:paraId="604BDA94" w14:textId="6E8B173C" w:rsidR="00E147D1" w:rsidRDefault="00E147D1" w:rsidP="00E147D1">
      <w:pPr>
        <w:pStyle w:val="break-words"/>
      </w:pPr>
      <w:r>
        <w:t>Their plan to establish a German branch involves an intra-Union element, distinguishing it from purely internal cases (</w:t>
      </w:r>
      <w:r>
        <w:rPr>
          <w:rStyle w:val="Emphasis"/>
        </w:rPr>
        <w:t>Kraus</w:t>
      </w:r>
      <w:r>
        <w:t>, C-19/92), engaging EU law.</w:t>
      </w:r>
    </w:p>
    <w:p w14:paraId="590D5614" w14:textId="77777777" w:rsidR="00E147D1" w:rsidRDefault="00E147D1" w:rsidP="00E147D1">
      <w:pPr>
        <w:pStyle w:val="Heading4"/>
      </w:pPr>
      <w:r>
        <w:t>Material Scope - Rights Granted by Article 49 TFEU</w:t>
      </w:r>
    </w:p>
    <w:p w14:paraId="6FAC0FD6" w14:textId="77777777" w:rsidR="00E147D1" w:rsidRDefault="00E147D1" w:rsidP="00E147D1">
      <w:pPr>
        <w:pStyle w:val="break-words"/>
      </w:pPr>
      <w:r>
        <w:rPr>
          <w:rStyle w:val="Strong"/>
        </w:rPr>
        <w:t>Right to Leave, Enter, and Stay</w:t>
      </w:r>
      <w:r>
        <w:t xml:space="preserve">: The </w:t>
      </w:r>
      <w:proofErr w:type="spellStart"/>
      <w:r>
        <w:t>Wagners</w:t>
      </w:r>
      <w:proofErr w:type="spellEnd"/>
      <w:r>
        <w:t xml:space="preserve">’ incorporation in Malta and branch setup in Germany exercise establishment rights under Articles 49 and 54 TFEU. </w:t>
      </w:r>
      <w:proofErr w:type="spellStart"/>
      <w:r>
        <w:rPr>
          <w:rStyle w:val="Emphasis"/>
        </w:rPr>
        <w:t>Centros</w:t>
      </w:r>
      <w:proofErr w:type="spellEnd"/>
      <w:r>
        <w:t xml:space="preserve"> (C-212/97) upheld a UK company’s Danish branch despite no UK activity, affirming this right. Germany’s refusal to register the branch restricts this, but </w:t>
      </w:r>
      <w:proofErr w:type="spellStart"/>
      <w:r>
        <w:rPr>
          <w:rStyle w:val="Emphasis"/>
        </w:rPr>
        <w:t>Überseering</w:t>
      </w:r>
      <w:proofErr w:type="spellEnd"/>
      <w:r>
        <w:t xml:space="preserve"> (C-208/00) held Germany must recognize a Dutch company’s capacity, suggesting recognition obligations for inbound establishment.</w:t>
      </w:r>
    </w:p>
    <w:p w14:paraId="36E86507" w14:textId="77777777" w:rsidR="00E147D1" w:rsidRDefault="00E147D1" w:rsidP="00E147D1">
      <w:pPr>
        <w:pStyle w:val="break-words"/>
      </w:pPr>
      <w:r>
        <w:rPr>
          <w:rStyle w:val="Strong"/>
        </w:rPr>
        <w:t>Right Not to Be Discriminated Against</w:t>
      </w:r>
      <w:r>
        <w:t xml:space="preserve">: </w:t>
      </w:r>
    </w:p>
    <w:p w14:paraId="0C7880C2" w14:textId="77777777" w:rsidR="00E147D1" w:rsidRDefault="00E147D1" w:rsidP="00E147D1">
      <w:pPr>
        <w:pStyle w:val="break-words"/>
      </w:pPr>
      <w:r>
        <w:rPr>
          <w:rStyle w:val="Emphasis"/>
        </w:rPr>
        <w:t>Direct Discrimination</w:t>
      </w:r>
      <w:r>
        <w:t xml:space="preserve">: The refusal targets a Maltese company, potentially discriminating against non-German entities. Per </w:t>
      </w:r>
      <w:proofErr w:type="spellStart"/>
      <w:r>
        <w:rPr>
          <w:rStyle w:val="Emphasis"/>
        </w:rPr>
        <w:t>Centros</w:t>
      </w:r>
      <w:proofErr w:type="spellEnd"/>
      <w:r>
        <w:t xml:space="preserve">, this violates Articles 49 and 54 TFEU unless justified under Article 52 TFEU (e.g., public policy) or Article 51 TFEU (official authority, inapplicable here per </w:t>
      </w:r>
      <w:proofErr w:type="spellStart"/>
      <w:r>
        <w:rPr>
          <w:rStyle w:val="Emphasis"/>
        </w:rPr>
        <w:lastRenderedPageBreak/>
        <w:t>Reyners</w:t>
      </w:r>
      <w:proofErr w:type="spellEnd"/>
      <w:r>
        <w:t>, C-2/74). Criminal proceedings for “cooking the books” suggest a fraud prevention aim, a public policy ground, but must be proportionate.</w:t>
      </w:r>
    </w:p>
    <w:p w14:paraId="05F04355" w14:textId="77777777" w:rsidR="00E147D1" w:rsidRDefault="00E147D1" w:rsidP="00E147D1">
      <w:pPr>
        <w:pStyle w:val="break-words"/>
      </w:pPr>
      <w:r>
        <w:rPr>
          <w:rStyle w:val="Emphasis"/>
        </w:rPr>
        <w:t>Indirect Discrimination</w:t>
      </w:r>
      <w:r>
        <w:t xml:space="preserve">: If applied to all foreign firms, it disproportionately affects non-German companies, per </w:t>
      </w:r>
      <w:proofErr w:type="spellStart"/>
      <w:r>
        <w:rPr>
          <w:rStyle w:val="Emphasis"/>
        </w:rPr>
        <w:t>Vlassopoulou</w:t>
      </w:r>
      <w:proofErr w:type="spellEnd"/>
      <w:r>
        <w:t xml:space="preserve"> (C-340/89), requiring justification.</w:t>
      </w:r>
    </w:p>
    <w:p w14:paraId="6D53D7D6" w14:textId="77777777" w:rsidR="00E147D1" w:rsidRDefault="00E147D1" w:rsidP="00E147D1">
      <w:pPr>
        <w:pStyle w:val="break-words"/>
      </w:pPr>
      <w:r>
        <w:rPr>
          <w:rStyle w:val="Strong"/>
        </w:rPr>
        <w:t>Right to Have More Than One Establishment</w:t>
      </w:r>
      <w:r>
        <w:t xml:space="preserve">: </w:t>
      </w:r>
      <w:r>
        <w:rPr>
          <w:rStyle w:val="Emphasis"/>
        </w:rPr>
        <w:t>Klopp</w:t>
      </w:r>
      <w:r>
        <w:t xml:space="preserve"> (C-107/83) supports operating in multiple states. Germany’s refusal hinders this right, per </w:t>
      </w:r>
      <w:proofErr w:type="spellStart"/>
      <w:r>
        <w:rPr>
          <w:rStyle w:val="Emphasis"/>
        </w:rPr>
        <w:t>Centros</w:t>
      </w:r>
      <w:proofErr w:type="spellEnd"/>
      <w:r>
        <w:t>.</w:t>
      </w:r>
    </w:p>
    <w:p w14:paraId="448C2347" w14:textId="77777777" w:rsidR="00E147D1" w:rsidRDefault="00E147D1" w:rsidP="00E147D1">
      <w:pPr>
        <w:pStyle w:val="break-words"/>
      </w:pPr>
      <w:r>
        <w:rPr>
          <w:rStyle w:val="Strong"/>
        </w:rPr>
        <w:t>Non-Discriminatory Barriers</w:t>
      </w:r>
      <w:r>
        <w:t xml:space="preserve">: The refusal, even if uniform, hinders establishment, per </w:t>
      </w:r>
      <w:proofErr w:type="spellStart"/>
      <w:r>
        <w:rPr>
          <w:rStyle w:val="Emphasis"/>
        </w:rPr>
        <w:t>Gebhard</w:t>
      </w:r>
      <w:proofErr w:type="spellEnd"/>
      <w:r>
        <w:t xml:space="preserve"> (C-55/94). Germany must prove fraud prevention is necessary and proportionate, per </w:t>
      </w:r>
      <w:r>
        <w:rPr>
          <w:rStyle w:val="Emphasis"/>
        </w:rPr>
        <w:t>SEVIC</w:t>
      </w:r>
      <w:r>
        <w:t xml:space="preserve"> (C-411/03), where a general ban was excessive.</w:t>
      </w:r>
    </w:p>
    <w:p w14:paraId="4F324245" w14:textId="77777777" w:rsidR="00E147D1" w:rsidRDefault="00E147D1" w:rsidP="00E147D1">
      <w:pPr>
        <w:pStyle w:val="break-words"/>
      </w:pPr>
      <w:r>
        <w:rPr>
          <w:rStyle w:val="Strong"/>
        </w:rPr>
        <w:t>Controversies - Company Mobility and Regulatory Competition</w:t>
      </w:r>
      <w:r>
        <w:t xml:space="preserve">: The </w:t>
      </w:r>
      <w:proofErr w:type="spellStart"/>
      <w:r>
        <w:t>Wagners</w:t>
      </w:r>
      <w:proofErr w:type="spellEnd"/>
      <w:r>
        <w:t xml:space="preserve">’ strategy mirrors </w:t>
      </w:r>
      <w:proofErr w:type="spellStart"/>
      <w:r>
        <w:rPr>
          <w:rStyle w:val="Emphasis"/>
        </w:rPr>
        <w:t>Centros</w:t>
      </w:r>
      <w:proofErr w:type="spellEnd"/>
      <w:r>
        <w:t xml:space="preserve"> and </w:t>
      </w:r>
      <w:r>
        <w:rPr>
          <w:rStyle w:val="Emphasis"/>
        </w:rPr>
        <w:t>Inspire Art</w:t>
      </w:r>
      <w:r>
        <w:t xml:space="preserve"> (C-167/01), leveraging Malta’s lenient rules for arbitrage. The handout notes Germany’s real seat doctrine historically resisted this, but </w:t>
      </w:r>
      <w:proofErr w:type="spellStart"/>
      <w:r>
        <w:rPr>
          <w:rStyle w:val="Emphasis"/>
        </w:rPr>
        <w:t>Überseering</w:t>
      </w:r>
      <w:proofErr w:type="spellEnd"/>
      <w:r>
        <w:t xml:space="preserve"> overrode it, protecting inbound rights. </w:t>
      </w:r>
      <w:r>
        <w:rPr>
          <w:rStyle w:val="Emphasis"/>
        </w:rPr>
        <w:t>Daily Mail</w:t>
      </w:r>
      <w:r>
        <w:t xml:space="preserve"> (C-81/87) limits outbound restrictions, not inbound refusals. Criminal proceedings raise fraud concerns, but </w:t>
      </w:r>
      <w:proofErr w:type="spellStart"/>
      <w:r>
        <w:rPr>
          <w:rStyle w:val="Emphasis"/>
        </w:rPr>
        <w:t>Centros</w:t>
      </w:r>
      <w:proofErr w:type="spellEnd"/>
      <w:r>
        <w:t xml:space="preserve"> held intent to bypass rules isn’t abuse unless proven fraudulent, an uncertainty here.</w:t>
      </w:r>
    </w:p>
    <w:p w14:paraId="3DC93948" w14:textId="382A410C" w:rsidR="00863AB1" w:rsidRDefault="00AE43C8" w:rsidP="00863AB1">
      <w:pPr>
        <w:rPr>
          <w:lang w:val="en-GB"/>
        </w:rPr>
      </w:pPr>
      <w:r w:rsidRPr="00AE43C8">
        <w:rPr>
          <w:lang w:val="en-GB"/>
        </w:rPr>
        <w:sym w:font="Wingdings" w:char="F0E0"/>
      </w:r>
      <w:r>
        <w:rPr>
          <w:lang w:val="en-GB"/>
        </w:rPr>
        <w:t xml:space="preserve"> </w:t>
      </w:r>
      <w:proofErr w:type="spellStart"/>
      <w:r>
        <w:rPr>
          <w:lang w:val="en-GB"/>
        </w:rPr>
        <w:t>Centros</w:t>
      </w:r>
      <w:proofErr w:type="spellEnd"/>
      <w:r>
        <w:rPr>
          <w:lang w:val="en-GB"/>
        </w:rPr>
        <w:t xml:space="preserve"> </w:t>
      </w:r>
      <w:r w:rsidRPr="00AE43C8">
        <w:rPr>
          <w:lang w:val="en-GB"/>
        </w:rPr>
        <w:sym w:font="Wingdings" w:char="F0E0"/>
      </w:r>
      <w:r>
        <w:rPr>
          <w:lang w:val="en-GB"/>
        </w:rPr>
        <w:t xml:space="preserve"> case </w:t>
      </w:r>
    </w:p>
    <w:p w14:paraId="6266590A" w14:textId="4381FF4A" w:rsidR="00AE43C8" w:rsidRDefault="00AE43C8" w:rsidP="00863AB1">
      <w:pPr>
        <w:rPr>
          <w:lang w:val="en-GB"/>
        </w:rPr>
      </w:pPr>
      <w:r w:rsidRPr="00AE43C8">
        <w:rPr>
          <w:lang w:val="en-GB"/>
        </w:rPr>
        <w:sym w:font="Wingdings" w:char="F0E0"/>
      </w:r>
      <w:r>
        <w:rPr>
          <w:lang w:val="en-GB"/>
        </w:rPr>
        <w:t xml:space="preserve"> the fraud </w:t>
      </w:r>
      <w:r w:rsidRPr="00AE43C8">
        <w:rPr>
          <w:lang w:val="en-GB"/>
        </w:rPr>
        <w:sym w:font="Wingdings" w:char="F0E0"/>
      </w:r>
      <w:r>
        <w:rPr>
          <w:lang w:val="en-GB"/>
        </w:rPr>
        <w:t xml:space="preserve"> criminal proceedings </w:t>
      </w:r>
      <w:r w:rsidRPr="00AE43C8">
        <w:rPr>
          <w:lang w:val="en-GB"/>
        </w:rPr>
        <w:sym w:font="Wingdings" w:char="F0E0"/>
      </w:r>
      <w:r>
        <w:rPr>
          <w:lang w:val="en-GB"/>
        </w:rPr>
        <w:t xml:space="preserve"> justifications </w:t>
      </w:r>
      <w:r w:rsidRPr="00AE43C8">
        <w:rPr>
          <w:lang w:val="en-GB"/>
        </w:rPr>
        <w:sym w:font="Wingdings" w:char="F0E0"/>
      </w:r>
      <w:r>
        <w:rPr>
          <w:lang w:val="en-GB"/>
        </w:rPr>
        <w:t xml:space="preserve"> proportionality, necessary </w:t>
      </w:r>
      <w:r w:rsidRPr="00AE43C8">
        <w:rPr>
          <w:lang w:val="en-GB"/>
        </w:rPr>
        <w:sym w:font="Wingdings" w:char="F0E0"/>
      </w:r>
      <w:r>
        <w:rPr>
          <w:lang w:val="en-GB"/>
        </w:rPr>
        <w:t xml:space="preserve"> </w:t>
      </w:r>
      <w:proofErr w:type="spellStart"/>
      <w:r>
        <w:rPr>
          <w:lang w:val="en-GB"/>
        </w:rPr>
        <w:t>accessment</w:t>
      </w:r>
      <w:proofErr w:type="spellEnd"/>
      <w:r>
        <w:rPr>
          <w:lang w:val="en-GB"/>
        </w:rPr>
        <w:t xml:space="preserve"> of facts </w:t>
      </w:r>
      <w:r w:rsidRPr="00AE43C8">
        <w:rPr>
          <w:lang w:val="en-GB"/>
        </w:rPr>
        <w:sym w:font="Wingdings" w:char="F0E0"/>
      </w:r>
      <w:r>
        <w:rPr>
          <w:lang w:val="en-GB"/>
        </w:rPr>
        <w:t xml:space="preserve"> national courts </w:t>
      </w:r>
    </w:p>
    <w:p w14:paraId="488FCFFD" w14:textId="4FDE42EC" w:rsidR="00863AB1" w:rsidRDefault="00286B25" w:rsidP="00863AB1">
      <w:r>
        <w:rPr>
          <w:noProof/>
        </w:rPr>
        <w:pict w14:anchorId="1CBA382B">
          <v:rect id="_x0000_i1025" alt="" style="width:451.3pt;height:.05pt;mso-width-percent:0;mso-height-percent:0;mso-width-percent:0;mso-height-percent:0" o:hralign="center" o:hrstd="t" o:hr="t" fillcolor="#a0a0a0" stroked="f"/>
        </w:pict>
      </w:r>
    </w:p>
    <w:p w14:paraId="18DCF583" w14:textId="77777777" w:rsidR="00AE43C8" w:rsidRDefault="00AE43C8" w:rsidP="00863AB1"/>
    <w:p w14:paraId="379AEFE1" w14:textId="77777777" w:rsidR="00AE43C8" w:rsidRDefault="00AE43C8" w:rsidP="00863AB1"/>
    <w:p w14:paraId="3D98B6E0" w14:textId="77777777" w:rsidR="00AE43C8" w:rsidRDefault="00AE43C8" w:rsidP="00863AB1"/>
    <w:p w14:paraId="40C5FAEF" w14:textId="77777777" w:rsidR="00AE43C8" w:rsidRDefault="00AE43C8" w:rsidP="00863AB1"/>
    <w:p w14:paraId="3ED725A8" w14:textId="77777777" w:rsidR="00AE43C8" w:rsidRDefault="00AE43C8" w:rsidP="00863AB1"/>
    <w:p w14:paraId="6400049D" w14:textId="77777777" w:rsidR="00AE43C8" w:rsidRDefault="00AE43C8" w:rsidP="00863AB1"/>
    <w:p w14:paraId="64CF76AD" w14:textId="77777777" w:rsidR="00AE43C8" w:rsidRDefault="00AE43C8" w:rsidP="00863AB1"/>
    <w:p w14:paraId="194E8FD0" w14:textId="77777777" w:rsidR="00AE43C8" w:rsidRDefault="00AE43C8" w:rsidP="00863AB1"/>
    <w:p w14:paraId="0E144764" w14:textId="77777777" w:rsidR="00AE43C8" w:rsidRDefault="00AE43C8" w:rsidP="00863AB1"/>
    <w:p w14:paraId="121A6506" w14:textId="77777777" w:rsidR="00AE43C8" w:rsidRDefault="00AE43C8" w:rsidP="00863AB1"/>
    <w:p w14:paraId="04F0FFDC" w14:textId="77777777" w:rsidR="00AE43C8" w:rsidRDefault="00AE43C8" w:rsidP="00863AB1"/>
    <w:p w14:paraId="4EDB8462" w14:textId="77777777" w:rsidR="00AE43C8" w:rsidRDefault="00AE43C8" w:rsidP="00863AB1"/>
    <w:p w14:paraId="0314D4C7" w14:textId="77777777" w:rsidR="00AE43C8" w:rsidRDefault="00AE43C8" w:rsidP="00863AB1"/>
    <w:p w14:paraId="3ED7B7A8" w14:textId="77777777" w:rsidR="00AE43C8" w:rsidRDefault="00AE43C8" w:rsidP="00863AB1"/>
    <w:p w14:paraId="416FE1C2" w14:textId="77777777" w:rsidR="00AE43C8" w:rsidRDefault="00AE43C8" w:rsidP="00863AB1"/>
    <w:p w14:paraId="0BFCD257" w14:textId="77777777" w:rsidR="00AE43C8" w:rsidRDefault="00AE43C8" w:rsidP="00863AB1"/>
    <w:p w14:paraId="07219E5A" w14:textId="77777777" w:rsidR="00AE43C8" w:rsidRDefault="00AE43C8" w:rsidP="00863AB1"/>
    <w:p w14:paraId="2479DF62" w14:textId="77777777" w:rsidR="00AE43C8" w:rsidRDefault="00AE43C8" w:rsidP="00863AB1"/>
    <w:p w14:paraId="03AE9771" w14:textId="77777777" w:rsidR="00AE43C8" w:rsidRDefault="00AE43C8" w:rsidP="00863AB1"/>
    <w:p w14:paraId="4C1C05C0" w14:textId="77777777" w:rsidR="00AE43C8" w:rsidRDefault="00AE43C8" w:rsidP="00863AB1"/>
    <w:p w14:paraId="55534E18" w14:textId="77777777" w:rsidR="00AE43C8" w:rsidRDefault="00AE43C8" w:rsidP="00863AB1"/>
    <w:p w14:paraId="121CE697" w14:textId="77777777" w:rsidR="00AE43C8" w:rsidRDefault="00AE43C8" w:rsidP="00863AB1"/>
    <w:p w14:paraId="5EA36004" w14:textId="77777777" w:rsidR="00AE43C8" w:rsidRDefault="00AE43C8" w:rsidP="00863AB1"/>
    <w:p w14:paraId="3DD52999" w14:textId="77777777" w:rsidR="00AE43C8" w:rsidRDefault="00AE43C8" w:rsidP="00863AB1"/>
    <w:p w14:paraId="6F1B8F07" w14:textId="77777777" w:rsidR="005C2D43" w:rsidRPr="00AB4373" w:rsidRDefault="005C2D43" w:rsidP="005C2D43">
      <w:pPr>
        <w:pStyle w:val="ListParagraph"/>
        <w:rPr>
          <w:rStyle w:val="Emphasis"/>
          <w:i w:val="0"/>
          <w:lang w:val="en-GB"/>
        </w:rPr>
      </w:pPr>
    </w:p>
    <w:p w14:paraId="73347DE4" w14:textId="4339EDFF" w:rsidR="002E3372" w:rsidRPr="00B629EC" w:rsidRDefault="002E3372" w:rsidP="005C2D43">
      <w:pPr>
        <w:pStyle w:val="ListParagraph"/>
        <w:numPr>
          <w:ilvl w:val="0"/>
          <w:numId w:val="9"/>
        </w:numPr>
        <w:jc w:val="both"/>
        <w:rPr>
          <w:rStyle w:val="Emphasis"/>
          <w:i w:val="0"/>
          <w:iCs w:val="0"/>
          <w:lang w:val="en-GB"/>
        </w:rPr>
      </w:pPr>
      <w:proofErr w:type="spellStart"/>
      <w:r w:rsidRPr="00AE43C8">
        <w:rPr>
          <w:rStyle w:val="Emphasis"/>
          <w:b/>
          <w:bCs/>
          <w:i w:val="0"/>
          <w:lang w:val="en-GB"/>
        </w:rPr>
        <w:t>Killadeer</w:t>
      </w:r>
      <w:proofErr w:type="spellEnd"/>
      <w:r w:rsidRPr="00AE43C8">
        <w:rPr>
          <w:rStyle w:val="Emphasis"/>
          <w:b/>
          <w:bCs/>
          <w:i w:val="0"/>
          <w:lang w:val="en-GB"/>
        </w:rPr>
        <w:t xml:space="preserve"> is a travel agency established in Italy.</w:t>
      </w:r>
      <w:r w:rsidRPr="00B629EC">
        <w:rPr>
          <w:rStyle w:val="Emphasis"/>
          <w:i w:val="0"/>
          <w:lang w:val="en-GB"/>
        </w:rPr>
        <w:t xml:space="preserve"> Every year it organises hunting trips to different parts of Europe. It provides its clients not only with plane tickets and accommodation </w:t>
      </w:r>
      <w:r w:rsidRPr="00B629EC">
        <w:rPr>
          <w:rStyle w:val="Emphasis"/>
          <w:i w:val="0"/>
          <w:lang w:val="en-GB"/>
        </w:rPr>
        <w:lastRenderedPageBreak/>
        <w:t xml:space="preserve">on their hunting trips, but also provides the weapons, organises the hunt in the destination and offers travel guides to its clients. For many years its business model has proven to be very successful. However, the following developments in the legislation of certain countries are putting its business at risk: </w:t>
      </w:r>
    </w:p>
    <w:p w14:paraId="3FCE8412" w14:textId="77777777" w:rsidR="002E3372" w:rsidRPr="00B629EC" w:rsidRDefault="002E3372" w:rsidP="002E3372">
      <w:pPr>
        <w:pStyle w:val="NoSpacing"/>
        <w:ind w:left="720"/>
        <w:rPr>
          <w:rStyle w:val="Emphasis"/>
          <w:rFonts w:ascii="Times New Roman" w:hAnsi="Times New Roman"/>
          <w:i w:val="0"/>
          <w:sz w:val="24"/>
          <w:szCs w:val="24"/>
        </w:rPr>
      </w:pPr>
    </w:p>
    <w:p w14:paraId="70AD8446" w14:textId="77777777" w:rsidR="002E3372" w:rsidRPr="00B629EC" w:rsidRDefault="002E3372" w:rsidP="002E3372">
      <w:pPr>
        <w:pStyle w:val="NoSpacing"/>
        <w:numPr>
          <w:ilvl w:val="0"/>
          <w:numId w:val="5"/>
        </w:numPr>
        <w:ind w:left="1080"/>
        <w:rPr>
          <w:rStyle w:val="Emphasis"/>
          <w:rFonts w:ascii="Times New Roman" w:hAnsi="Times New Roman"/>
          <w:i w:val="0"/>
          <w:sz w:val="24"/>
          <w:szCs w:val="24"/>
        </w:rPr>
      </w:pPr>
      <w:r w:rsidRPr="00B629EC">
        <w:rPr>
          <w:rStyle w:val="Emphasis"/>
          <w:rFonts w:ascii="Times New Roman" w:hAnsi="Times New Roman"/>
          <w:i w:val="0"/>
          <w:sz w:val="24"/>
          <w:szCs w:val="24"/>
        </w:rPr>
        <w:t xml:space="preserve">Greece passed a law requiring that </w:t>
      </w:r>
      <w:r w:rsidRPr="00AE43C8">
        <w:rPr>
          <w:rStyle w:val="Emphasis"/>
          <w:rFonts w:ascii="Times New Roman" w:hAnsi="Times New Roman"/>
          <w:b/>
          <w:bCs/>
          <w:i w:val="0"/>
          <w:sz w:val="24"/>
          <w:szCs w:val="24"/>
        </w:rPr>
        <w:t xml:space="preserve">any travel guide wishing to work in Greece pass a Greek language exam. In order to sit the </w:t>
      </w:r>
      <w:proofErr w:type="gramStart"/>
      <w:r w:rsidRPr="00AE43C8">
        <w:rPr>
          <w:rStyle w:val="Emphasis"/>
          <w:rFonts w:ascii="Times New Roman" w:hAnsi="Times New Roman"/>
          <w:b/>
          <w:bCs/>
          <w:i w:val="0"/>
          <w:sz w:val="24"/>
          <w:szCs w:val="24"/>
        </w:rPr>
        <w:t>exam</w:t>
      </w:r>
      <w:proofErr w:type="gramEnd"/>
      <w:r w:rsidRPr="00AE43C8">
        <w:rPr>
          <w:rStyle w:val="Emphasis"/>
          <w:rFonts w:ascii="Times New Roman" w:hAnsi="Times New Roman"/>
          <w:b/>
          <w:bCs/>
          <w:i w:val="0"/>
          <w:sz w:val="24"/>
          <w:szCs w:val="24"/>
        </w:rPr>
        <w:t xml:space="preserve"> the individual must pay a fee.</w:t>
      </w:r>
      <w:r w:rsidRPr="00B629EC">
        <w:rPr>
          <w:rStyle w:val="Emphasis"/>
          <w:rFonts w:ascii="Times New Roman" w:hAnsi="Times New Roman"/>
          <w:i w:val="0"/>
          <w:sz w:val="24"/>
          <w:szCs w:val="24"/>
        </w:rPr>
        <w:t xml:space="preserve">  </w:t>
      </w:r>
    </w:p>
    <w:p w14:paraId="4BB8542F" w14:textId="77777777" w:rsidR="002E3372" w:rsidRPr="00B629EC" w:rsidRDefault="002E3372" w:rsidP="002E3372">
      <w:pPr>
        <w:pStyle w:val="NoSpacing"/>
        <w:ind w:left="1440"/>
        <w:rPr>
          <w:rStyle w:val="Emphasis"/>
          <w:rFonts w:ascii="Times New Roman" w:hAnsi="Times New Roman"/>
          <w:i w:val="0"/>
          <w:sz w:val="24"/>
          <w:szCs w:val="24"/>
        </w:rPr>
      </w:pPr>
    </w:p>
    <w:p w14:paraId="7982787F" w14:textId="77777777" w:rsidR="002E3372" w:rsidRPr="00B629EC" w:rsidRDefault="002E3372" w:rsidP="002E3372">
      <w:pPr>
        <w:pStyle w:val="NoSpacing"/>
        <w:numPr>
          <w:ilvl w:val="0"/>
          <w:numId w:val="5"/>
        </w:numPr>
        <w:ind w:left="1080"/>
        <w:rPr>
          <w:rStyle w:val="Emphasis"/>
          <w:rFonts w:ascii="Times New Roman" w:hAnsi="Times New Roman"/>
          <w:i w:val="0"/>
          <w:sz w:val="24"/>
          <w:szCs w:val="24"/>
        </w:rPr>
      </w:pPr>
      <w:r w:rsidRPr="00B629EC">
        <w:rPr>
          <w:rStyle w:val="Emphasis"/>
          <w:rFonts w:ascii="Times New Roman" w:hAnsi="Times New Roman"/>
          <w:i w:val="0"/>
          <w:sz w:val="24"/>
          <w:szCs w:val="24"/>
        </w:rPr>
        <w:t xml:space="preserve">In </w:t>
      </w:r>
      <w:r w:rsidRPr="00AE43C8">
        <w:rPr>
          <w:rStyle w:val="Emphasis"/>
          <w:rFonts w:ascii="Times New Roman" w:hAnsi="Times New Roman"/>
          <w:b/>
          <w:bCs/>
          <w:i w:val="0"/>
          <w:sz w:val="24"/>
          <w:szCs w:val="24"/>
        </w:rPr>
        <w:t>Sweden only companies established there can organise hunting trips</w:t>
      </w:r>
      <w:r w:rsidRPr="00B629EC">
        <w:rPr>
          <w:rStyle w:val="Emphasis"/>
          <w:rFonts w:ascii="Times New Roman" w:hAnsi="Times New Roman"/>
          <w:i w:val="0"/>
          <w:sz w:val="24"/>
          <w:szCs w:val="24"/>
        </w:rPr>
        <w:t xml:space="preserve">. </w:t>
      </w:r>
    </w:p>
    <w:p w14:paraId="1D558FC8" w14:textId="77777777" w:rsidR="002E3372" w:rsidRPr="00B629EC" w:rsidRDefault="002E3372" w:rsidP="002E3372">
      <w:pPr>
        <w:pStyle w:val="NoSpacing"/>
        <w:ind w:left="1440"/>
        <w:rPr>
          <w:rStyle w:val="Emphasis"/>
          <w:rFonts w:ascii="Times New Roman" w:hAnsi="Times New Roman"/>
          <w:i w:val="0"/>
          <w:sz w:val="24"/>
          <w:szCs w:val="24"/>
        </w:rPr>
      </w:pPr>
    </w:p>
    <w:p w14:paraId="0D7DEC6C" w14:textId="77777777" w:rsidR="002E3372" w:rsidRPr="00E72FF2" w:rsidRDefault="002E3372" w:rsidP="002E3372">
      <w:pPr>
        <w:pStyle w:val="PlainText"/>
        <w:numPr>
          <w:ilvl w:val="0"/>
          <w:numId w:val="5"/>
        </w:numPr>
        <w:ind w:left="1080"/>
        <w:rPr>
          <w:rStyle w:val="Emphasis"/>
          <w:rFonts w:ascii="Times New Roman" w:hAnsi="Times New Roman" w:cs="Times New Roman"/>
          <w:b/>
          <w:bCs/>
          <w:i w:val="0"/>
          <w:sz w:val="24"/>
          <w:szCs w:val="24"/>
        </w:rPr>
      </w:pPr>
      <w:r w:rsidRPr="00B629EC">
        <w:rPr>
          <w:rStyle w:val="Emphasis"/>
          <w:rFonts w:ascii="Times New Roman" w:hAnsi="Times New Roman" w:cs="Times New Roman"/>
          <w:i w:val="0"/>
          <w:sz w:val="24"/>
          <w:szCs w:val="24"/>
        </w:rPr>
        <w:t xml:space="preserve">Following an outbreak of Swine flu in Italy, the French government requires any </w:t>
      </w:r>
      <w:r w:rsidRPr="00E72FF2">
        <w:rPr>
          <w:rStyle w:val="Emphasis"/>
          <w:rFonts w:ascii="Times New Roman" w:hAnsi="Times New Roman" w:cs="Times New Roman"/>
          <w:b/>
          <w:bCs/>
          <w:i w:val="0"/>
          <w:sz w:val="24"/>
          <w:szCs w:val="24"/>
        </w:rPr>
        <w:t>individual traveling from Italy to France to declare whether they have been in contact with livestock in the last two years.</w:t>
      </w:r>
    </w:p>
    <w:p w14:paraId="32E3AA53" w14:textId="77777777" w:rsidR="002E3372" w:rsidRPr="00B629EC" w:rsidRDefault="002E3372" w:rsidP="002E3372">
      <w:pPr>
        <w:pStyle w:val="ListParagraph"/>
        <w:rPr>
          <w:rStyle w:val="Emphasis"/>
          <w:i w:val="0"/>
          <w:lang w:val="en-GB"/>
        </w:rPr>
      </w:pPr>
    </w:p>
    <w:p w14:paraId="1926AE26" w14:textId="2A7AE36B" w:rsidR="00AE43C8" w:rsidRDefault="002E3372" w:rsidP="00AE43C8">
      <w:pPr>
        <w:pStyle w:val="ListParagraph"/>
        <w:ind w:firstLine="360"/>
        <w:rPr>
          <w:rStyle w:val="Emphasis"/>
          <w:i w:val="0"/>
          <w:lang w:val="en-GB"/>
        </w:rPr>
      </w:pPr>
      <w:r w:rsidRPr="00B629EC">
        <w:rPr>
          <w:rStyle w:val="Emphasis"/>
          <w:i w:val="0"/>
          <w:lang w:val="en-GB"/>
        </w:rPr>
        <w:t xml:space="preserve">Advise </w:t>
      </w:r>
      <w:proofErr w:type="spellStart"/>
      <w:r w:rsidRPr="00B629EC">
        <w:rPr>
          <w:rStyle w:val="Emphasis"/>
          <w:i w:val="0"/>
          <w:lang w:val="en-GB"/>
        </w:rPr>
        <w:t>Killadeer</w:t>
      </w:r>
      <w:proofErr w:type="spellEnd"/>
      <w:r w:rsidRPr="00B629EC">
        <w:rPr>
          <w:rStyle w:val="Emphasis"/>
          <w:i w:val="0"/>
          <w:lang w:val="en-GB"/>
        </w:rPr>
        <w:t xml:space="preserve"> on the issues of EU Law.</w:t>
      </w:r>
    </w:p>
    <w:p w14:paraId="2BFE128E" w14:textId="77777777" w:rsidR="00AE43C8" w:rsidRDefault="00AE43C8" w:rsidP="00AE43C8">
      <w:pPr>
        <w:rPr>
          <w:rStyle w:val="Emphasis"/>
          <w:i w:val="0"/>
          <w:lang w:val="en-GB"/>
        </w:rPr>
      </w:pPr>
    </w:p>
    <w:p w14:paraId="78D35584" w14:textId="7C6CAF0A" w:rsidR="00AE43C8" w:rsidRDefault="00AE43C8" w:rsidP="00AE43C8">
      <w:pPr>
        <w:rPr>
          <w:rStyle w:val="Emphasis"/>
          <w:i w:val="0"/>
          <w:lang w:val="en-GB"/>
        </w:rPr>
      </w:pPr>
      <w:r w:rsidRPr="00AE43C8">
        <w:rPr>
          <w:rStyle w:val="Emphasis"/>
          <w:i w:val="0"/>
          <w:lang w:val="en-GB"/>
        </w:rPr>
        <w:sym w:font="Wingdings" w:char="F0E0"/>
      </w:r>
      <w:r>
        <w:rPr>
          <w:rStyle w:val="Emphasis"/>
          <w:i w:val="0"/>
          <w:lang w:val="en-GB"/>
        </w:rPr>
        <w:t xml:space="preserve"> establishment </w:t>
      </w:r>
      <w:r w:rsidRPr="00AE43C8">
        <w:rPr>
          <w:rStyle w:val="Emphasis"/>
          <w:i w:val="0"/>
          <w:lang w:val="en-GB"/>
        </w:rPr>
        <w:sym w:font="Wingdings" w:char="F0E0"/>
      </w:r>
      <w:r>
        <w:rPr>
          <w:rStyle w:val="Emphasis"/>
          <w:i w:val="0"/>
          <w:lang w:val="en-GB"/>
        </w:rPr>
        <w:t xml:space="preserve"> permanent basis, service </w:t>
      </w:r>
      <w:r w:rsidRPr="00AE43C8">
        <w:rPr>
          <w:rStyle w:val="Emphasis"/>
          <w:i w:val="0"/>
          <w:lang w:val="en-GB"/>
        </w:rPr>
        <w:sym w:font="Wingdings" w:char="F0E0"/>
      </w:r>
      <w:r>
        <w:rPr>
          <w:rStyle w:val="Emphasis"/>
          <w:i w:val="0"/>
          <w:lang w:val="en-GB"/>
        </w:rPr>
        <w:t xml:space="preserve"> temporary </w:t>
      </w:r>
    </w:p>
    <w:p w14:paraId="5D2D86FD" w14:textId="36EDCFC0" w:rsidR="00AE43C8" w:rsidRDefault="00AE43C8" w:rsidP="00AE43C8">
      <w:pPr>
        <w:rPr>
          <w:rStyle w:val="Emphasis"/>
          <w:i w:val="0"/>
          <w:lang w:val="en-GB"/>
        </w:rPr>
      </w:pPr>
      <w:r w:rsidRPr="00AE43C8">
        <w:rPr>
          <w:rStyle w:val="Emphasis"/>
          <w:i w:val="0"/>
          <w:lang w:val="en-GB"/>
        </w:rPr>
        <w:sym w:font="Wingdings" w:char="F0E0"/>
      </w:r>
      <w:r>
        <w:rPr>
          <w:rStyle w:val="Emphasis"/>
          <w:i w:val="0"/>
          <w:lang w:val="en-GB"/>
        </w:rPr>
        <w:t xml:space="preserve"> here </w:t>
      </w:r>
      <w:proofErr w:type="gramStart"/>
      <w:r>
        <w:rPr>
          <w:rStyle w:val="Emphasis"/>
          <w:i w:val="0"/>
          <w:lang w:val="en-GB"/>
        </w:rPr>
        <w:t>is</w:t>
      </w:r>
      <w:proofErr w:type="gramEnd"/>
      <w:r>
        <w:rPr>
          <w:rStyle w:val="Emphasis"/>
          <w:i w:val="0"/>
          <w:lang w:val="en-GB"/>
        </w:rPr>
        <w:t xml:space="preserve"> services</w:t>
      </w:r>
    </w:p>
    <w:p w14:paraId="4AB1792A" w14:textId="5C0CD56A" w:rsidR="00AE43C8" w:rsidRPr="00AE43C8" w:rsidRDefault="00AE43C8" w:rsidP="00AE43C8">
      <w:pPr>
        <w:rPr>
          <w:rStyle w:val="Emphasis"/>
          <w:i w:val="0"/>
          <w:lang w:val="en-GB"/>
        </w:rPr>
      </w:pPr>
      <w:r w:rsidRPr="00AE43C8">
        <w:rPr>
          <w:rStyle w:val="Emphasis"/>
          <w:i w:val="0"/>
          <w:lang w:val="en-GB"/>
        </w:rPr>
        <w:sym w:font="Wingdings" w:char="F0E0"/>
      </w:r>
      <w:r>
        <w:rPr>
          <w:rStyle w:val="Emphasis"/>
          <w:i w:val="0"/>
          <w:lang w:val="en-GB"/>
        </w:rPr>
        <w:t xml:space="preserve"> Greek language test </w:t>
      </w:r>
    </w:p>
    <w:p w14:paraId="0063201E" w14:textId="40C2D7FF" w:rsidR="000B7033" w:rsidRDefault="000B7033" w:rsidP="000B7033"/>
    <w:p w14:paraId="57DED9B5" w14:textId="7364340C" w:rsidR="000B7033" w:rsidRDefault="000B7033" w:rsidP="000B7033">
      <w:pPr>
        <w:pStyle w:val="Heading4"/>
      </w:pPr>
      <w:r>
        <w:t xml:space="preserve">Personal Scope </w:t>
      </w:r>
    </w:p>
    <w:p w14:paraId="1B52CB99" w14:textId="08F66A1E" w:rsidR="000B7033" w:rsidRDefault="00E72FF2" w:rsidP="00893BA2">
      <w:pPr>
        <w:pStyle w:val="break-words"/>
      </w:pPr>
      <w:r>
        <w:t xml:space="preserve">1. </w:t>
      </w:r>
      <w:r w:rsidR="000B7033">
        <w:t xml:space="preserve">Article 56 TFEU (temporary service provision), per </w:t>
      </w:r>
      <w:proofErr w:type="spellStart"/>
      <w:r w:rsidR="000B7033">
        <w:rPr>
          <w:rStyle w:val="Emphasis"/>
        </w:rPr>
        <w:t>Gebhard</w:t>
      </w:r>
      <w:proofErr w:type="spellEnd"/>
      <w:r w:rsidR="000B7033">
        <w:t xml:space="preserve"> (C-55/94), distinguishing it from internal cases (</w:t>
      </w:r>
      <w:r w:rsidR="000B7033">
        <w:rPr>
          <w:rStyle w:val="Emphasis"/>
        </w:rPr>
        <w:t>Kraus</w:t>
      </w:r>
      <w:r w:rsidR="000B7033">
        <w:t>, C-19/92).</w:t>
      </w:r>
    </w:p>
    <w:p w14:paraId="00D8A1B4" w14:textId="20CA47E4" w:rsidR="00AE43C8" w:rsidRDefault="00AE43C8" w:rsidP="00893BA2">
      <w:pPr>
        <w:pStyle w:val="break-words"/>
      </w:pPr>
      <w:r>
        <w:t xml:space="preserve">Restriction </w:t>
      </w:r>
      <w:r>
        <w:sym w:font="Wingdings" w:char="F0E0"/>
      </w:r>
      <w:r>
        <w:t xml:space="preserve"> direct and indirect </w:t>
      </w:r>
    </w:p>
    <w:p w14:paraId="7AB1D7B8" w14:textId="28CB03B4" w:rsidR="00AE43C8" w:rsidRDefault="00AE43C8" w:rsidP="00AE43C8">
      <w:pPr>
        <w:pStyle w:val="break-words"/>
      </w:pPr>
      <w:r>
        <w:sym w:font="Wingdings" w:char="F0E0"/>
      </w:r>
      <w:r>
        <w:t xml:space="preserve"> justification </w:t>
      </w:r>
      <w:r>
        <w:sym w:font="Wingdings" w:char="F0E0"/>
      </w:r>
      <w:r>
        <w:t xml:space="preserve"> emergencies </w:t>
      </w:r>
      <w:r>
        <w:sym w:font="Wingdings" w:char="F0E0"/>
      </w:r>
      <w:r>
        <w:t xml:space="preserve"> consumer protection </w:t>
      </w:r>
      <w:r>
        <w:sym w:font="Wingdings" w:char="F0E0"/>
      </w:r>
      <w:r>
        <w:t xml:space="preserve"> need to speak Greek</w:t>
      </w:r>
    </w:p>
    <w:p w14:paraId="027C84A9" w14:textId="59444914" w:rsidR="00E72FF2" w:rsidRDefault="00E72FF2" w:rsidP="00AE43C8">
      <w:pPr>
        <w:pStyle w:val="break-words"/>
      </w:pPr>
      <w:r>
        <w:sym w:font="Wingdings" w:char="F0E0"/>
      </w:r>
      <w:r>
        <w:t xml:space="preserve"> necessary </w:t>
      </w:r>
    </w:p>
    <w:p w14:paraId="42937795" w14:textId="0996E07B" w:rsidR="00E72FF2" w:rsidRDefault="00E72FF2" w:rsidP="00AE43C8">
      <w:pPr>
        <w:pStyle w:val="break-words"/>
      </w:pPr>
      <w:r>
        <w:sym w:font="Wingdings" w:char="F0E0"/>
      </w:r>
      <w:r>
        <w:t xml:space="preserve"> the amount of fee </w:t>
      </w:r>
      <w:r>
        <w:sym w:font="Wingdings" w:char="F0E0"/>
      </w:r>
      <w:r>
        <w:t xml:space="preserve"> tourist should test its language fluency </w:t>
      </w:r>
    </w:p>
    <w:p w14:paraId="1D922419" w14:textId="77777777" w:rsidR="00E72FF2" w:rsidRDefault="00E72FF2" w:rsidP="00E72FF2">
      <w:pPr>
        <w:pStyle w:val="break-words"/>
        <w:rPr>
          <w:rStyle w:val="Strong"/>
        </w:rPr>
      </w:pPr>
    </w:p>
    <w:p w14:paraId="58818EC8" w14:textId="756F18E2" w:rsidR="000B7033" w:rsidRDefault="00E72FF2" w:rsidP="00E72FF2">
      <w:pPr>
        <w:pStyle w:val="break-words"/>
      </w:pPr>
      <w:r>
        <w:rPr>
          <w:rStyle w:val="Strong"/>
        </w:rPr>
        <w:t xml:space="preserve">2. </w:t>
      </w:r>
      <w:r w:rsidR="000B7033">
        <w:rPr>
          <w:rStyle w:val="Strong"/>
        </w:rPr>
        <w:t>Swedish Restriction to Locally Established Companies</w:t>
      </w:r>
      <w:r w:rsidR="000B7033">
        <w:t xml:space="preserve"> </w:t>
      </w:r>
    </w:p>
    <w:p w14:paraId="6B0F5A4E" w14:textId="77777777" w:rsidR="000B7033" w:rsidRDefault="000B7033" w:rsidP="00AE43C8">
      <w:pPr>
        <w:pStyle w:val="break-words"/>
      </w:pPr>
      <w:r>
        <w:rPr>
          <w:rStyle w:val="Strong"/>
        </w:rPr>
        <w:t>Direct Discrimination</w:t>
      </w:r>
      <w:r>
        <w:t xml:space="preserve">: Targeting non-Swedish firms, it breaches Articles 49 and 54 TFEU unless justified under Article 52 TFEU (e.g., environmental protection). Per </w:t>
      </w:r>
      <w:proofErr w:type="spellStart"/>
      <w:r>
        <w:rPr>
          <w:rStyle w:val="Emphasis"/>
        </w:rPr>
        <w:t>Reyners</w:t>
      </w:r>
      <w:proofErr w:type="spellEnd"/>
      <w:r>
        <w:t xml:space="preserve"> (C-2/74), Article 51 TFEU doesn’t apply to hunting.</w:t>
      </w:r>
    </w:p>
    <w:p w14:paraId="4708593F" w14:textId="0B78A1EB" w:rsidR="000B7033" w:rsidRDefault="000B7033" w:rsidP="00AE43C8">
      <w:pPr>
        <w:pStyle w:val="break-words"/>
      </w:pPr>
      <w:r>
        <w:rPr>
          <w:rStyle w:val="Strong"/>
        </w:rPr>
        <w:t>Non-Discriminatory Barriers</w:t>
      </w:r>
    </w:p>
    <w:p w14:paraId="48FE74D4" w14:textId="6769A183" w:rsidR="00E72FF2" w:rsidRDefault="00E72FF2" w:rsidP="00AE43C8">
      <w:pPr>
        <w:pStyle w:val="break-words"/>
      </w:pPr>
      <w:r>
        <w:t xml:space="preserve">No justification. </w:t>
      </w:r>
    </w:p>
    <w:p w14:paraId="7679D3A5" w14:textId="77777777" w:rsidR="00E72FF2" w:rsidRDefault="00E72FF2" w:rsidP="00E72FF2">
      <w:pPr>
        <w:pStyle w:val="break-words"/>
        <w:rPr>
          <w:rStyle w:val="Strong"/>
        </w:rPr>
      </w:pPr>
    </w:p>
    <w:p w14:paraId="190762A8" w14:textId="26A22BEF" w:rsidR="000B7033" w:rsidRDefault="00E72FF2" w:rsidP="00E72FF2">
      <w:pPr>
        <w:pStyle w:val="break-words"/>
      </w:pPr>
      <w:r>
        <w:rPr>
          <w:rStyle w:val="Strong"/>
        </w:rPr>
        <w:t xml:space="preserve">3. </w:t>
      </w:r>
      <w:r w:rsidR="000B7033">
        <w:rPr>
          <w:rStyle w:val="Strong"/>
        </w:rPr>
        <w:t>French Swine Flu Declaration</w:t>
      </w:r>
      <w:r w:rsidR="000B7033">
        <w:t xml:space="preserve"> </w:t>
      </w:r>
    </w:p>
    <w:p w14:paraId="4B60890B" w14:textId="28663CD8" w:rsidR="000B7033" w:rsidRDefault="00E72FF2" w:rsidP="00AE43C8">
      <w:pPr>
        <w:pStyle w:val="break-words"/>
        <w:rPr>
          <w:rStyle w:val="Strong"/>
        </w:rPr>
      </w:pPr>
      <w:r>
        <w:rPr>
          <w:rStyle w:val="Strong"/>
        </w:rPr>
        <w:t xml:space="preserve">Direct Discrimination </w:t>
      </w:r>
      <w:r w:rsidRPr="00E72FF2">
        <w:rPr>
          <w:rStyle w:val="Strong"/>
        </w:rPr>
        <w:sym w:font="Wingdings" w:char="F0E0"/>
      </w:r>
      <w:r>
        <w:rPr>
          <w:rStyle w:val="Strong"/>
        </w:rPr>
        <w:t xml:space="preserve"> likely to affect non-nationals more than nationals </w:t>
      </w:r>
      <w:r w:rsidRPr="00E72FF2">
        <w:rPr>
          <w:rStyle w:val="Strong"/>
        </w:rPr>
        <w:sym w:font="Wingdings" w:char="F0E0"/>
      </w:r>
      <w:r>
        <w:rPr>
          <w:rStyle w:val="Strong"/>
        </w:rPr>
        <w:t xml:space="preserve"> those who travel from Italy to France more likely to be non-nationals </w:t>
      </w:r>
    </w:p>
    <w:p w14:paraId="23C3C646" w14:textId="63B1688E" w:rsidR="00E72FF2" w:rsidRPr="00E72FF2" w:rsidRDefault="00E72FF2" w:rsidP="00AE43C8">
      <w:pPr>
        <w:pStyle w:val="break-words"/>
        <w:rPr>
          <w:b/>
          <w:bCs/>
        </w:rPr>
      </w:pPr>
      <w:r>
        <w:rPr>
          <w:rStyle w:val="Strong"/>
        </w:rPr>
        <w:lastRenderedPageBreak/>
        <w:t xml:space="preserve">Non- discrimination </w:t>
      </w:r>
      <w:r w:rsidRPr="00E72FF2">
        <w:rPr>
          <w:rStyle w:val="Strong"/>
        </w:rPr>
        <w:sym w:font="Wingdings" w:char="F0E0"/>
      </w:r>
      <w:r>
        <w:rPr>
          <w:rStyle w:val="Strong"/>
        </w:rPr>
        <w:t xml:space="preserve"> complying costs </w:t>
      </w:r>
      <w:r w:rsidRPr="00E72FF2">
        <w:rPr>
          <w:rStyle w:val="Strong"/>
        </w:rPr>
        <w:sym w:font="Wingdings" w:char="F0E0"/>
      </w:r>
      <w:r>
        <w:rPr>
          <w:rStyle w:val="Strong"/>
        </w:rPr>
        <w:t xml:space="preserve"> is likely to be restriction </w:t>
      </w:r>
    </w:p>
    <w:p w14:paraId="59A81903" w14:textId="7CFEC224" w:rsidR="00AB4373" w:rsidRDefault="00E72FF2">
      <w:pPr>
        <w:rPr>
          <w:lang w:val="en-GB"/>
        </w:rPr>
      </w:pPr>
      <w:r w:rsidRPr="00E72FF2">
        <w:rPr>
          <w:lang w:val="en-GB"/>
        </w:rPr>
        <w:sym w:font="Wingdings" w:char="F0E0"/>
      </w:r>
      <w:r>
        <w:rPr>
          <w:lang w:val="en-GB"/>
        </w:rPr>
        <w:t xml:space="preserve"> public health </w:t>
      </w:r>
      <w:r w:rsidRPr="00E72FF2">
        <w:rPr>
          <w:lang w:val="en-GB"/>
        </w:rPr>
        <w:sym w:font="Wingdings" w:char="F0E0"/>
      </w:r>
      <w:r>
        <w:rPr>
          <w:lang w:val="en-GB"/>
        </w:rPr>
        <w:t xml:space="preserve"> flu </w:t>
      </w:r>
      <w:r w:rsidRPr="00E72FF2">
        <w:rPr>
          <w:lang w:val="en-GB"/>
        </w:rPr>
        <w:sym w:font="Wingdings" w:char="F0E0"/>
      </w:r>
      <w:r>
        <w:rPr>
          <w:lang w:val="en-GB"/>
        </w:rPr>
        <w:t xml:space="preserve"> justification </w:t>
      </w:r>
      <w:r w:rsidRPr="00E72FF2">
        <w:rPr>
          <w:lang w:val="en-GB"/>
        </w:rPr>
        <w:sym w:font="Wingdings" w:char="F0E0"/>
      </w:r>
      <w:r>
        <w:rPr>
          <w:lang w:val="en-GB"/>
        </w:rPr>
        <w:t xml:space="preserve"> protect people of French </w:t>
      </w:r>
    </w:p>
    <w:p w14:paraId="20B36FD1" w14:textId="1FE68551" w:rsidR="00E72FF2" w:rsidRDefault="00E72FF2">
      <w:pPr>
        <w:rPr>
          <w:lang w:val="en-GB"/>
        </w:rPr>
      </w:pPr>
      <w:r w:rsidRPr="00E72FF2">
        <w:rPr>
          <w:lang w:val="en-GB"/>
        </w:rPr>
        <w:sym w:font="Wingdings" w:char="F0E0"/>
      </w:r>
      <w:r>
        <w:rPr>
          <w:lang w:val="en-GB"/>
        </w:rPr>
        <w:t xml:space="preserve"> Proportionate </w:t>
      </w:r>
      <w:r w:rsidRPr="00E72FF2">
        <w:rPr>
          <w:lang w:val="en-GB"/>
        </w:rPr>
        <w:sym w:font="Wingdings" w:char="F0E0"/>
      </w:r>
      <w:r>
        <w:rPr>
          <w:lang w:val="en-GB"/>
        </w:rPr>
        <w:t xml:space="preserve"> yes </w:t>
      </w:r>
    </w:p>
    <w:p w14:paraId="6AA10E4B" w14:textId="4E54C8FA" w:rsidR="00E72FF2" w:rsidRDefault="00E72FF2">
      <w:pPr>
        <w:rPr>
          <w:lang w:val="en-GB"/>
        </w:rPr>
      </w:pPr>
      <w:r w:rsidRPr="00E72FF2">
        <w:rPr>
          <w:lang w:val="en-GB"/>
        </w:rPr>
        <w:sym w:font="Wingdings" w:char="F0E0"/>
      </w:r>
      <w:r>
        <w:rPr>
          <w:lang w:val="en-GB"/>
        </w:rPr>
        <w:t xml:space="preserve"> suitable</w:t>
      </w:r>
      <w:r w:rsidRPr="00E72FF2">
        <w:rPr>
          <w:lang w:val="en-GB"/>
        </w:rPr>
        <w:sym w:font="Wingdings" w:char="F0E0"/>
      </w:r>
      <w:r>
        <w:rPr>
          <w:lang w:val="en-GB"/>
        </w:rPr>
        <w:t xml:space="preserve"> no </w:t>
      </w:r>
      <w:r w:rsidRPr="00E72FF2">
        <w:rPr>
          <w:lang w:val="en-GB"/>
        </w:rPr>
        <w:sym w:font="Wingdings" w:char="F0E0"/>
      </w:r>
      <w:r>
        <w:rPr>
          <w:lang w:val="en-GB"/>
        </w:rPr>
        <w:t xml:space="preserve"> ambiguity of whether will block them from going to the country </w:t>
      </w:r>
      <w:r w:rsidRPr="00E72FF2">
        <w:rPr>
          <w:lang w:val="en-GB"/>
        </w:rPr>
        <w:sym w:font="Wingdings" w:char="F0E0"/>
      </w:r>
      <w:r>
        <w:rPr>
          <w:lang w:val="en-GB"/>
        </w:rPr>
        <w:t xml:space="preserve"> if not let them away </w:t>
      </w:r>
      <w:r w:rsidRPr="00E72FF2">
        <w:rPr>
          <w:lang w:val="en-GB"/>
        </w:rPr>
        <w:sym w:font="Wingdings" w:char="F0E0"/>
      </w:r>
      <w:r>
        <w:rPr>
          <w:lang w:val="en-GB"/>
        </w:rPr>
        <w:t xml:space="preserve"> then cannot protect the public</w:t>
      </w:r>
      <w:r w:rsidRPr="00E72FF2">
        <w:rPr>
          <w:lang w:val="en-GB"/>
        </w:rPr>
        <w:sym w:font="Wingdings" w:char="F0E0"/>
      </w:r>
      <w:r>
        <w:rPr>
          <w:lang w:val="en-GB"/>
        </w:rPr>
        <w:t xml:space="preserve"> for </w:t>
      </w:r>
      <w:proofErr w:type="gramStart"/>
      <w:r>
        <w:rPr>
          <w:lang w:val="en-GB"/>
        </w:rPr>
        <w:t>suitability,  France</w:t>
      </w:r>
      <w:proofErr w:type="gramEnd"/>
      <w:r>
        <w:rPr>
          <w:lang w:val="en-GB"/>
        </w:rPr>
        <w:t xml:space="preserve"> need to have some restriction </w:t>
      </w:r>
    </w:p>
    <w:p w14:paraId="5FA4F44B" w14:textId="4DDA2557" w:rsidR="00E72FF2" w:rsidRDefault="00E72FF2">
      <w:pPr>
        <w:rPr>
          <w:lang w:val="en-GB"/>
        </w:rPr>
      </w:pPr>
      <w:r w:rsidRPr="00E72FF2">
        <w:rPr>
          <w:lang w:val="en-GB"/>
        </w:rPr>
        <w:sym w:font="Wingdings" w:char="F0E0"/>
      </w:r>
      <w:r>
        <w:rPr>
          <w:lang w:val="en-GB"/>
        </w:rPr>
        <w:t xml:space="preserve"> Necessary </w:t>
      </w:r>
      <w:r w:rsidRPr="00E72FF2">
        <w:rPr>
          <w:lang w:val="en-GB"/>
        </w:rPr>
        <w:sym w:font="Wingdings" w:char="F0E0"/>
      </w:r>
      <w:r>
        <w:rPr>
          <w:lang w:val="en-GB"/>
        </w:rPr>
        <w:t xml:space="preserve"> how long the flu will affect the people </w:t>
      </w:r>
      <w:r w:rsidRPr="00E72FF2">
        <w:rPr>
          <w:lang w:val="en-GB"/>
        </w:rPr>
        <w:sym w:font="Wingdings" w:char="F0E0"/>
      </w:r>
      <w:r>
        <w:rPr>
          <w:lang w:val="en-GB"/>
        </w:rPr>
        <w:t xml:space="preserve"> if 2 </w:t>
      </w:r>
      <w:proofErr w:type="spellStart"/>
      <w:r>
        <w:rPr>
          <w:lang w:val="en-GB"/>
        </w:rPr>
        <w:t>yrs</w:t>
      </w:r>
      <w:proofErr w:type="spellEnd"/>
      <w:r>
        <w:rPr>
          <w:lang w:val="en-GB"/>
        </w:rPr>
        <w:t xml:space="preserve"> then seems go beyond what is necessary </w:t>
      </w:r>
    </w:p>
    <w:p w14:paraId="29CC50E9" w14:textId="77777777" w:rsidR="00E72FF2" w:rsidRPr="00B629EC" w:rsidRDefault="00E72FF2">
      <w:pPr>
        <w:rPr>
          <w:lang w:val="en-GB"/>
        </w:rPr>
      </w:pPr>
    </w:p>
    <w:sectPr w:rsidR="00E72FF2" w:rsidRPr="00B629EC">
      <w:head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F9673" w14:textId="77777777" w:rsidR="00286B25" w:rsidRDefault="00286B25" w:rsidP="003C6536">
      <w:r>
        <w:separator/>
      </w:r>
    </w:p>
  </w:endnote>
  <w:endnote w:type="continuationSeparator" w:id="0">
    <w:p w14:paraId="2505A2B6" w14:textId="77777777" w:rsidR="00286B25" w:rsidRDefault="00286B25" w:rsidP="003C6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C759B6" w14:textId="77777777" w:rsidR="00286B25" w:rsidRDefault="00286B25" w:rsidP="003C6536">
      <w:r>
        <w:separator/>
      </w:r>
    </w:p>
  </w:footnote>
  <w:footnote w:type="continuationSeparator" w:id="0">
    <w:p w14:paraId="4A9C0F13" w14:textId="77777777" w:rsidR="00286B25" w:rsidRDefault="00286B25" w:rsidP="003C6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E2F94" w14:textId="77777777" w:rsidR="003C6536" w:rsidRPr="002D6A29" w:rsidRDefault="003C6536" w:rsidP="003C6536">
    <w:pPr>
      <w:jc w:val="center"/>
      <w:rPr>
        <w:sz w:val="20"/>
        <w:szCs w:val="20"/>
        <w:lang w:val="fr-FR"/>
      </w:rPr>
    </w:pPr>
    <w:r>
      <w:rPr>
        <w:sz w:val="20"/>
        <w:szCs w:val="20"/>
        <w:lang w:val="fr-FR"/>
      </w:rPr>
      <w:t>Prof</w:t>
    </w:r>
    <w:r w:rsidRPr="002D6A29">
      <w:rPr>
        <w:sz w:val="20"/>
        <w:szCs w:val="20"/>
        <w:lang w:val="fr-FR"/>
      </w:rPr>
      <w:t xml:space="preserve"> Pierre Schammo (pierre.schammo@durham.ac.uk)</w:t>
    </w:r>
  </w:p>
  <w:p w14:paraId="1D23E6D5" w14:textId="3689FE36" w:rsidR="003C6536" w:rsidRPr="00D55464" w:rsidRDefault="003C6536" w:rsidP="003C6536">
    <w:pPr>
      <w:jc w:val="center"/>
      <w:rPr>
        <w:sz w:val="20"/>
        <w:szCs w:val="20"/>
        <w:lang w:val="en-GB"/>
      </w:rPr>
    </w:pPr>
    <w:r>
      <w:rPr>
        <w:sz w:val="20"/>
        <w:szCs w:val="20"/>
        <w:lang w:val="en-GB"/>
      </w:rPr>
      <w:t>Contemp. Issues in the Law of the European Internal Market 202</w:t>
    </w:r>
    <w:r w:rsidR="00542E58">
      <w:rPr>
        <w:sz w:val="20"/>
        <w:szCs w:val="20"/>
        <w:lang w:val="en-GB"/>
      </w:rPr>
      <w:t>4</w:t>
    </w:r>
    <w:r>
      <w:rPr>
        <w:sz w:val="20"/>
        <w:szCs w:val="20"/>
        <w:lang w:val="en-GB"/>
      </w:rPr>
      <w:t>-2</w:t>
    </w:r>
    <w:r w:rsidR="00542E58">
      <w:rPr>
        <w:sz w:val="20"/>
        <w:szCs w:val="20"/>
        <w:lang w:val="en-GB"/>
      </w:rPr>
      <w:t>5</w:t>
    </w:r>
  </w:p>
  <w:p w14:paraId="57BCA029" w14:textId="77777777" w:rsidR="003C6536" w:rsidRDefault="003C65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2452"/>
    <w:multiLevelType w:val="multilevel"/>
    <w:tmpl w:val="115A1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E41"/>
    <w:multiLevelType w:val="hybridMultilevel"/>
    <w:tmpl w:val="2E4A29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F3775"/>
    <w:multiLevelType w:val="hybridMultilevel"/>
    <w:tmpl w:val="7812E22E"/>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7236BEE"/>
    <w:multiLevelType w:val="multilevel"/>
    <w:tmpl w:val="CFC0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315B"/>
    <w:multiLevelType w:val="multilevel"/>
    <w:tmpl w:val="731EB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363C6"/>
    <w:multiLevelType w:val="multilevel"/>
    <w:tmpl w:val="C4F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80D03"/>
    <w:multiLevelType w:val="multilevel"/>
    <w:tmpl w:val="B62C3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A3D6557"/>
    <w:multiLevelType w:val="multilevel"/>
    <w:tmpl w:val="F0684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127A6"/>
    <w:multiLevelType w:val="multilevel"/>
    <w:tmpl w:val="99E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81BA8"/>
    <w:multiLevelType w:val="multilevel"/>
    <w:tmpl w:val="76F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32BFE"/>
    <w:multiLevelType w:val="multilevel"/>
    <w:tmpl w:val="E066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176FC"/>
    <w:multiLevelType w:val="multilevel"/>
    <w:tmpl w:val="C5D06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C42F0"/>
    <w:multiLevelType w:val="multilevel"/>
    <w:tmpl w:val="8D0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E56C5"/>
    <w:multiLevelType w:val="hybridMultilevel"/>
    <w:tmpl w:val="391E9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F11A52"/>
    <w:multiLevelType w:val="multilevel"/>
    <w:tmpl w:val="015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265C7"/>
    <w:multiLevelType w:val="multilevel"/>
    <w:tmpl w:val="4BF8C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E0245"/>
    <w:multiLevelType w:val="multilevel"/>
    <w:tmpl w:val="9B02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912E9"/>
    <w:multiLevelType w:val="multilevel"/>
    <w:tmpl w:val="699CFC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6CD5A4A"/>
    <w:multiLevelType w:val="multilevel"/>
    <w:tmpl w:val="D024B2D8"/>
    <w:lvl w:ilvl="0">
      <w:start w:val="1"/>
      <w:numFmt w:val="decimal"/>
      <w:lvlText w:val="%1."/>
      <w:lvlJc w:val="left"/>
      <w:pPr>
        <w:ind w:left="360" w:hanging="360"/>
      </w:pPr>
      <w:rPr>
        <w:rFonts w:hint="default"/>
        <w:sz w:val="24"/>
        <w:szCs w:val="24"/>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7D15D8F"/>
    <w:multiLevelType w:val="multilevel"/>
    <w:tmpl w:val="13261A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9161200"/>
    <w:multiLevelType w:val="multilevel"/>
    <w:tmpl w:val="5CC6787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start w:val="1"/>
      <w:numFmt w:val="decimal"/>
      <w:lvlText w:val="%3."/>
      <w:lvlJc w:val="left"/>
      <w:pPr>
        <w:tabs>
          <w:tab w:val="num" w:pos="501"/>
        </w:tabs>
        <w:ind w:left="501"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9C84848"/>
    <w:multiLevelType w:val="multilevel"/>
    <w:tmpl w:val="4DD09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B60770D"/>
    <w:multiLevelType w:val="multilevel"/>
    <w:tmpl w:val="EC18F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75942"/>
    <w:multiLevelType w:val="multilevel"/>
    <w:tmpl w:val="18168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14A12"/>
    <w:multiLevelType w:val="multilevel"/>
    <w:tmpl w:val="A970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77255"/>
    <w:multiLevelType w:val="multilevel"/>
    <w:tmpl w:val="701EB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206BC"/>
    <w:multiLevelType w:val="multilevel"/>
    <w:tmpl w:val="BDD63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52EE6"/>
    <w:multiLevelType w:val="multilevel"/>
    <w:tmpl w:val="D5F2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65A8F"/>
    <w:multiLevelType w:val="multilevel"/>
    <w:tmpl w:val="B3D0DB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6E14048"/>
    <w:multiLevelType w:val="multilevel"/>
    <w:tmpl w:val="7D1C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AD51FC"/>
    <w:multiLevelType w:val="multilevel"/>
    <w:tmpl w:val="AF223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56D4A"/>
    <w:multiLevelType w:val="multilevel"/>
    <w:tmpl w:val="0144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F1E7D"/>
    <w:multiLevelType w:val="hybridMultilevel"/>
    <w:tmpl w:val="AD923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DA084C"/>
    <w:multiLevelType w:val="multilevel"/>
    <w:tmpl w:val="E4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9525C"/>
    <w:multiLevelType w:val="multilevel"/>
    <w:tmpl w:val="D7AE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605A9"/>
    <w:multiLevelType w:val="multilevel"/>
    <w:tmpl w:val="954E47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1887B0F"/>
    <w:multiLevelType w:val="multilevel"/>
    <w:tmpl w:val="A0427C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4EF6E36"/>
    <w:multiLevelType w:val="multilevel"/>
    <w:tmpl w:val="CB24B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4194A"/>
    <w:multiLevelType w:val="multilevel"/>
    <w:tmpl w:val="079EB5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B68F2"/>
    <w:multiLevelType w:val="multilevel"/>
    <w:tmpl w:val="B0C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32AD0"/>
    <w:multiLevelType w:val="multilevel"/>
    <w:tmpl w:val="675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85325"/>
    <w:multiLevelType w:val="multilevel"/>
    <w:tmpl w:val="D104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66C1C"/>
    <w:multiLevelType w:val="hybridMultilevel"/>
    <w:tmpl w:val="60C83EB2"/>
    <w:lvl w:ilvl="0" w:tplc="217CE45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046720"/>
    <w:multiLevelType w:val="multilevel"/>
    <w:tmpl w:val="96E2F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33611"/>
    <w:multiLevelType w:val="multilevel"/>
    <w:tmpl w:val="BD9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17C38"/>
    <w:multiLevelType w:val="multilevel"/>
    <w:tmpl w:val="A64651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9186AB7"/>
    <w:multiLevelType w:val="multilevel"/>
    <w:tmpl w:val="73806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04F2F"/>
    <w:multiLevelType w:val="hybridMultilevel"/>
    <w:tmpl w:val="052CE112"/>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48" w15:restartNumberingAfterBreak="0">
    <w:nsid w:val="49FB6F97"/>
    <w:multiLevelType w:val="multilevel"/>
    <w:tmpl w:val="E43C7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7C2A2C"/>
    <w:multiLevelType w:val="multilevel"/>
    <w:tmpl w:val="4358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AF3C86"/>
    <w:multiLevelType w:val="multilevel"/>
    <w:tmpl w:val="5ADA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A74AB9"/>
    <w:multiLevelType w:val="multilevel"/>
    <w:tmpl w:val="5CC6787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start w:val="1"/>
      <w:numFmt w:val="decimal"/>
      <w:lvlText w:val="%3."/>
      <w:lvlJc w:val="left"/>
      <w:pPr>
        <w:tabs>
          <w:tab w:val="num" w:pos="501"/>
        </w:tabs>
        <w:ind w:left="501"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E002B5F"/>
    <w:multiLevelType w:val="multilevel"/>
    <w:tmpl w:val="36A6D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D6FD3"/>
    <w:multiLevelType w:val="multilevel"/>
    <w:tmpl w:val="8A5A2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564C6247"/>
    <w:multiLevelType w:val="multilevel"/>
    <w:tmpl w:val="20500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6B47BCF"/>
    <w:multiLevelType w:val="hybridMultilevel"/>
    <w:tmpl w:val="2648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8402E8"/>
    <w:multiLevelType w:val="multilevel"/>
    <w:tmpl w:val="60D4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6120C"/>
    <w:multiLevelType w:val="multilevel"/>
    <w:tmpl w:val="3BEC3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4257C0"/>
    <w:multiLevelType w:val="multilevel"/>
    <w:tmpl w:val="C5B64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4316C7"/>
    <w:multiLevelType w:val="multilevel"/>
    <w:tmpl w:val="014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B41F2F"/>
    <w:multiLevelType w:val="multilevel"/>
    <w:tmpl w:val="EE0A9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51166B"/>
    <w:multiLevelType w:val="multilevel"/>
    <w:tmpl w:val="773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433747"/>
    <w:multiLevelType w:val="multilevel"/>
    <w:tmpl w:val="99AE1A2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092791D"/>
    <w:multiLevelType w:val="multilevel"/>
    <w:tmpl w:val="23A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8A2393"/>
    <w:multiLevelType w:val="multilevel"/>
    <w:tmpl w:val="F36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C1065C"/>
    <w:multiLevelType w:val="multilevel"/>
    <w:tmpl w:val="7A349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4A5FEE"/>
    <w:multiLevelType w:val="multilevel"/>
    <w:tmpl w:val="10F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653F70"/>
    <w:multiLevelType w:val="multilevel"/>
    <w:tmpl w:val="A4B8B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541A4C"/>
    <w:multiLevelType w:val="hybridMultilevel"/>
    <w:tmpl w:val="FADA0072"/>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9594FA4"/>
    <w:multiLevelType w:val="multilevel"/>
    <w:tmpl w:val="266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6D15C5"/>
    <w:multiLevelType w:val="multilevel"/>
    <w:tmpl w:val="CBA65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D24CAA"/>
    <w:multiLevelType w:val="multilevel"/>
    <w:tmpl w:val="93269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CF37D0"/>
    <w:multiLevelType w:val="multilevel"/>
    <w:tmpl w:val="CC101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015F12"/>
    <w:multiLevelType w:val="multilevel"/>
    <w:tmpl w:val="F1F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E5981"/>
    <w:multiLevelType w:val="multilevel"/>
    <w:tmpl w:val="0352A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0F66BF5"/>
    <w:multiLevelType w:val="multilevel"/>
    <w:tmpl w:val="BE3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7B2414"/>
    <w:multiLevelType w:val="multilevel"/>
    <w:tmpl w:val="AF20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927401"/>
    <w:multiLevelType w:val="multilevel"/>
    <w:tmpl w:val="2FAEB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DB1728"/>
    <w:multiLevelType w:val="multilevel"/>
    <w:tmpl w:val="41388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352E9"/>
    <w:multiLevelType w:val="multilevel"/>
    <w:tmpl w:val="E77C15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BFD604E"/>
    <w:multiLevelType w:val="multilevel"/>
    <w:tmpl w:val="96FA9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946896">
    <w:abstractNumId w:val="68"/>
  </w:num>
  <w:num w:numId="2" w16cid:durableId="944311362">
    <w:abstractNumId w:val="32"/>
  </w:num>
  <w:num w:numId="3" w16cid:durableId="386531741">
    <w:abstractNumId w:val="55"/>
  </w:num>
  <w:num w:numId="4" w16cid:durableId="1803889407">
    <w:abstractNumId w:val="42"/>
  </w:num>
  <w:num w:numId="5" w16cid:durableId="993336685">
    <w:abstractNumId w:val="1"/>
  </w:num>
  <w:num w:numId="6" w16cid:durableId="4905595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9840700">
    <w:abstractNumId w:val="47"/>
  </w:num>
  <w:num w:numId="8" w16cid:durableId="1813281511">
    <w:abstractNumId w:val="13"/>
  </w:num>
  <w:num w:numId="9" w16cid:durableId="1500194278">
    <w:abstractNumId w:val="2"/>
  </w:num>
  <w:num w:numId="10" w16cid:durableId="214976952">
    <w:abstractNumId w:val="76"/>
  </w:num>
  <w:num w:numId="11" w16cid:durableId="1376150513">
    <w:abstractNumId w:val="59"/>
  </w:num>
  <w:num w:numId="12" w16cid:durableId="494613630">
    <w:abstractNumId w:val="73"/>
  </w:num>
  <w:num w:numId="13" w16cid:durableId="1330521735">
    <w:abstractNumId w:val="6"/>
  </w:num>
  <w:num w:numId="14" w16cid:durableId="679166058">
    <w:abstractNumId w:val="35"/>
  </w:num>
  <w:num w:numId="15" w16cid:durableId="1283730711">
    <w:abstractNumId w:val="54"/>
  </w:num>
  <w:num w:numId="16" w16cid:durableId="973488957">
    <w:abstractNumId w:val="57"/>
  </w:num>
  <w:num w:numId="17" w16cid:durableId="1199590679">
    <w:abstractNumId w:val="38"/>
  </w:num>
  <w:num w:numId="18" w16cid:durableId="729108440">
    <w:abstractNumId w:val="25"/>
  </w:num>
  <w:num w:numId="19" w16cid:durableId="2000881320">
    <w:abstractNumId w:val="52"/>
  </w:num>
  <w:num w:numId="20" w16cid:durableId="1750736609">
    <w:abstractNumId w:val="11"/>
  </w:num>
  <w:num w:numId="21" w16cid:durableId="468665866">
    <w:abstractNumId w:val="62"/>
  </w:num>
  <w:num w:numId="22" w16cid:durableId="1107502688">
    <w:abstractNumId w:val="26"/>
  </w:num>
  <w:num w:numId="23" w16cid:durableId="2054846394">
    <w:abstractNumId w:val="72"/>
  </w:num>
  <w:num w:numId="24" w16cid:durableId="784614519">
    <w:abstractNumId w:val="80"/>
  </w:num>
  <w:num w:numId="25" w16cid:durableId="1115563243">
    <w:abstractNumId w:val="58"/>
  </w:num>
  <w:num w:numId="26" w16cid:durableId="501168036">
    <w:abstractNumId w:val="15"/>
  </w:num>
  <w:num w:numId="27" w16cid:durableId="354842114">
    <w:abstractNumId w:val="50"/>
  </w:num>
  <w:num w:numId="28" w16cid:durableId="1318730694">
    <w:abstractNumId w:val="77"/>
  </w:num>
  <w:num w:numId="29" w16cid:durableId="379482711">
    <w:abstractNumId w:val="65"/>
  </w:num>
  <w:num w:numId="30" w16cid:durableId="964383765">
    <w:abstractNumId w:val="43"/>
  </w:num>
  <w:num w:numId="31" w16cid:durableId="1575312954">
    <w:abstractNumId w:val="67"/>
  </w:num>
  <w:num w:numId="32" w16cid:durableId="1435319292">
    <w:abstractNumId w:val="30"/>
  </w:num>
  <w:num w:numId="33" w16cid:durableId="407387214">
    <w:abstractNumId w:val="70"/>
  </w:num>
  <w:num w:numId="34" w16cid:durableId="220094737">
    <w:abstractNumId w:val="48"/>
  </w:num>
  <w:num w:numId="35" w16cid:durableId="633488392">
    <w:abstractNumId w:val="23"/>
  </w:num>
  <w:num w:numId="36" w16cid:durableId="909075157">
    <w:abstractNumId w:val="41"/>
  </w:num>
  <w:num w:numId="37" w16cid:durableId="1963535329">
    <w:abstractNumId w:val="56"/>
  </w:num>
  <w:num w:numId="38" w16cid:durableId="301429257">
    <w:abstractNumId w:val="0"/>
  </w:num>
  <w:num w:numId="39" w16cid:durableId="1228342145">
    <w:abstractNumId w:val="12"/>
  </w:num>
  <w:num w:numId="40" w16cid:durableId="1302345599">
    <w:abstractNumId w:val="16"/>
  </w:num>
  <w:num w:numId="41" w16cid:durableId="1935167566">
    <w:abstractNumId w:val="40"/>
  </w:num>
  <w:num w:numId="42" w16cid:durableId="203060499">
    <w:abstractNumId w:val="8"/>
  </w:num>
  <w:num w:numId="43" w16cid:durableId="237136482">
    <w:abstractNumId w:val="39"/>
  </w:num>
  <w:num w:numId="44" w16cid:durableId="1366520638">
    <w:abstractNumId w:val="14"/>
  </w:num>
  <w:num w:numId="45" w16cid:durableId="73015221">
    <w:abstractNumId w:val="64"/>
  </w:num>
  <w:num w:numId="46" w16cid:durableId="1395540201">
    <w:abstractNumId w:val="9"/>
  </w:num>
  <w:num w:numId="47" w16cid:durableId="1817405717">
    <w:abstractNumId w:val="78"/>
  </w:num>
  <w:num w:numId="48" w16cid:durableId="1319188961">
    <w:abstractNumId w:val="24"/>
  </w:num>
  <w:num w:numId="49" w16cid:durableId="877741047">
    <w:abstractNumId w:val="27"/>
  </w:num>
  <w:num w:numId="50" w16cid:durableId="1745033397">
    <w:abstractNumId w:val="29"/>
  </w:num>
  <w:num w:numId="51" w16cid:durableId="1253124201">
    <w:abstractNumId w:val="46"/>
  </w:num>
  <w:num w:numId="52" w16cid:durableId="265384627">
    <w:abstractNumId w:val="79"/>
  </w:num>
  <w:num w:numId="53" w16cid:durableId="1138570764">
    <w:abstractNumId w:val="17"/>
  </w:num>
  <w:num w:numId="54" w16cid:durableId="1538353626">
    <w:abstractNumId w:val="34"/>
  </w:num>
  <w:num w:numId="55" w16cid:durableId="1530559817">
    <w:abstractNumId w:val="53"/>
  </w:num>
  <w:num w:numId="56" w16cid:durableId="456291948">
    <w:abstractNumId w:val="33"/>
  </w:num>
  <w:num w:numId="57" w16cid:durableId="1649362880">
    <w:abstractNumId w:val="74"/>
  </w:num>
  <w:num w:numId="58" w16cid:durableId="743914075">
    <w:abstractNumId w:val="61"/>
  </w:num>
  <w:num w:numId="59" w16cid:durableId="804199351">
    <w:abstractNumId w:val="66"/>
  </w:num>
  <w:num w:numId="60" w16cid:durableId="695811342">
    <w:abstractNumId w:val="69"/>
  </w:num>
  <w:num w:numId="61" w16cid:durableId="1840654514">
    <w:abstractNumId w:val="5"/>
  </w:num>
  <w:num w:numId="62" w16cid:durableId="1650863170">
    <w:abstractNumId w:val="19"/>
  </w:num>
  <w:num w:numId="63" w16cid:durableId="28922987">
    <w:abstractNumId w:val="18"/>
  </w:num>
  <w:num w:numId="64" w16cid:durableId="1304653759">
    <w:abstractNumId w:val="44"/>
  </w:num>
  <w:num w:numId="65" w16cid:durableId="1067453889">
    <w:abstractNumId w:val="45"/>
  </w:num>
  <w:num w:numId="66" w16cid:durableId="1559972628">
    <w:abstractNumId w:val="63"/>
  </w:num>
  <w:num w:numId="67" w16cid:durableId="4333682">
    <w:abstractNumId w:val="4"/>
  </w:num>
  <w:num w:numId="68" w16cid:durableId="2103455988">
    <w:abstractNumId w:val="75"/>
  </w:num>
  <w:num w:numId="69" w16cid:durableId="1534464321">
    <w:abstractNumId w:val="36"/>
  </w:num>
  <w:num w:numId="70" w16cid:durableId="192349445">
    <w:abstractNumId w:val="22"/>
  </w:num>
  <w:num w:numId="71" w16cid:durableId="1527329984">
    <w:abstractNumId w:val="37"/>
  </w:num>
  <w:num w:numId="72" w16cid:durableId="1179924358">
    <w:abstractNumId w:val="31"/>
  </w:num>
  <w:num w:numId="73" w16cid:durableId="784009056">
    <w:abstractNumId w:val="49"/>
  </w:num>
  <w:num w:numId="74" w16cid:durableId="972179899">
    <w:abstractNumId w:val="51"/>
  </w:num>
  <w:num w:numId="75" w16cid:durableId="1682395797">
    <w:abstractNumId w:val="60"/>
  </w:num>
  <w:num w:numId="76" w16cid:durableId="875846195">
    <w:abstractNumId w:val="20"/>
  </w:num>
  <w:num w:numId="77" w16cid:durableId="2133940940">
    <w:abstractNumId w:val="3"/>
  </w:num>
  <w:num w:numId="78" w16cid:durableId="1422680341">
    <w:abstractNumId w:val="7"/>
  </w:num>
  <w:num w:numId="79" w16cid:durableId="1463231776">
    <w:abstractNumId w:val="28"/>
  </w:num>
  <w:num w:numId="80" w16cid:durableId="1011300625">
    <w:abstractNumId w:val="71"/>
  </w:num>
  <w:num w:numId="81" w16cid:durableId="1629241842">
    <w:abstractNumId w:val="10"/>
  </w:num>
  <w:num w:numId="82" w16cid:durableId="17639093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6D9"/>
    <w:rsid w:val="00075A55"/>
    <w:rsid w:val="00077492"/>
    <w:rsid w:val="00087FA4"/>
    <w:rsid w:val="00090DCD"/>
    <w:rsid w:val="00095AF6"/>
    <w:rsid w:val="000B22AF"/>
    <w:rsid w:val="000B7033"/>
    <w:rsid w:val="000F020D"/>
    <w:rsid w:val="00106D34"/>
    <w:rsid w:val="00160F76"/>
    <w:rsid w:val="001740D3"/>
    <w:rsid w:val="0019783B"/>
    <w:rsid w:val="001B77E7"/>
    <w:rsid w:val="001C3DF0"/>
    <w:rsid w:val="00201DA9"/>
    <w:rsid w:val="002037DE"/>
    <w:rsid w:val="00237EEB"/>
    <w:rsid w:val="00247D92"/>
    <w:rsid w:val="002823BB"/>
    <w:rsid w:val="00286B25"/>
    <w:rsid w:val="0029695C"/>
    <w:rsid w:val="002E3372"/>
    <w:rsid w:val="002E4EE6"/>
    <w:rsid w:val="003015D3"/>
    <w:rsid w:val="00314263"/>
    <w:rsid w:val="003C6536"/>
    <w:rsid w:val="003D63B5"/>
    <w:rsid w:val="003E06D6"/>
    <w:rsid w:val="004518E4"/>
    <w:rsid w:val="004A3519"/>
    <w:rsid w:val="004F4385"/>
    <w:rsid w:val="004F5AB0"/>
    <w:rsid w:val="004F67E4"/>
    <w:rsid w:val="0050383F"/>
    <w:rsid w:val="00542E58"/>
    <w:rsid w:val="005471E4"/>
    <w:rsid w:val="00563812"/>
    <w:rsid w:val="005C0298"/>
    <w:rsid w:val="005C2D43"/>
    <w:rsid w:val="006016D9"/>
    <w:rsid w:val="00605AB1"/>
    <w:rsid w:val="00614EF8"/>
    <w:rsid w:val="00624CCA"/>
    <w:rsid w:val="00625AC3"/>
    <w:rsid w:val="006425BE"/>
    <w:rsid w:val="006506C3"/>
    <w:rsid w:val="006A2610"/>
    <w:rsid w:val="006B1E10"/>
    <w:rsid w:val="006D0C2F"/>
    <w:rsid w:val="006D2D03"/>
    <w:rsid w:val="006F35D1"/>
    <w:rsid w:val="00723E45"/>
    <w:rsid w:val="007271A0"/>
    <w:rsid w:val="00761FCD"/>
    <w:rsid w:val="007A05BF"/>
    <w:rsid w:val="007C62A1"/>
    <w:rsid w:val="00825D6B"/>
    <w:rsid w:val="00863AB1"/>
    <w:rsid w:val="00871FC4"/>
    <w:rsid w:val="0088570A"/>
    <w:rsid w:val="00893BA2"/>
    <w:rsid w:val="008B6760"/>
    <w:rsid w:val="008C21E2"/>
    <w:rsid w:val="008E1B2C"/>
    <w:rsid w:val="00923A79"/>
    <w:rsid w:val="00924BFA"/>
    <w:rsid w:val="00987135"/>
    <w:rsid w:val="009C061D"/>
    <w:rsid w:val="009F26B9"/>
    <w:rsid w:val="00A1060F"/>
    <w:rsid w:val="00A156F0"/>
    <w:rsid w:val="00A53CAB"/>
    <w:rsid w:val="00AB4373"/>
    <w:rsid w:val="00AE43C8"/>
    <w:rsid w:val="00B47810"/>
    <w:rsid w:val="00B51F1C"/>
    <w:rsid w:val="00B629EC"/>
    <w:rsid w:val="00B7309E"/>
    <w:rsid w:val="00B76677"/>
    <w:rsid w:val="00B92C4F"/>
    <w:rsid w:val="00BA24FE"/>
    <w:rsid w:val="00BC40DB"/>
    <w:rsid w:val="00BC46DB"/>
    <w:rsid w:val="00BD45F7"/>
    <w:rsid w:val="00BF7A13"/>
    <w:rsid w:val="00C65110"/>
    <w:rsid w:val="00C72337"/>
    <w:rsid w:val="00C73603"/>
    <w:rsid w:val="00C741B5"/>
    <w:rsid w:val="00CD5A01"/>
    <w:rsid w:val="00CF0140"/>
    <w:rsid w:val="00D02627"/>
    <w:rsid w:val="00D274DA"/>
    <w:rsid w:val="00D60E77"/>
    <w:rsid w:val="00D83B3A"/>
    <w:rsid w:val="00DB5982"/>
    <w:rsid w:val="00DC7C27"/>
    <w:rsid w:val="00DF039A"/>
    <w:rsid w:val="00DF6BDC"/>
    <w:rsid w:val="00E147D1"/>
    <w:rsid w:val="00E72FF2"/>
    <w:rsid w:val="00E77898"/>
    <w:rsid w:val="00E80F99"/>
    <w:rsid w:val="00EB5247"/>
    <w:rsid w:val="00EC323E"/>
    <w:rsid w:val="00EE664D"/>
    <w:rsid w:val="00F02154"/>
    <w:rsid w:val="00F06DD6"/>
    <w:rsid w:val="00F243D6"/>
    <w:rsid w:val="00F461BC"/>
    <w:rsid w:val="00F60434"/>
    <w:rsid w:val="00F66467"/>
    <w:rsid w:val="00F8445B"/>
    <w:rsid w:val="00F864A4"/>
    <w:rsid w:val="00FA2FCE"/>
    <w:rsid w:val="00FB03B1"/>
    <w:rsid w:val="00FB1CAB"/>
    <w:rsid w:val="00FE4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22E44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C0298"/>
    <w:rPr>
      <w:rFonts w:ascii="Times New Roman" w:eastAsia="Times New Roman" w:hAnsi="Times New Roman" w:cs="Times New Roman"/>
      <w:lang w:val="en-HK" w:eastAsia="zh-CN"/>
    </w:rPr>
  </w:style>
  <w:style w:type="paragraph" w:styleId="Heading3">
    <w:name w:val="heading 3"/>
    <w:basedOn w:val="Normal"/>
    <w:link w:val="Heading3Char"/>
    <w:uiPriority w:val="9"/>
    <w:qFormat/>
    <w:rsid w:val="00924BF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243D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6D9"/>
    <w:pPr>
      <w:ind w:left="720"/>
    </w:pPr>
  </w:style>
  <w:style w:type="paragraph" w:styleId="NoSpacing">
    <w:name w:val="No Spacing"/>
    <w:uiPriority w:val="1"/>
    <w:qFormat/>
    <w:rsid w:val="006016D9"/>
    <w:rPr>
      <w:rFonts w:ascii="Arial" w:eastAsia="Times New Roman" w:hAnsi="Arial" w:cs="Times New Roman"/>
      <w:sz w:val="20"/>
      <w:szCs w:val="20"/>
      <w:lang w:val="en-GB" w:eastAsia="en-GB"/>
    </w:rPr>
  </w:style>
  <w:style w:type="paragraph" w:styleId="PlainText">
    <w:name w:val="Plain Text"/>
    <w:basedOn w:val="Normal"/>
    <w:link w:val="PlainTextChar"/>
    <w:uiPriority w:val="99"/>
    <w:semiHidden/>
    <w:unhideWhenUsed/>
    <w:rsid w:val="006016D9"/>
    <w:rPr>
      <w:rFonts w:ascii="Calibri" w:eastAsiaTheme="minorHAnsi" w:hAnsi="Calibri" w:cs="Consolas"/>
      <w:sz w:val="22"/>
      <w:szCs w:val="21"/>
      <w:lang w:val="en-GB" w:eastAsia="en-US"/>
    </w:rPr>
  </w:style>
  <w:style w:type="character" w:customStyle="1" w:styleId="PlainTextChar">
    <w:name w:val="Plain Text Char"/>
    <w:basedOn w:val="DefaultParagraphFont"/>
    <w:link w:val="PlainText"/>
    <w:uiPriority w:val="99"/>
    <w:semiHidden/>
    <w:rsid w:val="006016D9"/>
    <w:rPr>
      <w:rFonts w:ascii="Calibri" w:hAnsi="Calibri" w:cs="Consolas"/>
      <w:sz w:val="22"/>
      <w:szCs w:val="21"/>
      <w:lang w:val="en-GB"/>
    </w:rPr>
  </w:style>
  <w:style w:type="character" w:styleId="Emphasis">
    <w:name w:val="Emphasis"/>
    <w:basedOn w:val="DefaultParagraphFont"/>
    <w:uiPriority w:val="20"/>
    <w:qFormat/>
    <w:rsid w:val="006016D9"/>
    <w:rPr>
      <w:i/>
      <w:iCs/>
    </w:rPr>
  </w:style>
  <w:style w:type="paragraph" w:customStyle="1" w:styleId="p1">
    <w:name w:val="p1"/>
    <w:basedOn w:val="Normal"/>
    <w:rsid w:val="007C62A1"/>
    <w:rPr>
      <w:rFonts w:ascii="Verdana" w:hAnsi="Verdana"/>
      <w:color w:val="323333"/>
      <w:sz w:val="18"/>
      <w:szCs w:val="18"/>
      <w:lang w:val="en-US" w:eastAsia="en-US"/>
    </w:rPr>
  </w:style>
  <w:style w:type="character" w:customStyle="1" w:styleId="s2">
    <w:name w:val="s2"/>
    <w:basedOn w:val="DefaultParagraphFont"/>
    <w:rsid w:val="007C62A1"/>
    <w:rPr>
      <w:color w:val="666666"/>
    </w:rPr>
  </w:style>
  <w:style w:type="character" w:customStyle="1" w:styleId="s1">
    <w:name w:val="s1"/>
    <w:basedOn w:val="DefaultParagraphFont"/>
    <w:rsid w:val="007C62A1"/>
  </w:style>
  <w:style w:type="paragraph" w:styleId="BalloonText">
    <w:name w:val="Balloon Text"/>
    <w:basedOn w:val="Normal"/>
    <w:link w:val="BalloonTextChar"/>
    <w:uiPriority w:val="99"/>
    <w:semiHidden/>
    <w:unhideWhenUsed/>
    <w:rsid w:val="00C72337"/>
    <w:rPr>
      <w:sz w:val="18"/>
      <w:szCs w:val="18"/>
    </w:rPr>
  </w:style>
  <w:style w:type="character" w:customStyle="1" w:styleId="BalloonTextChar">
    <w:name w:val="Balloon Text Char"/>
    <w:basedOn w:val="DefaultParagraphFont"/>
    <w:link w:val="BalloonText"/>
    <w:uiPriority w:val="99"/>
    <w:semiHidden/>
    <w:rsid w:val="00C72337"/>
    <w:rPr>
      <w:rFonts w:ascii="Times New Roman" w:eastAsia="Times New Roman" w:hAnsi="Times New Roman" w:cs="Times New Roman"/>
      <w:sz w:val="18"/>
      <w:szCs w:val="18"/>
      <w:lang w:val="it-IT" w:eastAsia="it-IT"/>
    </w:rPr>
  </w:style>
  <w:style w:type="paragraph" w:styleId="NormalWeb">
    <w:name w:val="Normal (Web)"/>
    <w:basedOn w:val="Normal"/>
    <w:uiPriority w:val="99"/>
    <w:semiHidden/>
    <w:unhideWhenUsed/>
    <w:rsid w:val="00987135"/>
    <w:pPr>
      <w:spacing w:before="100" w:beforeAutospacing="1" w:after="100" w:afterAutospacing="1"/>
    </w:pPr>
    <w:rPr>
      <w:lang w:val="en-GB" w:eastAsia="en-GB"/>
    </w:rPr>
  </w:style>
  <w:style w:type="character" w:customStyle="1" w:styleId="apple-converted-space">
    <w:name w:val="apple-converted-space"/>
    <w:basedOn w:val="DefaultParagraphFont"/>
    <w:rsid w:val="00987135"/>
  </w:style>
  <w:style w:type="paragraph" w:styleId="Header">
    <w:name w:val="header"/>
    <w:basedOn w:val="Normal"/>
    <w:link w:val="HeaderChar"/>
    <w:uiPriority w:val="99"/>
    <w:unhideWhenUsed/>
    <w:rsid w:val="003C6536"/>
    <w:pPr>
      <w:tabs>
        <w:tab w:val="center" w:pos="4680"/>
        <w:tab w:val="right" w:pos="9360"/>
      </w:tabs>
    </w:pPr>
  </w:style>
  <w:style w:type="character" w:customStyle="1" w:styleId="HeaderChar">
    <w:name w:val="Header Char"/>
    <w:basedOn w:val="DefaultParagraphFont"/>
    <w:link w:val="Header"/>
    <w:uiPriority w:val="99"/>
    <w:rsid w:val="003C6536"/>
    <w:rPr>
      <w:rFonts w:ascii="Times New Roman" w:eastAsia="Times New Roman" w:hAnsi="Times New Roman" w:cs="Times New Roman"/>
      <w:lang w:val="it-IT" w:eastAsia="it-IT"/>
    </w:rPr>
  </w:style>
  <w:style w:type="paragraph" w:styleId="Footer">
    <w:name w:val="footer"/>
    <w:basedOn w:val="Normal"/>
    <w:link w:val="FooterChar"/>
    <w:uiPriority w:val="99"/>
    <w:unhideWhenUsed/>
    <w:rsid w:val="003C6536"/>
    <w:pPr>
      <w:tabs>
        <w:tab w:val="center" w:pos="4680"/>
        <w:tab w:val="right" w:pos="9360"/>
      </w:tabs>
    </w:pPr>
  </w:style>
  <w:style w:type="character" w:customStyle="1" w:styleId="FooterChar">
    <w:name w:val="Footer Char"/>
    <w:basedOn w:val="DefaultParagraphFont"/>
    <w:link w:val="Footer"/>
    <w:uiPriority w:val="99"/>
    <w:rsid w:val="003C6536"/>
    <w:rPr>
      <w:rFonts w:ascii="Times New Roman" w:eastAsia="Times New Roman" w:hAnsi="Times New Roman" w:cs="Times New Roman"/>
      <w:lang w:val="it-IT" w:eastAsia="it-IT"/>
    </w:rPr>
  </w:style>
  <w:style w:type="character" w:customStyle="1" w:styleId="Heading3Char">
    <w:name w:val="Heading 3 Char"/>
    <w:basedOn w:val="DefaultParagraphFont"/>
    <w:link w:val="Heading3"/>
    <w:uiPriority w:val="9"/>
    <w:rsid w:val="00924BFA"/>
    <w:rPr>
      <w:rFonts w:ascii="Times New Roman" w:eastAsia="Times New Roman" w:hAnsi="Times New Roman" w:cs="Times New Roman"/>
      <w:b/>
      <w:bCs/>
      <w:sz w:val="27"/>
      <w:szCs w:val="27"/>
      <w:lang w:val="en-HK" w:eastAsia="zh-CN"/>
    </w:rPr>
  </w:style>
  <w:style w:type="paragraph" w:customStyle="1" w:styleId="break-words">
    <w:name w:val="break-words"/>
    <w:basedOn w:val="Normal"/>
    <w:rsid w:val="00924BFA"/>
    <w:pPr>
      <w:spacing w:before="100" w:beforeAutospacing="1" w:after="100" w:afterAutospacing="1"/>
    </w:pPr>
  </w:style>
  <w:style w:type="character" w:styleId="Strong">
    <w:name w:val="Strong"/>
    <w:basedOn w:val="DefaultParagraphFont"/>
    <w:uiPriority w:val="22"/>
    <w:qFormat/>
    <w:rsid w:val="00924BFA"/>
    <w:rPr>
      <w:b/>
      <w:bCs/>
    </w:rPr>
  </w:style>
  <w:style w:type="character" w:customStyle="1" w:styleId="Heading4Char">
    <w:name w:val="Heading 4 Char"/>
    <w:basedOn w:val="DefaultParagraphFont"/>
    <w:link w:val="Heading4"/>
    <w:uiPriority w:val="9"/>
    <w:rsid w:val="00F243D6"/>
    <w:rPr>
      <w:rFonts w:asciiTheme="majorHAnsi" w:eastAsiaTheme="majorEastAsia" w:hAnsiTheme="majorHAnsi" w:cstheme="majorBidi"/>
      <w:i/>
      <w:iCs/>
      <w:color w:val="2E74B5" w:themeColor="accent1" w:themeShade="BF"/>
      <w:lang w:val="en-H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72587">
      <w:bodyDiv w:val="1"/>
      <w:marLeft w:val="0"/>
      <w:marRight w:val="0"/>
      <w:marTop w:val="0"/>
      <w:marBottom w:val="0"/>
      <w:divBdr>
        <w:top w:val="none" w:sz="0" w:space="0" w:color="auto"/>
        <w:left w:val="none" w:sz="0" w:space="0" w:color="auto"/>
        <w:bottom w:val="none" w:sz="0" w:space="0" w:color="auto"/>
        <w:right w:val="none" w:sz="0" w:space="0" w:color="auto"/>
      </w:divBdr>
      <w:divsChild>
        <w:div w:id="1417362313">
          <w:marLeft w:val="0"/>
          <w:marRight w:val="0"/>
          <w:marTop w:val="0"/>
          <w:marBottom w:val="0"/>
          <w:divBdr>
            <w:top w:val="none" w:sz="0" w:space="0" w:color="auto"/>
            <w:left w:val="none" w:sz="0" w:space="0" w:color="auto"/>
            <w:bottom w:val="none" w:sz="0" w:space="0" w:color="auto"/>
            <w:right w:val="none" w:sz="0" w:space="0" w:color="auto"/>
          </w:divBdr>
        </w:div>
      </w:divsChild>
    </w:div>
    <w:div w:id="71203185">
      <w:bodyDiv w:val="1"/>
      <w:marLeft w:val="0"/>
      <w:marRight w:val="0"/>
      <w:marTop w:val="0"/>
      <w:marBottom w:val="0"/>
      <w:divBdr>
        <w:top w:val="none" w:sz="0" w:space="0" w:color="auto"/>
        <w:left w:val="none" w:sz="0" w:space="0" w:color="auto"/>
        <w:bottom w:val="none" w:sz="0" w:space="0" w:color="auto"/>
        <w:right w:val="none" w:sz="0" w:space="0" w:color="auto"/>
      </w:divBdr>
      <w:divsChild>
        <w:div w:id="1900899906">
          <w:marLeft w:val="0"/>
          <w:marRight w:val="0"/>
          <w:marTop w:val="0"/>
          <w:marBottom w:val="0"/>
          <w:divBdr>
            <w:top w:val="none" w:sz="0" w:space="0" w:color="auto"/>
            <w:left w:val="none" w:sz="0" w:space="0" w:color="auto"/>
            <w:bottom w:val="none" w:sz="0" w:space="0" w:color="auto"/>
            <w:right w:val="none" w:sz="0" w:space="0" w:color="auto"/>
          </w:divBdr>
        </w:div>
      </w:divsChild>
    </w:div>
    <w:div w:id="239563927">
      <w:bodyDiv w:val="1"/>
      <w:marLeft w:val="0"/>
      <w:marRight w:val="0"/>
      <w:marTop w:val="0"/>
      <w:marBottom w:val="0"/>
      <w:divBdr>
        <w:top w:val="none" w:sz="0" w:space="0" w:color="auto"/>
        <w:left w:val="none" w:sz="0" w:space="0" w:color="auto"/>
        <w:bottom w:val="none" w:sz="0" w:space="0" w:color="auto"/>
        <w:right w:val="none" w:sz="0" w:space="0" w:color="auto"/>
      </w:divBdr>
      <w:divsChild>
        <w:div w:id="835266022">
          <w:marLeft w:val="0"/>
          <w:marRight w:val="0"/>
          <w:marTop w:val="0"/>
          <w:marBottom w:val="0"/>
          <w:divBdr>
            <w:top w:val="none" w:sz="0" w:space="0" w:color="auto"/>
            <w:left w:val="none" w:sz="0" w:space="0" w:color="auto"/>
            <w:bottom w:val="none" w:sz="0" w:space="0" w:color="auto"/>
            <w:right w:val="none" w:sz="0" w:space="0" w:color="auto"/>
          </w:divBdr>
        </w:div>
      </w:divsChild>
    </w:div>
    <w:div w:id="327946462">
      <w:bodyDiv w:val="1"/>
      <w:marLeft w:val="0"/>
      <w:marRight w:val="0"/>
      <w:marTop w:val="0"/>
      <w:marBottom w:val="0"/>
      <w:divBdr>
        <w:top w:val="none" w:sz="0" w:space="0" w:color="auto"/>
        <w:left w:val="none" w:sz="0" w:space="0" w:color="auto"/>
        <w:bottom w:val="none" w:sz="0" w:space="0" w:color="auto"/>
        <w:right w:val="none" w:sz="0" w:space="0" w:color="auto"/>
      </w:divBdr>
      <w:divsChild>
        <w:div w:id="1929727345">
          <w:marLeft w:val="0"/>
          <w:marRight w:val="0"/>
          <w:marTop w:val="0"/>
          <w:marBottom w:val="0"/>
          <w:divBdr>
            <w:top w:val="none" w:sz="0" w:space="0" w:color="auto"/>
            <w:left w:val="none" w:sz="0" w:space="0" w:color="auto"/>
            <w:bottom w:val="none" w:sz="0" w:space="0" w:color="auto"/>
            <w:right w:val="none" w:sz="0" w:space="0" w:color="auto"/>
          </w:divBdr>
        </w:div>
      </w:divsChild>
    </w:div>
    <w:div w:id="652106795">
      <w:bodyDiv w:val="1"/>
      <w:marLeft w:val="0"/>
      <w:marRight w:val="0"/>
      <w:marTop w:val="0"/>
      <w:marBottom w:val="0"/>
      <w:divBdr>
        <w:top w:val="none" w:sz="0" w:space="0" w:color="auto"/>
        <w:left w:val="none" w:sz="0" w:space="0" w:color="auto"/>
        <w:bottom w:val="none" w:sz="0" w:space="0" w:color="auto"/>
        <w:right w:val="none" w:sz="0" w:space="0" w:color="auto"/>
      </w:divBdr>
      <w:divsChild>
        <w:div w:id="933613">
          <w:marLeft w:val="0"/>
          <w:marRight w:val="0"/>
          <w:marTop w:val="0"/>
          <w:marBottom w:val="0"/>
          <w:divBdr>
            <w:top w:val="none" w:sz="0" w:space="0" w:color="auto"/>
            <w:left w:val="none" w:sz="0" w:space="0" w:color="auto"/>
            <w:bottom w:val="none" w:sz="0" w:space="0" w:color="auto"/>
            <w:right w:val="none" w:sz="0" w:space="0" w:color="auto"/>
          </w:divBdr>
        </w:div>
      </w:divsChild>
    </w:div>
    <w:div w:id="677468514">
      <w:bodyDiv w:val="1"/>
      <w:marLeft w:val="0"/>
      <w:marRight w:val="0"/>
      <w:marTop w:val="0"/>
      <w:marBottom w:val="0"/>
      <w:divBdr>
        <w:top w:val="none" w:sz="0" w:space="0" w:color="auto"/>
        <w:left w:val="none" w:sz="0" w:space="0" w:color="auto"/>
        <w:bottom w:val="none" w:sz="0" w:space="0" w:color="auto"/>
        <w:right w:val="none" w:sz="0" w:space="0" w:color="auto"/>
      </w:divBdr>
      <w:divsChild>
        <w:div w:id="632566715">
          <w:marLeft w:val="0"/>
          <w:marRight w:val="0"/>
          <w:marTop w:val="0"/>
          <w:marBottom w:val="0"/>
          <w:divBdr>
            <w:top w:val="none" w:sz="0" w:space="0" w:color="auto"/>
            <w:left w:val="none" w:sz="0" w:space="0" w:color="auto"/>
            <w:bottom w:val="none" w:sz="0" w:space="0" w:color="auto"/>
            <w:right w:val="none" w:sz="0" w:space="0" w:color="auto"/>
          </w:divBdr>
        </w:div>
      </w:divsChild>
    </w:div>
    <w:div w:id="688338002">
      <w:bodyDiv w:val="1"/>
      <w:marLeft w:val="0"/>
      <w:marRight w:val="0"/>
      <w:marTop w:val="0"/>
      <w:marBottom w:val="0"/>
      <w:divBdr>
        <w:top w:val="none" w:sz="0" w:space="0" w:color="auto"/>
        <w:left w:val="none" w:sz="0" w:space="0" w:color="auto"/>
        <w:bottom w:val="none" w:sz="0" w:space="0" w:color="auto"/>
        <w:right w:val="none" w:sz="0" w:space="0" w:color="auto"/>
      </w:divBdr>
      <w:divsChild>
        <w:div w:id="514810494">
          <w:marLeft w:val="0"/>
          <w:marRight w:val="0"/>
          <w:marTop w:val="0"/>
          <w:marBottom w:val="0"/>
          <w:divBdr>
            <w:top w:val="none" w:sz="0" w:space="0" w:color="auto"/>
            <w:left w:val="none" w:sz="0" w:space="0" w:color="auto"/>
            <w:bottom w:val="none" w:sz="0" w:space="0" w:color="auto"/>
            <w:right w:val="none" w:sz="0" w:space="0" w:color="auto"/>
          </w:divBdr>
        </w:div>
      </w:divsChild>
    </w:div>
    <w:div w:id="741562846">
      <w:bodyDiv w:val="1"/>
      <w:marLeft w:val="0"/>
      <w:marRight w:val="0"/>
      <w:marTop w:val="0"/>
      <w:marBottom w:val="0"/>
      <w:divBdr>
        <w:top w:val="none" w:sz="0" w:space="0" w:color="auto"/>
        <w:left w:val="none" w:sz="0" w:space="0" w:color="auto"/>
        <w:bottom w:val="none" w:sz="0" w:space="0" w:color="auto"/>
        <w:right w:val="none" w:sz="0" w:space="0" w:color="auto"/>
      </w:divBdr>
      <w:divsChild>
        <w:div w:id="462622385">
          <w:marLeft w:val="0"/>
          <w:marRight w:val="0"/>
          <w:marTop w:val="0"/>
          <w:marBottom w:val="0"/>
          <w:divBdr>
            <w:top w:val="none" w:sz="0" w:space="0" w:color="auto"/>
            <w:left w:val="none" w:sz="0" w:space="0" w:color="auto"/>
            <w:bottom w:val="none" w:sz="0" w:space="0" w:color="auto"/>
            <w:right w:val="none" w:sz="0" w:space="0" w:color="auto"/>
          </w:divBdr>
        </w:div>
      </w:divsChild>
    </w:div>
    <w:div w:id="756902899">
      <w:bodyDiv w:val="1"/>
      <w:marLeft w:val="0"/>
      <w:marRight w:val="0"/>
      <w:marTop w:val="0"/>
      <w:marBottom w:val="0"/>
      <w:divBdr>
        <w:top w:val="none" w:sz="0" w:space="0" w:color="auto"/>
        <w:left w:val="none" w:sz="0" w:space="0" w:color="auto"/>
        <w:bottom w:val="none" w:sz="0" w:space="0" w:color="auto"/>
        <w:right w:val="none" w:sz="0" w:space="0" w:color="auto"/>
      </w:divBdr>
      <w:divsChild>
        <w:div w:id="712924775">
          <w:marLeft w:val="0"/>
          <w:marRight w:val="0"/>
          <w:marTop w:val="0"/>
          <w:marBottom w:val="0"/>
          <w:divBdr>
            <w:top w:val="none" w:sz="0" w:space="0" w:color="auto"/>
            <w:left w:val="none" w:sz="0" w:space="0" w:color="auto"/>
            <w:bottom w:val="none" w:sz="0" w:space="0" w:color="auto"/>
            <w:right w:val="none" w:sz="0" w:space="0" w:color="auto"/>
          </w:divBdr>
        </w:div>
      </w:divsChild>
    </w:div>
    <w:div w:id="846335037">
      <w:bodyDiv w:val="1"/>
      <w:marLeft w:val="0"/>
      <w:marRight w:val="0"/>
      <w:marTop w:val="0"/>
      <w:marBottom w:val="0"/>
      <w:divBdr>
        <w:top w:val="none" w:sz="0" w:space="0" w:color="auto"/>
        <w:left w:val="none" w:sz="0" w:space="0" w:color="auto"/>
        <w:bottom w:val="none" w:sz="0" w:space="0" w:color="auto"/>
        <w:right w:val="none" w:sz="0" w:space="0" w:color="auto"/>
      </w:divBdr>
      <w:divsChild>
        <w:div w:id="332880316">
          <w:marLeft w:val="0"/>
          <w:marRight w:val="0"/>
          <w:marTop w:val="0"/>
          <w:marBottom w:val="0"/>
          <w:divBdr>
            <w:top w:val="none" w:sz="0" w:space="0" w:color="auto"/>
            <w:left w:val="none" w:sz="0" w:space="0" w:color="auto"/>
            <w:bottom w:val="none" w:sz="0" w:space="0" w:color="auto"/>
            <w:right w:val="none" w:sz="0" w:space="0" w:color="auto"/>
          </w:divBdr>
        </w:div>
      </w:divsChild>
    </w:div>
    <w:div w:id="863132026">
      <w:bodyDiv w:val="1"/>
      <w:marLeft w:val="0"/>
      <w:marRight w:val="0"/>
      <w:marTop w:val="0"/>
      <w:marBottom w:val="0"/>
      <w:divBdr>
        <w:top w:val="none" w:sz="0" w:space="0" w:color="auto"/>
        <w:left w:val="none" w:sz="0" w:space="0" w:color="auto"/>
        <w:bottom w:val="none" w:sz="0" w:space="0" w:color="auto"/>
        <w:right w:val="none" w:sz="0" w:space="0" w:color="auto"/>
      </w:divBdr>
    </w:div>
    <w:div w:id="866135686">
      <w:bodyDiv w:val="1"/>
      <w:marLeft w:val="0"/>
      <w:marRight w:val="0"/>
      <w:marTop w:val="0"/>
      <w:marBottom w:val="0"/>
      <w:divBdr>
        <w:top w:val="none" w:sz="0" w:space="0" w:color="auto"/>
        <w:left w:val="none" w:sz="0" w:space="0" w:color="auto"/>
        <w:bottom w:val="none" w:sz="0" w:space="0" w:color="auto"/>
        <w:right w:val="none" w:sz="0" w:space="0" w:color="auto"/>
      </w:divBdr>
      <w:divsChild>
        <w:div w:id="1812403173">
          <w:marLeft w:val="0"/>
          <w:marRight w:val="0"/>
          <w:marTop w:val="0"/>
          <w:marBottom w:val="0"/>
          <w:divBdr>
            <w:top w:val="none" w:sz="0" w:space="0" w:color="auto"/>
            <w:left w:val="none" w:sz="0" w:space="0" w:color="auto"/>
            <w:bottom w:val="none" w:sz="0" w:space="0" w:color="auto"/>
            <w:right w:val="none" w:sz="0" w:space="0" w:color="auto"/>
          </w:divBdr>
        </w:div>
      </w:divsChild>
    </w:div>
    <w:div w:id="884684702">
      <w:bodyDiv w:val="1"/>
      <w:marLeft w:val="0"/>
      <w:marRight w:val="0"/>
      <w:marTop w:val="0"/>
      <w:marBottom w:val="0"/>
      <w:divBdr>
        <w:top w:val="none" w:sz="0" w:space="0" w:color="auto"/>
        <w:left w:val="none" w:sz="0" w:space="0" w:color="auto"/>
        <w:bottom w:val="none" w:sz="0" w:space="0" w:color="auto"/>
        <w:right w:val="none" w:sz="0" w:space="0" w:color="auto"/>
      </w:divBdr>
      <w:divsChild>
        <w:div w:id="205988554">
          <w:marLeft w:val="0"/>
          <w:marRight w:val="0"/>
          <w:marTop w:val="0"/>
          <w:marBottom w:val="0"/>
          <w:divBdr>
            <w:top w:val="none" w:sz="0" w:space="0" w:color="auto"/>
            <w:left w:val="none" w:sz="0" w:space="0" w:color="auto"/>
            <w:bottom w:val="none" w:sz="0" w:space="0" w:color="auto"/>
            <w:right w:val="none" w:sz="0" w:space="0" w:color="auto"/>
          </w:divBdr>
        </w:div>
      </w:divsChild>
    </w:div>
    <w:div w:id="917977156">
      <w:bodyDiv w:val="1"/>
      <w:marLeft w:val="0"/>
      <w:marRight w:val="0"/>
      <w:marTop w:val="0"/>
      <w:marBottom w:val="0"/>
      <w:divBdr>
        <w:top w:val="none" w:sz="0" w:space="0" w:color="auto"/>
        <w:left w:val="none" w:sz="0" w:space="0" w:color="auto"/>
        <w:bottom w:val="none" w:sz="0" w:space="0" w:color="auto"/>
        <w:right w:val="none" w:sz="0" w:space="0" w:color="auto"/>
      </w:divBdr>
      <w:divsChild>
        <w:div w:id="1780756405">
          <w:marLeft w:val="0"/>
          <w:marRight w:val="0"/>
          <w:marTop w:val="0"/>
          <w:marBottom w:val="0"/>
          <w:divBdr>
            <w:top w:val="none" w:sz="0" w:space="0" w:color="auto"/>
            <w:left w:val="none" w:sz="0" w:space="0" w:color="auto"/>
            <w:bottom w:val="none" w:sz="0" w:space="0" w:color="auto"/>
            <w:right w:val="none" w:sz="0" w:space="0" w:color="auto"/>
          </w:divBdr>
        </w:div>
      </w:divsChild>
    </w:div>
    <w:div w:id="995491997">
      <w:bodyDiv w:val="1"/>
      <w:marLeft w:val="0"/>
      <w:marRight w:val="0"/>
      <w:marTop w:val="0"/>
      <w:marBottom w:val="0"/>
      <w:divBdr>
        <w:top w:val="none" w:sz="0" w:space="0" w:color="auto"/>
        <w:left w:val="none" w:sz="0" w:space="0" w:color="auto"/>
        <w:bottom w:val="none" w:sz="0" w:space="0" w:color="auto"/>
        <w:right w:val="none" w:sz="0" w:space="0" w:color="auto"/>
      </w:divBdr>
      <w:divsChild>
        <w:div w:id="866986465">
          <w:marLeft w:val="0"/>
          <w:marRight w:val="0"/>
          <w:marTop w:val="0"/>
          <w:marBottom w:val="0"/>
          <w:divBdr>
            <w:top w:val="none" w:sz="0" w:space="0" w:color="auto"/>
            <w:left w:val="none" w:sz="0" w:space="0" w:color="auto"/>
            <w:bottom w:val="none" w:sz="0" w:space="0" w:color="auto"/>
            <w:right w:val="none" w:sz="0" w:space="0" w:color="auto"/>
          </w:divBdr>
        </w:div>
      </w:divsChild>
    </w:div>
    <w:div w:id="1034773122">
      <w:bodyDiv w:val="1"/>
      <w:marLeft w:val="0"/>
      <w:marRight w:val="0"/>
      <w:marTop w:val="0"/>
      <w:marBottom w:val="0"/>
      <w:divBdr>
        <w:top w:val="none" w:sz="0" w:space="0" w:color="auto"/>
        <w:left w:val="none" w:sz="0" w:space="0" w:color="auto"/>
        <w:bottom w:val="none" w:sz="0" w:space="0" w:color="auto"/>
        <w:right w:val="none" w:sz="0" w:space="0" w:color="auto"/>
      </w:divBdr>
    </w:div>
    <w:div w:id="1107043461">
      <w:bodyDiv w:val="1"/>
      <w:marLeft w:val="0"/>
      <w:marRight w:val="0"/>
      <w:marTop w:val="0"/>
      <w:marBottom w:val="0"/>
      <w:divBdr>
        <w:top w:val="none" w:sz="0" w:space="0" w:color="auto"/>
        <w:left w:val="none" w:sz="0" w:space="0" w:color="auto"/>
        <w:bottom w:val="none" w:sz="0" w:space="0" w:color="auto"/>
        <w:right w:val="none" w:sz="0" w:space="0" w:color="auto"/>
      </w:divBdr>
      <w:divsChild>
        <w:div w:id="2103185584">
          <w:marLeft w:val="0"/>
          <w:marRight w:val="0"/>
          <w:marTop w:val="0"/>
          <w:marBottom w:val="0"/>
          <w:divBdr>
            <w:top w:val="none" w:sz="0" w:space="0" w:color="auto"/>
            <w:left w:val="none" w:sz="0" w:space="0" w:color="auto"/>
            <w:bottom w:val="none" w:sz="0" w:space="0" w:color="auto"/>
            <w:right w:val="none" w:sz="0" w:space="0" w:color="auto"/>
          </w:divBdr>
        </w:div>
      </w:divsChild>
    </w:div>
    <w:div w:id="1516725213">
      <w:bodyDiv w:val="1"/>
      <w:marLeft w:val="0"/>
      <w:marRight w:val="0"/>
      <w:marTop w:val="0"/>
      <w:marBottom w:val="0"/>
      <w:divBdr>
        <w:top w:val="none" w:sz="0" w:space="0" w:color="auto"/>
        <w:left w:val="none" w:sz="0" w:space="0" w:color="auto"/>
        <w:bottom w:val="none" w:sz="0" w:space="0" w:color="auto"/>
        <w:right w:val="none" w:sz="0" w:space="0" w:color="auto"/>
      </w:divBdr>
      <w:divsChild>
        <w:div w:id="171728701">
          <w:marLeft w:val="0"/>
          <w:marRight w:val="0"/>
          <w:marTop w:val="0"/>
          <w:marBottom w:val="0"/>
          <w:divBdr>
            <w:top w:val="none" w:sz="0" w:space="0" w:color="auto"/>
            <w:left w:val="none" w:sz="0" w:space="0" w:color="auto"/>
            <w:bottom w:val="none" w:sz="0" w:space="0" w:color="auto"/>
            <w:right w:val="none" w:sz="0" w:space="0" w:color="auto"/>
          </w:divBdr>
        </w:div>
      </w:divsChild>
    </w:div>
    <w:div w:id="1722172335">
      <w:bodyDiv w:val="1"/>
      <w:marLeft w:val="0"/>
      <w:marRight w:val="0"/>
      <w:marTop w:val="0"/>
      <w:marBottom w:val="0"/>
      <w:divBdr>
        <w:top w:val="none" w:sz="0" w:space="0" w:color="auto"/>
        <w:left w:val="none" w:sz="0" w:space="0" w:color="auto"/>
        <w:bottom w:val="none" w:sz="0" w:space="0" w:color="auto"/>
        <w:right w:val="none" w:sz="0" w:space="0" w:color="auto"/>
      </w:divBdr>
      <w:divsChild>
        <w:div w:id="625084723">
          <w:marLeft w:val="0"/>
          <w:marRight w:val="0"/>
          <w:marTop w:val="0"/>
          <w:marBottom w:val="0"/>
          <w:divBdr>
            <w:top w:val="none" w:sz="0" w:space="0" w:color="auto"/>
            <w:left w:val="none" w:sz="0" w:space="0" w:color="auto"/>
            <w:bottom w:val="none" w:sz="0" w:space="0" w:color="auto"/>
            <w:right w:val="none" w:sz="0" w:space="0" w:color="auto"/>
          </w:divBdr>
        </w:div>
      </w:divsChild>
    </w:div>
    <w:div w:id="1854150900">
      <w:bodyDiv w:val="1"/>
      <w:marLeft w:val="0"/>
      <w:marRight w:val="0"/>
      <w:marTop w:val="0"/>
      <w:marBottom w:val="0"/>
      <w:divBdr>
        <w:top w:val="none" w:sz="0" w:space="0" w:color="auto"/>
        <w:left w:val="none" w:sz="0" w:space="0" w:color="auto"/>
        <w:bottom w:val="none" w:sz="0" w:space="0" w:color="auto"/>
        <w:right w:val="none" w:sz="0" w:space="0" w:color="auto"/>
      </w:divBdr>
      <w:divsChild>
        <w:div w:id="142085981">
          <w:marLeft w:val="0"/>
          <w:marRight w:val="0"/>
          <w:marTop w:val="0"/>
          <w:marBottom w:val="0"/>
          <w:divBdr>
            <w:top w:val="none" w:sz="0" w:space="0" w:color="auto"/>
            <w:left w:val="none" w:sz="0" w:space="0" w:color="auto"/>
            <w:bottom w:val="none" w:sz="0" w:space="0" w:color="auto"/>
            <w:right w:val="none" w:sz="0" w:space="0" w:color="auto"/>
          </w:divBdr>
        </w:div>
      </w:divsChild>
    </w:div>
    <w:div w:id="1876383046">
      <w:bodyDiv w:val="1"/>
      <w:marLeft w:val="0"/>
      <w:marRight w:val="0"/>
      <w:marTop w:val="0"/>
      <w:marBottom w:val="0"/>
      <w:divBdr>
        <w:top w:val="none" w:sz="0" w:space="0" w:color="auto"/>
        <w:left w:val="none" w:sz="0" w:space="0" w:color="auto"/>
        <w:bottom w:val="none" w:sz="0" w:space="0" w:color="auto"/>
        <w:right w:val="none" w:sz="0" w:space="0" w:color="auto"/>
      </w:divBdr>
      <w:divsChild>
        <w:div w:id="1456564010">
          <w:marLeft w:val="0"/>
          <w:marRight w:val="0"/>
          <w:marTop w:val="0"/>
          <w:marBottom w:val="0"/>
          <w:divBdr>
            <w:top w:val="none" w:sz="0" w:space="0" w:color="auto"/>
            <w:left w:val="none" w:sz="0" w:space="0" w:color="auto"/>
            <w:bottom w:val="none" w:sz="0" w:space="0" w:color="auto"/>
            <w:right w:val="none" w:sz="0" w:space="0" w:color="auto"/>
          </w:divBdr>
        </w:div>
      </w:divsChild>
    </w:div>
    <w:div w:id="2006929595">
      <w:bodyDiv w:val="1"/>
      <w:marLeft w:val="0"/>
      <w:marRight w:val="0"/>
      <w:marTop w:val="0"/>
      <w:marBottom w:val="0"/>
      <w:divBdr>
        <w:top w:val="none" w:sz="0" w:space="0" w:color="auto"/>
        <w:left w:val="none" w:sz="0" w:space="0" w:color="auto"/>
        <w:bottom w:val="none" w:sz="0" w:space="0" w:color="auto"/>
        <w:right w:val="none" w:sz="0" w:space="0" w:color="auto"/>
      </w:divBdr>
      <w:divsChild>
        <w:div w:id="560019156">
          <w:marLeft w:val="0"/>
          <w:marRight w:val="0"/>
          <w:marTop w:val="0"/>
          <w:marBottom w:val="0"/>
          <w:divBdr>
            <w:top w:val="none" w:sz="0" w:space="0" w:color="auto"/>
            <w:left w:val="none" w:sz="0" w:space="0" w:color="auto"/>
            <w:bottom w:val="none" w:sz="0" w:space="0" w:color="auto"/>
            <w:right w:val="none" w:sz="0" w:space="0" w:color="auto"/>
          </w:divBdr>
        </w:div>
      </w:divsChild>
    </w:div>
    <w:div w:id="2009867115">
      <w:bodyDiv w:val="1"/>
      <w:marLeft w:val="0"/>
      <w:marRight w:val="0"/>
      <w:marTop w:val="0"/>
      <w:marBottom w:val="0"/>
      <w:divBdr>
        <w:top w:val="none" w:sz="0" w:space="0" w:color="auto"/>
        <w:left w:val="none" w:sz="0" w:space="0" w:color="auto"/>
        <w:bottom w:val="none" w:sz="0" w:space="0" w:color="auto"/>
        <w:right w:val="none" w:sz="0" w:space="0" w:color="auto"/>
      </w:divBdr>
      <w:divsChild>
        <w:div w:id="405763240">
          <w:marLeft w:val="0"/>
          <w:marRight w:val="0"/>
          <w:marTop w:val="0"/>
          <w:marBottom w:val="0"/>
          <w:divBdr>
            <w:top w:val="none" w:sz="0" w:space="0" w:color="auto"/>
            <w:left w:val="none" w:sz="0" w:space="0" w:color="auto"/>
            <w:bottom w:val="none" w:sz="0" w:space="0" w:color="auto"/>
            <w:right w:val="none" w:sz="0" w:space="0" w:color="auto"/>
          </w:divBdr>
        </w:div>
      </w:divsChild>
    </w:div>
    <w:div w:id="2125925062">
      <w:bodyDiv w:val="1"/>
      <w:marLeft w:val="0"/>
      <w:marRight w:val="0"/>
      <w:marTop w:val="0"/>
      <w:marBottom w:val="0"/>
      <w:divBdr>
        <w:top w:val="none" w:sz="0" w:space="0" w:color="auto"/>
        <w:left w:val="none" w:sz="0" w:space="0" w:color="auto"/>
        <w:bottom w:val="none" w:sz="0" w:space="0" w:color="auto"/>
        <w:right w:val="none" w:sz="0" w:space="0" w:color="auto"/>
      </w:divBdr>
      <w:divsChild>
        <w:div w:id="31256163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98BBB-F729-6B49-905B-ED08FF3A3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12</Pages>
  <Words>3891</Words>
  <Characters>22182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Schammo</dc:creator>
  <cp:keywords/>
  <dc:description/>
  <cp:lastModifiedBy>TSANG, AGNES H.L. (Student)</cp:lastModifiedBy>
  <cp:revision>15</cp:revision>
  <cp:lastPrinted>2021-02-22T14:10:00Z</cp:lastPrinted>
  <dcterms:created xsi:type="dcterms:W3CDTF">2025-02-05T11:09:00Z</dcterms:created>
  <dcterms:modified xsi:type="dcterms:W3CDTF">2025-03-13T16:26:00Z</dcterms:modified>
</cp:coreProperties>
</file>