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2936A" w14:textId="77777777" w:rsidR="009A7C00" w:rsidRPr="005B17E4" w:rsidRDefault="009A7C00" w:rsidP="009A7C00">
      <w:pPr>
        <w:pStyle w:val="NormalWeb"/>
        <w:numPr>
          <w:ilvl w:val="0"/>
          <w:numId w:val="1"/>
        </w:numPr>
      </w:pPr>
      <w:r w:rsidRPr="005B17E4">
        <w:t xml:space="preserve">Discuss the strengths and drawbacks of the following concepts: </w:t>
      </w:r>
    </w:p>
    <w:p w14:paraId="5BDE333B" w14:textId="77777777" w:rsidR="009A7C00" w:rsidRPr="005B17E4" w:rsidRDefault="009A7C00" w:rsidP="009A7C00">
      <w:pPr>
        <w:pStyle w:val="NormalWeb"/>
        <w:numPr>
          <w:ilvl w:val="1"/>
          <w:numId w:val="1"/>
        </w:numPr>
      </w:pPr>
      <w:r w:rsidRPr="005B17E4">
        <w:t xml:space="preserve">Direct discrimination </w:t>
      </w:r>
    </w:p>
    <w:p w14:paraId="766043A9" w14:textId="77777777" w:rsidR="009A7C00" w:rsidRPr="005B17E4" w:rsidRDefault="009A7C00" w:rsidP="009A7C00">
      <w:pPr>
        <w:pStyle w:val="NormalWeb"/>
        <w:numPr>
          <w:ilvl w:val="1"/>
          <w:numId w:val="1"/>
        </w:numPr>
      </w:pPr>
      <w:r w:rsidRPr="005B17E4">
        <w:t xml:space="preserve">Indirect discrimination </w:t>
      </w:r>
    </w:p>
    <w:p w14:paraId="66109371" w14:textId="77777777" w:rsidR="009A7C00" w:rsidRPr="005B17E4" w:rsidRDefault="009A7C00" w:rsidP="009A7C00">
      <w:pPr>
        <w:pStyle w:val="NormalWeb"/>
        <w:numPr>
          <w:ilvl w:val="1"/>
          <w:numId w:val="1"/>
        </w:numPr>
      </w:pPr>
      <w:r w:rsidRPr="005B17E4">
        <w:t xml:space="preserve">Product requirement </w:t>
      </w:r>
    </w:p>
    <w:p w14:paraId="24F54938" w14:textId="77777777" w:rsidR="009A7C00" w:rsidRPr="005B17E4" w:rsidRDefault="009A7C00" w:rsidP="009A7C00">
      <w:pPr>
        <w:pStyle w:val="NormalWeb"/>
        <w:numPr>
          <w:ilvl w:val="1"/>
          <w:numId w:val="1"/>
        </w:numPr>
      </w:pPr>
      <w:r w:rsidRPr="005B17E4">
        <w:t xml:space="preserve">Selling arrangement </w:t>
      </w:r>
    </w:p>
    <w:p w14:paraId="7106A3C9" w14:textId="77777777" w:rsidR="009A7C00" w:rsidRPr="005B17E4" w:rsidRDefault="009A7C00" w:rsidP="009A7C00">
      <w:pPr>
        <w:pStyle w:val="NormalWeb"/>
        <w:numPr>
          <w:ilvl w:val="1"/>
          <w:numId w:val="1"/>
        </w:numPr>
      </w:pPr>
      <w:r w:rsidRPr="005B17E4">
        <w:t xml:space="preserve">Market access </w:t>
      </w:r>
    </w:p>
    <w:p w14:paraId="74D38410" w14:textId="77777777" w:rsidR="00F93645" w:rsidRPr="005B17E4" w:rsidRDefault="00F93645" w:rsidP="00F93645">
      <w:pPr>
        <w:spacing w:before="100" w:beforeAutospacing="1" w:after="100" w:afterAutospacing="1"/>
        <w:outlineLvl w:val="1"/>
        <w:rPr>
          <w:b/>
          <w:bCs/>
        </w:rPr>
      </w:pPr>
      <w:r w:rsidRPr="005B17E4">
        <w:rPr>
          <w:b/>
          <w:bCs/>
        </w:rPr>
        <w:t>1. Direct Discrimination</w:t>
      </w:r>
    </w:p>
    <w:p w14:paraId="717E5FEE" w14:textId="77777777" w:rsidR="00F93645" w:rsidRPr="005B17E4" w:rsidRDefault="00F93645" w:rsidP="00F93645">
      <w:pPr>
        <w:spacing w:before="100" w:beforeAutospacing="1" w:after="100" w:afterAutospacing="1"/>
      </w:pPr>
      <w:r w:rsidRPr="005B17E4">
        <w:rPr>
          <w:b/>
          <w:bCs/>
        </w:rPr>
        <w:t>Definition</w:t>
      </w:r>
      <w:r w:rsidRPr="005B17E4">
        <w:t>:</w:t>
      </w:r>
      <w:r w:rsidRPr="005B17E4">
        <w:br/>
        <w:t xml:space="preserve">Direct discrimination (or distinctly applicable measures) refers to national rules that expressly treat imported goods less </w:t>
      </w:r>
      <w:proofErr w:type="spellStart"/>
      <w:r w:rsidRPr="005B17E4">
        <w:t>favorably</w:t>
      </w:r>
      <w:proofErr w:type="spellEnd"/>
      <w:r w:rsidRPr="005B17E4">
        <w:t xml:space="preserve"> than domestic goods, thereby breaching Article 34 TFEU. It is readily identifiable because it overtly targets imports — for example, requiring additional inspections solely for imported products, as in </w:t>
      </w:r>
      <w:proofErr w:type="spellStart"/>
      <w:r w:rsidRPr="005B17E4">
        <w:rPr>
          <w:i/>
          <w:iCs/>
        </w:rPr>
        <w:t>Rewe-Zentralfinanz</w:t>
      </w:r>
      <w:proofErr w:type="spellEnd"/>
      <w:r w:rsidRPr="005B17E4">
        <w:rPr>
          <w:i/>
          <w:iCs/>
        </w:rPr>
        <w:t xml:space="preserve"> v </w:t>
      </w:r>
      <w:proofErr w:type="spellStart"/>
      <w:r w:rsidRPr="005B17E4">
        <w:rPr>
          <w:i/>
          <w:iCs/>
        </w:rPr>
        <w:t>Landwirtschaftskammer</w:t>
      </w:r>
      <w:proofErr w:type="spellEnd"/>
      <w:r w:rsidRPr="005B17E4">
        <w:rPr>
          <w:i/>
          <w:iCs/>
        </w:rPr>
        <w:t xml:space="preserve"> Bonn (San Jose Scale)</w:t>
      </w:r>
      <w:r w:rsidRPr="005B17E4">
        <w:t xml:space="preserve"> (Case 4/75).</w:t>
      </w:r>
    </w:p>
    <w:p w14:paraId="183332E9" w14:textId="77777777" w:rsidR="00F93645" w:rsidRPr="005B17E4" w:rsidRDefault="00F93645" w:rsidP="00F93645">
      <w:pPr>
        <w:spacing w:before="100" w:beforeAutospacing="1" w:after="100" w:afterAutospacing="1"/>
      </w:pPr>
      <w:r w:rsidRPr="005B17E4">
        <w:rPr>
          <w:b/>
          <w:bCs/>
        </w:rPr>
        <w:t>Strengths</w:t>
      </w:r>
      <w:r w:rsidRPr="005B17E4">
        <w:t>:</w:t>
      </w:r>
    </w:p>
    <w:p w14:paraId="7F34DB73" w14:textId="77777777" w:rsidR="00F93645" w:rsidRPr="005B17E4" w:rsidRDefault="00F93645" w:rsidP="00F93645">
      <w:pPr>
        <w:numPr>
          <w:ilvl w:val="0"/>
          <w:numId w:val="40"/>
        </w:numPr>
        <w:spacing w:before="100" w:beforeAutospacing="1" w:after="100" w:afterAutospacing="1"/>
      </w:pPr>
      <w:r w:rsidRPr="005B17E4">
        <w:rPr>
          <w:b/>
          <w:bCs/>
        </w:rPr>
        <w:t>Ease of Identification</w:t>
      </w:r>
      <w:r w:rsidRPr="005B17E4">
        <w:t>:</w:t>
      </w:r>
      <w:r w:rsidRPr="005B17E4">
        <w:br/>
        <w:t xml:space="preserve">Direct discrimination is immediately apparent because it expressly differentiates based on origin. In </w:t>
      </w:r>
      <w:r w:rsidRPr="005B17E4">
        <w:rPr>
          <w:i/>
          <w:iCs/>
        </w:rPr>
        <w:t>San Jose Scale</w:t>
      </w:r>
      <w:r w:rsidRPr="005B17E4">
        <w:t>, German rules imposed additional inspections only on imported apples, clearly contravening Article 34 TFEU. The explicit distinction ensures that such breaches are quickly detected and challenged.</w:t>
      </w:r>
    </w:p>
    <w:p w14:paraId="29D3BD92" w14:textId="77777777" w:rsidR="00F93645" w:rsidRPr="005B17E4" w:rsidRDefault="00F93645" w:rsidP="00F93645">
      <w:pPr>
        <w:numPr>
          <w:ilvl w:val="0"/>
          <w:numId w:val="40"/>
        </w:numPr>
        <w:spacing w:before="100" w:beforeAutospacing="1" w:after="100" w:afterAutospacing="1"/>
      </w:pPr>
      <w:r w:rsidRPr="005B17E4">
        <w:rPr>
          <w:b/>
          <w:bCs/>
        </w:rPr>
        <w:t>Strict Prohibition Enhancing Internal Market Integrity</w:t>
      </w:r>
      <w:r w:rsidRPr="005B17E4">
        <w:t>:</w:t>
      </w:r>
      <w:r w:rsidRPr="005B17E4">
        <w:br/>
        <w:t>The CJEU adopts a zero-tolerance approach towards direct discrimination, strictly prohibiting it unless justified under the exhaustive grounds in Article 36 TFEU (</w:t>
      </w:r>
      <w:r w:rsidRPr="005B17E4">
        <w:rPr>
          <w:i/>
          <w:iCs/>
        </w:rPr>
        <w:t>Commission v Ireland (Irish Souvenirs)</w:t>
      </w:r>
      <w:r w:rsidRPr="005B17E4">
        <w:t>, Case 113/80). This strengthens the protection of the internal market by preventing obvious protectionism.</w:t>
      </w:r>
    </w:p>
    <w:p w14:paraId="3B1C4801" w14:textId="77777777" w:rsidR="00F93645" w:rsidRPr="005B17E4" w:rsidRDefault="00F93645" w:rsidP="00F93645">
      <w:pPr>
        <w:numPr>
          <w:ilvl w:val="0"/>
          <w:numId w:val="40"/>
        </w:numPr>
        <w:spacing w:before="100" w:beforeAutospacing="1" w:after="100" w:afterAutospacing="1"/>
      </w:pPr>
      <w:r w:rsidRPr="005B17E4">
        <w:rPr>
          <w:b/>
          <w:bCs/>
        </w:rPr>
        <w:t>Deterrence Against Protectionism</w:t>
      </w:r>
      <w:r w:rsidRPr="005B17E4">
        <w:t>:</w:t>
      </w:r>
      <w:r w:rsidRPr="005B17E4">
        <w:br/>
        <w:t xml:space="preserve">By categorically banning direct discrimination, the legal framework deters Member States from introducing blatantly protectionist measures, as emphasized in </w:t>
      </w:r>
      <w:proofErr w:type="spellStart"/>
      <w:r w:rsidRPr="005B17E4">
        <w:rPr>
          <w:i/>
          <w:iCs/>
        </w:rPr>
        <w:t>Lütticke</w:t>
      </w:r>
      <w:proofErr w:type="spellEnd"/>
      <w:r w:rsidRPr="005B17E4">
        <w:rPr>
          <w:i/>
          <w:iCs/>
        </w:rPr>
        <w:t xml:space="preserve"> v </w:t>
      </w:r>
      <w:proofErr w:type="spellStart"/>
      <w:r w:rsidRPr="005B17E4">
        <w:rPr>
          <w:i/>
          <w:iCs/>
        </w:rPr>
        <w:t>Hauptzollamt</w:t>
      </w:r>
      <w:proofErr w:type="spellEnd"/>
      <w:r w:rsidRPr="005B17E4">
        <w:rPr>
          <w:i/>
          <w:iCs/>
        </w:rPr>
        <w:t xml:space="preserve"> </w:t>
      </w:r>
      <w:proofErr w:type="spellStart"/>
      <w:r w:rsidRPr="005B17E4">
        <w:rPr>
          <w:i/>
          <w:iCs/>
        </w:rPr>
        <w:t>Saarlouis</w:t>
      </w:r>
      <w:proofErr w:type="spellEnd"/>
      <w:r w:rsidRPr="005B17E4">
        <w:t xml:space="preserve"> (Case 57/65).</w:t>
      </w:r>
    </w:p>
    <w:p w14:paraId="47033085" w14:textId="77777777" w:rsidR="00F93645" w:rsidRPr="005B17E4" w:rsidRDefault="00F93645" w:rsidP="00F93645">
      <w:pPr>
        <w:spacing w:before="100" w:beforeAutospacing="1" w:after="100" w:afterAutospacing="1"/>
      </w:pPr>
      <w:r w:rsidRPr="005B17E4">
        <w:rPr>
          <w:b/>
          <w:bCs/>
        </w:rPr>
        <w:t>Drawbacks</w:t>
      </w:r>
      <w:r w:rsidRPr="005B17E4">
        <w:t>:</w:t>
      </w:r>
    </w:p>
    <w:p w14:paraId="60693635" w14:textId="77777777" w:rsidR="00F93645" w:rsidRPr="005B17E4" w:rsidRDefault="00F93645" w:rsidP="00F93645">
      <w:pPr>
        <w:numPr>
          <w:ilvl w:val="0"/>
          <w:numId w:val="41"/>
        </w:numPr>
        <w:spacing w:before="100" w:beforeAutospacing="1" w:after="100" w:afterAutospacing="1"/>
      </w:pPr>
      <w:r w:rsidRPr="005B17E4">
        <w:rPr>
          <w:b/>
          <w:bCs/>
        </w:rPr>
        <w:t>Rarity in Modern Practice</w:t>
      </w:r>
      <w:r w:rsidRPr="005B17E4">
        <w:t>:</w:t>
      </w:r>
      <w:r w:rsidRPr="005B17E4">
        <w:br/>
        <w:t>Due to its clarity and illegality, direct discrimination is rare today; Member States typically structure regulations to appear neutral, reducing the relevance of this concept in practice.</w:t>
      </w:r>
    </w:p>
    <w:p w14:paraId="3F516B91" w14:textId="77777777" w:rsidR="00F93645" w:rsidRPr="005B17E4" w:rsidRDefault="00F93645" w:rsidP="00F93645">
      <w:pPr>
        <w:numPr>
          <w:ilvl w:val="0"/>
          <w:numId w:val="41"/>
        </w:numPr>
        <w:spacing w:before="100" w:beforeAutospacing="1" w:after="100" w:afterAutospacing="1"/>
      </w:pPr>
      <w:r w:rsidRPr="005B17E4">
        <w:rPr>
          <w:b/>
          <w:bCs/>
        </w:rPr>
        <w:t>Inflexibility in Exceptional Circumstances</w:t>
      </w:r>
      <w:r w:rsidRPr="005B17E4">
        <w:t>:</w:t>
      </w:r>
      <w:r w:rsidRPr="005B17E4">
        <w:br/>
        <w:t xml:space="preserve">The narrow grounds for justification under Article 36 TFEU — interpreted strictly in cases such as </w:t>
      </w:r>
      <w:r w:rsidRPr="005B17E4">
        <w:rPr>
          <w:i/>
          <w:iCs/>
        </w:rPr>
        <w:t>Commission v Ireland (Irish Souvenirs)</w:t>
      </w:r>
      <w:r w:rsidRPr="005B17E4">
        <w:t xml:space="preserve"> — limit Member States' ability to pursue legitimate aims like consumer protection through directly discriminatory means.</w:t>
      </w:r>
    </w:p>
    <w:p w14:paraId="31986B20" w14:textId="77777777" w:rsidR="00F93645" w:rsidRPr="005B17E4" w:rsidRDefault="00F93645" w:rsidP="00F93645">
      <w:pPr>
        <w:numPr>
          <w:ilvl w:val="0"/>
          <w:numId w:val="41"/>
        </w:numPr>
        <w:spacing w:before="100" w:beforeAutospacing="1" w:after="100" w:afterAutospacing="1"/>
      </w:pPr>
      <w:r w:rsidRPr="005B17E4">
        <w:rPr>
          <w:b/>
          <w:bCs/>
        </w:rPr>
        <w:t>Chilling Effect on Legitimate Regulation</w:t>
      </w:r>
      <w:r w:rsidRPr="005B17E4">
        <w:t>:</w:t>
      </w:r>
      <w:r w:rsidRPr="005B17E4">
        <w:br/>
        <w:t>The absolute prohibition may inhibit Member States from adopting well-intentioned public policy measures for fear of falling foul of strict scrutiny, even if these measures address important non-economic objectives.</w:t>
      </w:r>
    </w:p>
    <w:p w14:paraId="3F526F1C" w14:textId="77777777" w:rsidR="00F93645" w:rsidRPr="005B17E4" w:rsidRDefault="00462D4E" w:rsidP="00F93645">
      <w:r>
        <w:rPr>
          <w:rFonts w:ascii="Arial" w:hAnsi="Arial"/>
          <w:lang w:val="en-GB"/>
        </w:rPr>
      </w:r>
      <w:r>
        <w:rPr>
          <w:rFonts w:ascii="Arial" w:hAnsi="Arial"/>
          <w:lang w:val="en-GB"/>
        </w:rPr>
        <w:pict w14:anchorId="318A776A">
          <v:rect id="Horizontal Line 3"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7D5FC2" w14:textId="77777777" w:rsidR="00F93645" w:rsidRPr="005B17E4" w:rsidRDefault="00F93645" w:rsidP="00F93645">
      <w:pPr>
        <w:spacing w:before="100" w:beforeAutospacing="1" w:after="100" w:afterAutospacing="1"/>
        <w:outlineLvl w:val="1"/>
        <w:rPr>
          <w:b/>
          <w:bCs/>
        </w:rPr>
      </w:pPr>
      <w:r w:rsidRPr="005B17E4">
        <w:rPr>
          <w:b/>
          <w:bCs/>
        </w:rPr>
        <w:lastRenderedPageBreak/>
        <w:t>2. Indirect Discrimination</w:t>
      </w:r>
    </w:p>
    <w:p w14:paraId="5CCF8678" w14:textId="77777777" w:rsidR="00F93645" w:rsidRPr="005B17E4" w:rsidRDefault="00F93645" w:rsidP="00F93645">
      <w:pPr>
        <w:spacing w:before="100" w:beforeAutospacing="1" w:after="100" w:afterAutospacing="1"/>
      </w:pPr>
      <w:r w:rsidRPr="005B17E4">
        <w:rPr>
          <w:b/>
          <w:bCs/>
        </w:rPr>
        <w:t>Definition</w:t>
      </w:r>
      <w:r w:rsidRPr="005B17E4">
        <w:t>:</w:t>
      </w:r>
      <w:r w:rsidRPr="005B17E4">
        <w:br/>
        <w:t xml:space="preserve">Indirect discrimination (or indistinctly applicable measures) arises when national rules apply equally to domestic and imported goods in form but, in practice, disproportionately burden imported goods. For instance, in </w:t>
      </w:r>
      <w:proofErr w:type="spellStart"/>
      <w:r w:rsidRPr="005B17E4">
        <w:rPr>
          <w:i/>
          <w:iCs/>
        </w:rPr>
        <w:t>Humblot</w:t>
      </w:r>
      <w:proofErr w:type="spellEnd"/>
      <w:r w:rsidRPr="005B17E4">
        <w:rPr>
          <w:i/>
          <w:iCs/>
        </w:rPr>
        <w:t xml:space="preserve"> v Directeur des Services </w:t>
      </w:r>
      <w:proofErr w:type="spellStart"/>
      <w:r w:rsidRPr="005B17E4">
        <w:rPr>
          <w:i/>
          <w:iCs/>
        </w:rPr>
        <w:t>Fiscaux</w:t>
      </w:r>
      <w:proofErr w:type="spellEnd"/>
      <w:r w:rsidRPr="005B17E4">
        <w:t xml:space="preserve"> (Case 112/84), the French vehicle tax system, while facially neutral, disproportionately affected imported, high-powered vehicles.</w:t>
      </w:r>
    </w:p>
    <w:p w14:paraId="20668023" w14:textId="77777777" w:rsidR="00F93645" w:rsidRPr="005B17E4" w:rsidRDefault="00F93645" w:rsidP="00F93645">
      <w:pPr>
        <w:spacing w:before="100" w:beforeAutospacing="1" w:after="100" w:afterAutospacing="1"/>
      </w:pPr>
      <w:r w:rsidRPr="005B17E4">
        <w:rPr>
          <w:b/>
          <w:bCs/>
        </w:rPr>
        <w:t>Strengths</w:t>
      </w:r>
      <w:r w:rsidRPr="005B17E4">
        <w:t>:</w:t>
      </w:r>
    </w:p>
    <w:p w14:paraId="174E90B0" w14:textId="77777777" w:rsidR="00F93645" w:rsidRPr="005B17E4" w:rsidRDefault="00F93645" w:rsidP="00F93645">
      <w:pPr>
        <w:numPr>
          <w:ilvl w:val="0"/>
          <w:numId w:val="42"/>
        </w:numPr>
        <w:spacing w:before="100" w:beforeAutospacing="1" w:after="100" w:afterAutospacing="1"/>
      </w:pPr>
      <w:r w:rsidRPr="005B17E4">
        <w:rPr>
          <w:b/>
          <w:bCs/>
        </w:rPr>
        <w:t>Broad Protective Scope</w:t>
      </w:r>
      <w:r w:rsidRPr="005B17E4">
        <w:t>:</w:t>
      </w:r>
      <w:r w:rsidRPr="005B17E4">
        <w:br/>
        <w:t xml:space="preserve">Indirect discrimination captures subtle, disguised barriers that could otherwise evade prohibition. In </w:t>
      </w:r>
      <w:r w:rsidRPr="005B17E4">
        <w:rPr>
          <w:i/>
          <w:iCs/>
        </w:rPr>
        <w:t xml:space="preserve">Walter Rau </w:t>
      </w:r>
      <w:proofErr w:type="spellStart"/>
      <w:r w:rsidRPr="005B17E4">
        <w:rPr>
          <w:i/>
          <w:iCs/>
        </w:rPr>
        <w:t>Lebensmittelwerke</w:t>
      </w:r>
      <w:proofErr w:type="spellEnd"/>
      <w:r w:rsidRPr="005B17E4">
        <w:rPr>
          <w:i/>
          <w:iCs/>
        </w:rPr>
        <w:t xml:space="preserve"> v de </w:t>
      </w:r>
      <w:proofErr w:type="spellStart"/>
      <w:r w:rsidRPr="005B17E4">
        <w:rPr>
          <w:i/>
          <w:iCs/>
        </w:rPr>
        <w:t>Smedt</w:t>
      </w:r>
      <w:proofErr w:type="spellEnd"/>
      <w:r w:rsidRPr="005B17E4">
        <w:t xml:space="preserve"> (Case 261/81), Belgium’s packaging rule mandating cube-shaped margarine, although facially neutral, disadvantaged foreign producers, illustrating how this doctrine addresses less overt but harmful barriers.</w:t>
      </w:r>
    </w:p>
    <w:p w14:paraId="3C117ED6" w14:textId="77777777" w:rsidR="00F93645" w:rsidRPr="005B17E4" w:rsidRDefault="00F93645" w:rsidP="00F93645">
      <w:pPr>
        <w:numPr>
          <w:ilvl w:val="0"/>
          <w:numId w:val="42"/>
        </w:numPr>
        <w:spacing w:before="100" w:beforeAutospacing="1" w:after="100" w:afterAutospacing="1"/>
      </w:pPr>
      <w:r w:rsidRPr="005B17E4">
        <w:rPr>
          <w:b/>
          <w:bCs/>
        </w:rPr>
        <w:t>Flexible Justification Possibility</w:t>
      </w:r>
      <w:r w:rsidRPr="005B17E4">
        <w:t>:</w:t>
      </w:r>
      <w:r w:rsidRPr="005B17E4">
        <w:br/>
        <w:t xml:space="preserve">Unlike direct discrimination, indirect discrimination can be justified under both Article 36 TFEU and mandatory requirements developed in </w:t>
      </w:r>
      <w:r w:rsidRPr="005B17E4">
        <w:rPr>
          <w:i/>
          <w:iCs/>
        </w:rPr>
        <w:t>Cassis de Dijon</w:t>
      </w:r>
      <w:r w:rsidRPr="005B17E4">
        <w:t xml:space="preserve"> (Case 120/78), such as consumer protection, environmental protection, or fair trading, offering Member States a legitimate regulatory avenue provided measures are proportionate.</w:t>
      </w:r>
    </w:p>
    <w:p w14:paraId="063BBBDA" w14:textId="77777777" w:rsidR="00F93645" w:rsidRPr="005B17E4" w:rsidRDefault="00F93645" w:rsidP="00F93645">
      <w:pPr>
        <w:numPr>
          <w:ilvl w:val="0"/>
          <w:numId w:val="42"/>
        </w:numPr>
        <w:spacing w:before="100" w:beforeAutospacing="1" w:after="100" w:afterAutospacing="1"/>
      </w:pPr>
      <w:r w:rsidRPr="005B17E4">
        <w:rPr>
          <w:b/>
          <w:bCs/>
        </w:rPr>
        <w:t>Promotion of Market Integration</w:t>
      </w:r>
      <w:r w:rsidRPr="005B17E4">
        <w:t>:</w:t>
      </w:r>
      <w:r w:rsidRPr="005B17E4">
        <w:br/>
        <w:t>By scrutinizing indirectly discriminatory measures, the CJEU fosters positive harmonization and integration across Member States' legal systems.</w:t>
      </w:r>
    </w:p>
    <w:p w14:paraId="3CA24115" w14:textId="77777777" w:rsidR="00F93645" w:rsidRPr="005B17E4" w:rsidRDefault="00F93645" w:rsidP="00F93645">
      <w:pPr>
        <w:spacing w:before="100" w:beforeAutospacing="1" w:after="100" w:afterAutospacing="1"/>
      </w:pPr>
      <w:r w:rsidRPr="005B17E4">
        <w:rPr>
          <w:b/>
          <w:bCs/>
        </w:rPr>
        <w:t>Drawbacks</w:t>
      </w:r>
      <w:r w:rsidRPr="005B17E4">
        <w:t>:</w:t>
      </w:r>
    </w:p>
    <w:p w14:paraId="37A7A6E2" w14:textId="77777777" w:rsidR="00F93645" w:rsidRPr="005B17E4" w:rsidRDefault="00F93645" w:rsidP="00F93645">
      <w:pPr>
        <w:numPr>
          <w:ilvl w:val="0"/>
          <w:numId w:val="43"/>
        </w:numPr>
        <w:spacing w:before="100" w:beforeAutospacing="1" w:after="100" w:afterAutospacing="1"/>
      </w:pPr>
      <w:r w:rsidRPr="005B17E4">
        <w:rPr>
          <w:b/>
          <w:bCs/>
        </w:rPr>
        <w:t>Difficulty in Detection and Proof</w:t>
      </w:r>
      <w:r w:rsidRPr="005B17E4">
        <w:t>:</w:t>
      </w:r>
      <w:r w:rsidRPr="005B17E4">
        <w:br/>
        <w:t xml:space="preserve">Establishing disproportionate impact requires intricate economic analysis, as seen in </w:t>
      </w:r>
      <w:proofErr w:type="spellStart"/>
      <w:r w:rsidRPr="005B17E4">
        <w:rPr>
          <w:i/>
          <w:iCs/>
        </w:rPr>
        <w:t>Humblot</w:t>
      </w:r>
      <w:proofErr w:type="spellEnd"/>
      <w:r w:rsidRPr="005B17E4">
        <w:t>, making enforcement more challenging.</w:t>
      </w:r>
    </w:p>
    <w:p w14:paraId="35BA074A" w14:textId="77777777" w:rsidR="00F93645" w:rsidRPr="005B17E4" w:rsidRDefault="00F93645" w:rsidP="00F93645">
      <w:pPr>
        <w:numPr>
          <w:ilvl w:val="0"/>
          <w:numId w:val="43"/>
        </w:numPr>
        <w:spacing w:before="100" w:beforeAutospacing="1" w:after="100" w:afterAutospacing="1"/>
      </w:pPr>
      <w:r w:rsidRPr="005B17E4">
        <w:rPr>
          <w:b/>
          <w:bCs/>
        </w:rPr>
        <w:t>Overextension of Scrutiny</w:t>
      </w:r>
      <w:r w:rsidRPr="005B17E4">
        <w:t>:</w:t>
      </w:r>
      <w:r w:rsidRPr="005B17E4">
        <w:br/>
        <w:t xml:space="preserve">The broad scope following </w:t>
      </w:r>
      <w:proofErr w:type="spellStart"/>
      <w:r w:rsidRPr="005B17E4">
        <w:rPr>
          <w:i/>
          <w:iCs/>
        </w:rPr>
        <w:t>Dassonville</w:t>
      </w:r>
      <w:proofErr w:type="spellEnd"/>
      <w:r w:rsidRPr="005B17E4">
        <w:t xml:space="preserve"> (Case 8/74) obliges Member States to justify many national rules, potentially undermining legitimate regulatory autonomy.</w:t>
      </w:r>
    </w:p>
    <w:p w14:paraId="3CB67DE5" w14:textId="77777777" w:rsidR="00F93645" w:rsidRPr="005B17E4" w:rsidRDefault="00F93645" w:rsidP="00F93645">
      <w:pPr>
        <w:numPr>
          <w:ilvl w:val="0"/>
          <w:numId w:val="43"/>
        </w:numPr>
        <w:spacing w:before="100" w:beforeAutospacing="1" w:after="100" w:afterAutospacing="1"/>
      </w:pPr>
      <w:r w:rsidRPr="005B17E4">
        <w:rPr>
          <w:b/>
          <w:bCs/>
        </w:rPr>
        <w:t>Demanding Proportionality Assessment</w:t>
      </w:r>
      <w:r w:rsidRPr="005B17E4">
        <w:t>:</w:t>
      </w:r>
      <w:r w:rsidRPr="005B17E4">
        <w:br/>
        <w:t xml:space="preserve">Even where legitimate aims are pursued, the necessity and proportionality tests imposed, notably in </w:t>
      </w:r>
      <w:r w:rsidRPr="005B17E4">
        <w:rPr>
          <w:i/>
          <w:iCs/>
        </w:rPr>
        <w:t>Cassis de Dijon</w:t>
      </w:r>
      <w:r w:rsidRPr="005B17E4">
        <w:t>, can be stringent, leading to invalidation even of bona fide regulatory standards.</w:t>
      </w:r>
    </w:p>
    <w:p w14:paraId="71712782" w14:textId="77777777" w:rsidR="00BD7300" w:rsidRDefault="00462D4E" w:rsidP="00BD7300">
      <w:pPr>
        <w:rPr>
          <w:b/>
          <w:bCs/>
        </w:rPr>
      </w:pPr>
      <w:r>
        <w:rPr>
          <w:rFonts w:ascii="Arial" w:hAnsi="Arial"/>
          <w:lang w:val="en-GB"/>
        </w:rPr>
      </w:r>
      <w:r>
        <w:rPr>
          <w:rFonts w:ascii="Arial" w:hAnsi="Arial"/>
          <w:lang w:val="en-GB"/>
        </w:rPr>
        <w:pict w14:anchorId="10597AF8">
          <v:rect id="Horizontal Line 4"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A0FCBB" w14:textId="77777777" w:rsidR="00BD7300" w:rsidRDefault="00BD7300" w:rsidP="00BD7300">
      <w:pPr>
        <w:rPr>
          <w:b/>
          <w:bCs/>
        </w:rPr>
      </w:pPr>
    </w:p>
    <w:p w14:paraId="247444F5" w14:textId="76F78472" w:rsidR="00F93645" w:rsidRPr="00BD7300" w:rsidRDefault="00F93645" w:rsidP="00BD7300">
      <w:pPr>
        <w:rPr>
          <w:b/>
          <w:bCs/>
        </w:rPr>
      </w:pPr>
      <w:r w:rsidRPr="005B17E4">
        <w:rPr>
          <w:b/>
          <w:bCs/>
        </w:rPr>
        <w:t>3. Product Requirements</w:t>
      </w:r>
    </w:p>
    <w:p w14:paraId="1B864419" w14:textId="77777777" w:rsidR="00F93645" w:rsidRPr="005B17E4" w:rsidRDefault="00F93645" w:rsidP="00F93645">
      <w:pPr>
        <w:spacing w:before="100" w:beforeAutospacing="1" w:after="100" w:afterAutospacing="1"/>
      </w:pPr>
      <w:r w:rsidRPr="005B17E4">
        <w:rPr>
          <w:b/>
          <w:bCs/>
        </w:rPr>
        <w:t>Definition</w:t>
      </w:r>
      <w:r w:rsidRPr="005B17E4">
        <w:t>:</w:t>
      </w:r>
      <w:r w:rsidRPr="005B17E4">
        <w:br/>
        <w:t xml:space="preserve">Product requirements regulate the intrinsic characteristics of goods — their composition, form, packaging, or labelling — and are automatically considered measures having equivalent effect (MEQRs) under Article 34 TFEU, as exemplified in </w:t>
      </w:r>
      <w:r w:rsidRPr="005B17E4">
        <w:rPr>
          <w:i/>
          <w:iCs/>
        </w:rPr>
        <w:t>Walter Rau</w:t>
      </w:r>
      <w:r w:rsidRPr="005B17E4">
        <w:t xml:space="preserve"> and </w:t>
      </w:r>
      <w:r w:rsidRPr="005B17E4">
        <w:rPr>
          <w:i/>
          <w:iCs/>
        </w:rPr>
        <w:t>Mars GmbH v Land Nordrhein-Westfalen</w:t>
      </w:r>
      <w:r w:rsidRPr="005B17E4">
        <w:t xml:space="preserve"> (Case C-470/93).</w:t>
      </w:r>
    </w:p>
    <w:p w14:paraId="08EF2570" w14:textId="77777777" w:rsidR="00F93645" w:rsidRPr="005B17E4" w:rsidRDefault="00F93645" w:rsidP="00F93645">
      <w:pPr>
        <w:spacing w:before="100" w:beforeAutospacing="1" w:after="100" w:afterAutospacing="1"/>
      </w:pPr>
      <w:r w:rsidRPr="005B17E4">
        <w:rPr>
          <w:b/>
          <w:bCs/>
        </w:rPr>
        <w:t>Strengths</w:t>
      </w:r>
      <w:r w:rsidRPr="005B17E4">
        <w:t>:</w:t>
      </w:r>
    </w:p>
    <w:p w14:paraId="597BEF8F" w14:textId="77777777" w:rsidR="00F93645" w:rsidRPr="005B17E4" w:rsidRDefault="00F93645" w:rsidP="00F93645">
      <w:pPr>
        <w:numPr>
          <w:ilvl w:val="0"/>
          <w:numId w:val="44"/>
        </w:numPr>
        <w:spacing w:before="100" w:beforeAutospacing="1" w:after="100" w:afterAutospacing="1"/>
      </w:pPr>
      <w:r w:rsidRPr="005B17E4">
        <w:rPr>
          <w:b/>
          <w:bCs/>
        </w:rPr>
        <w:lastRenderedPageBreak/>
        <w:t>Clear Legal Standard</w:t>
      </w:r>
      <w:r w:rsidRPr="005B17E4">
        <w:t>:</w:t>
      </w:r>
      <w:r w:rsidRPr="005B17E4">
        <w:br/>
        <w:t xml:space="preserve">Product requirements are inherently MEQRs, ensuring clarity and predictability. In </w:t>
      </w:r>
      <w:r w:rsidRPr="005B17E4">
        <w:rPr>
          <w:i/>
          <w:iCs/>
        </w:rPr>
        <w:t>Walter Rau</w:t>
      </w:r>
      <w:r w:rsidRPr="005B17E4">
        <w:t>, Belgium's packaging requirement was immediately recognised as a barrier because it necessitated re-packaging for imports, thus hindering market access.</w:t>
      </w:r>
    </w:p>
    <w:p w14:paraId="02A231CC" w14:textId="77777777" w:rsidR="00F93645" w:rsidRPr="005B17E4" w:rsidRDefault="00F93645" w:rsidP="00F93645">
      <w:pPr>
        <w:numPr>
          <w:ilvl w:val="0"/>
          <w:numId w:val="44"/>
        </w:numPr>
        <w:spacing w:before="100" w:beforeAutospacing="1" w:after="100" w:afterAutospacing="1"/>
      </w:pPr>
      <w:r w:rsidRPr="005B17E4">
        <w:rPr>
          <w:b/>
          <w:bCs/>
        </w:rPr>
        <w:t>Encouragement of Mutual Recognition</w:t>
      </w:r>
      <w:r w:rsidRPr="005B17E4">
        <w:t>:</w:t>
      </w:r>
      <w:r w:rsidRPr="005B17E4">
        <w:br/>
        <w:t xml:space="preserve">Following </w:t>
      </w:r>
      <w:r w:rsidRPr="005B17E4">
        <w:rPr>
          <w:i/>
          <w:iCs/>
        </w:rPr>
        <w:t>Cassis de Dijon</w:t>
      </w:r>
      <w:r w:rsidRPr="005B17E4">
        <w:t>, goods lawfully marketed in one Member State should generally circulate freely, reducing the prevalence of technical barriers.</w:t>
      </w:r>
    </w:p>
    <w:p w14:paraId="235D015B" w14:textId="77777777" w:rsidR="00F93645" w:rsidRPr="005B17E4" w:rsidRDefault="00F93645" w:rsidP="00F93645">
      <w:pPr>
        <w:numPr>
          <w:ilvl w:val="0"/>
          <w:numId w:val="44"/>
        </w:numPr>
        <w:spacing w:before="100" w:beforeAutospacing="1" w:after="100" w:afterAutospacing="1"/>
      </w:pPr>
      <w:r w:rsidRPr="005B17E4">
        <w:rPr>
          <w:b/>
          <w:bCs/>
        </w:rPr>
        <w:t>Catalyst for Harmonization</w:t>
      </w:r>
      <w:r w:rsidRPr="005B17E4">
        <w:t>:</w:t>
      </w:r>
      <w:r w:rsidRPr="005B17E4">
        <w:br/>
        <w:t>CJEU intervention against diverse product requirements pressures Member States toward EU-wide standard-setting, enhancing consistency across the internal market.</w:t>
      </w:r>
    </w:p>
    <w:p w14:paraId="4209B3E9" w14:textId="77777777" w:rsidR="00F93645" w:rsidRPr="005B17E4" w:rsidRDefault="00F93645" w:rsidP="00F93645">
      <w:pPr>
        <w:spacing w:before="100" w:beforeAutospacing="1" w:after="100" w:afterAutospacing="1"/>
      </w:pPr>
      <w:r w:rsidRPr="005B17E4">
        <w:rPr>
          <w:b/>
          <w:bCs/>
        </w:rPr>
        <w:t>Drawbacks</w:t>
      </w:r>
      <w:r w:rsidRPr="005B17E4">
        <w:t>:</w:t>
      </w:r>
    </w:p>
    <w:p w14:paraId="0947D6CD" w14:textId="77777777" w:rsidR="00F93645" w:rsidRPr="005B17E4" w:rsidRDefault="00F93645" w:rsidP="00F93645">
      <w:pPr>
        <w:numPr>
          <w:ilvl w:val="0"/>
          <w:numId w:val="45"/>
        </w:numPr>
        <w:spacing w:before="100" w:beforeAutospacing="1" w:after="100" w:afterAutospacing="1"/>
      </w:pPr>
      <w:r w:rsidRPr="005B17E4">
        <w:rPr>
          <w:b/>
          <w:bCs/>
        </w:rPr>
        <w:t>Constraints on Legitimate Regulation</w:t>
      </w:r>
      <w:r w:rsidRPr="005B17E4">
        <w:t>:</w:t>
      </w:r>
      <w:r w:rsidRPr="005B17E4">
        <w:br/>
        <w:t xml:space="preserve">Product requirements often pursue important objectives like consumer protection or environmental goals; however, their classification as MEQRs automatically triggers rigorous proportionality analysis, as seen in </w:t>
      </w:r>
      <w:r w:rsidRPr="005B17E4">
        <w:rPr>
          <w:i/>
          <w:iCs/>
        </w:rPr>
        <w:t>Commission v Germany (Beer Purity Laws)</w:t>
      </w:r>
      <w:r w:rsidRPr="005B17E4">
        <w:t xml:space="preserve"> (Case 178/84).</w:t>
      </w:r>
    </w:p>
    <w:p w14:paraId="24083231" w14:textId="77777777" w:rsidR="00F93645" w:rsidRPr="005B17E4" w:rsidRDefault="00F93645" w:rsidP="00F93645">
      <w:pPr>
        <w:numPr>
          <w:ilvl w:val="0"/>
          <w:numId w:val="45"/>
        </w:numPr>
        <w:spacing w:before="100" w:beforeAutospacing="1" w:after="100" w:afterAutospacing="1"/>
      </w:pPr>
      <w:r w:rsidRPr="005B17E4">
        <w:rPr>
          <w:b/>
          <w:bCs/>
        </w:rPr>
        <w:t>Compliance Costs for Traders</w:t>
      </w:r>
      <w:r w:rsidRPr="005B17E4">
        <w:t>:</w:t>
      </w:r>
      <w:r w:rsidRPr="005B17E4">
        <w:br/>
        <w:t>Producers must adapt products to comply with multiple national standards where mutual recognition is not fully effective, increasing operational costs and discouraging market entry.</w:t>
      </w:r>
    </w:p>
    <w:p w14:paraId="697A52B9" w14:textId="77777777" w:rsidR="00F93645" w:rsidRPr="005B17E4" w:rsidRDefault="00F93645" w:rsidP="00F93645">
      <w:pPr>
        <w:numPr>
          <w:ilvl w:val="0"/>
          <w:numId w:val="45"/>
        </w:numPr>
        <w:spacing w:before="100" w:beforeAutospacing="1" w:after="100" w:afterAutospacing="1"/>
      </w:pPr>
      <w:r w:rsidRPr="005B17E4">
        <w:rPr>
          <w:b/>
          <w:bCs/>
        </w:rPr>
        <w:t>Strict Proportionality Scrutiny</w:t>
      </w:r>
      <w:r w:rsidRPr="005B17E4">
        <w:t>:</w:t>
      </w:r>
      <w:r w:rsidRPr="005B17E4">
        <w:br/>
        <w:t xml:space="preserve">Even well-meaning product regulations are invalidated if deemed disproportionate, as illustrated in </w:t>
      </w:r>
      <w:r w:rsidRPr="005B17E4">
        <w:rPr>
          <w:i/>
          <w:iCs/>
        </w:rPr>
        <w:t>Mars</w:t>
      </w:r>
      <w:r w:rsidRPr="005B17E4">
        <w:t>, where German rules on product labelling were struck down despite consumer protection justifications.</w:t>
      </w:r>
    </w:p>
    <w:p w14:paraId="14C463A5" w14:textId="77777777" w:rsidR="00F93645" w:rsidRPr="005B17E4" w:rsidRDefault="00462D4E" w:rsidP="00F93645">
      <w:r>
        <w:rPr>
          <w:rFonts w:ascii="Arial" w:hAnsi="Arial"/>
          <w:lang w:val="en-GB"/>
        </w:rPr>
      </w:r>
      <w:r>
        <w:rPr>
          <w:rFonts w:ascii="Arial" w:hAnsi="Arial"/>
          <w:lang w:val="en-GB"/>
        </w:rPr>
        <w:pict w14:anchorId="1DD4EAFA">
          <v:rect id="Horizontal Line 5"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2F5BA6" w14:textId="77777777" w:rsidR="00F93645" w:rsidRPr="005B17E4" w:rsidRDefault="00F93645" w:rsidP="00F93645">
      <w:pPr>
        <w:spacing w:before="100" w:beforeAutospacing="1" w:after="100" w:afterAutospacing="1"/>
        <w:outlineLvl w:val="1"/>
        <w:rPr>
          <w:b/>
          <w:bCs/>
        </w:rPr>
      </w:pPr>
      <w:r w:rsidRPr="005B17E4">
        <w:rPr>
          <w:b/>
          <w:bCs/>
        </w:rPr>
        <w:t>4. Selling Arrangements</w:t>
      </w:r>
    </w:p>
    <w:p w14:paraId="2CDBDDAD" w14:textId="77777777" w:rsidR="00F93645" w:rsidRPr="005B17E4" w:rsidRDefault="00F93645" w:rsidP="00F93645">
      <w:pPr>
        <w:spacing w:before="100" w:beforeAutospacing="1" w:after="100" w:afterAutospacing="1"/>
      </w:pPr>
      <w:r w:rsidRPr="005B17E4">
        <w:rPr>
          <w:b/>
          <w:bCs/>
        </w:rPr>
        <w:t>Definition</w:t>
      </w:r>
      <w:r w:rsidRPr="005B17E4">
        <w:t>:</w:t>
      </w:r>
      <w:r w:rsidRPr="005B17E4">
        <w:br/>
        <w:t xml:space="preserve">Selling arrangements regulate how goods are sold rather than their intrinsic characteristics. Under </w:t>
      </w:r>
      <w:r w:rsidRPr="005B17E4">
        <w:rPr>
          <w:i/>
          <w:iCs/>
        </w:rPr>
        <w:t xml:space="preserve">Keck and </w:t>
      </w:r>
      <w:proofErr w:type="spellStart"/>
      <w:r w:rsidRPr="005B17E4">
        <w:rPr>
          <w:i/>
          <w:iCs/>
        </w:rPr>
        <w:t>Mithouard</w:t>
      </w:r>
      <w:proofErr w:type="spellEnd"/>
      <w:r w:rsidRPr="005B17E4">
        <w:t xml:space="preserve"> (Cases C-267 and 268/91), non-discriminatory selling arrangements fall outside Article 34 TFEU provided they apply equally in law and fact to domestic and imported goods.</w:t>
      </w:r>
    </w:p>
    <w:p w14:paraId="09D3FEAE" w14:textId="77777777" w:rsidR="00F93645" w:rsidRPr="005B17E4" w:rsidRDefault="00F93645" w:rsidP="00F93645">
      <w:pPr>
        <w:spacing w:before="100" w:beforeAutospacing="1" w:after="100" w:afterAutospacing="1"/>
      </w:pPr>
      <w:r w:rsidRPr="005B17E4">
        <w:rPr>
          <w:b/>
          <w:bCs/>
        </w:rPr>
        <w:t>Strengths</w:t>
      </w:r>
      <w:r w:rsidRPr="005B17E4">
        <w:t>:</w:t>
      </w:r>
    </w:p>
    <w:p w14:paraId="24DE21F8" w14:textId="77777777" w:rsidR="00F93645" w:rsidRPr="005B17E4" w:rsidRDefault="00F93645" w:rsidP="00F93645">
      <w:pPr>
        <w:numPr>
          <w:ilvl w:val="0"/>
          <w:numId w:val="46"/>
        </w:numPr>
        <w:spacing w:before="100" w:beforeAutospacing="1" w:after="100" w:afterAutospacing="1"/>
      </w:pPr>
      <w:r w:rsidRPr="005B17E4">
        <w:rPr>
          <w:b/>
          <w:bCs/>
        </w:rPr>
        <w:t>Preservation of National Regulatory Autonomy</w:t>
      </w:r>
      <w:r w:rsidRPr="005B17E4">
        <w:t>:</w:t>
      </w:r>
      <w:r w:rsidRPr="005B17E4">
        <w:br/>
        <w:t xml:space="preserve">By excluding non-discriminatory selling arrangements from Article 34, </w:t>
      </w:r>
      <w:r w:rsidRPr="005B17E4">
        <w:rPr>
          <w:i/>
          <w:iCs/>
        </w:rPr>
        <w:t>Keck</w:t>
      </w:r>
      <w:r w:rsidRPr="005B17E4">
        <w:t xml:space="preserve"> allows Member States to maintain rules on shop hours, advertising, or pricing, as affirmed in </w:t>
      </w:r>
      <w:r w:rsidRPr="005B17E4">
        <w:rPr>
          <w:i/>
          <w:iCs/>
        </w:rPr>
        <w:t>Punto Casa</w:t>
      </w:r>
      <w:r w:rsidRPr="005B17E4">
        <w:t xml:space="preserve"> (Case C-69/93), without automatically violating EU law.</w:t>
      </w:r>
    </w:p>
    <w:p w14:paraId="78C9E8E1" w14:textId="77777777" w:rsidR="00F93645" w:rsidRPr="005B17E4" w:rsidRDefault="00F93645" w:rsidP="00F93645">
      <w:pPr>
        <w:numPr>
          <w:ilvl w:val="0"/>
          <w:numId w:val="46"/>
        </w:numPr>
        <w:spacing w:before="100" w:beforeAutospacing="1" w:after="100" w:afterAutospacing="1"/>
      </w:pPr>
      <w:r w:rsidRPr="005B17E4">
        <w:rPr>
          <w:b/>
          <w:bCs/>
        </w:rPr>
        <w:t>Reduction of Frivolous Challenges</w:t>
      </w:r>
      <w:r w:rsidRPr="005B17E4">
        <w:t>:</w:t>
      </w:r>
      <w:r w:rsidRPr="005B17E4">
        <w:br/>
        <w:t xml:space="preserve">By narrowing the scope of Article 34, </w:t>
      </w:r>
      <w:r w:rsidRPr="005B17E4">
        <w:rPr>
          <w:i/>
          <w:iCs/>
        </w:rPr>
        <w:t>Keck</w:t>
      </w:r>
      <w:r w:rsidRPr="005B17E4">
        <w:t xml:space="preserve"> discourages traders from contesting purely regulatory measures that do not materially affect market access, as demonstrated in </w:t>
      </w:r>
      <w:r w:rsidRPr="005B17E4">
        <w:rPr>
          <w:i/>
          <w:iCs/>
        </w:rPr>
        <w:t>Keck</w:t>
      </w:r>
      <w:r w:rsidRPr="005B17E4">
        <w:t xml:space="preserve"> itself concerning resale at a loss.</w:t>
      </w:r>
    </w:p>
    <w:p w14:paraId="74F7EC02" w14:textId="77777777" w:rsidR="00F93645" w:rsidRPr="005B17E4" w:rsidRDefault="00F93645" w:rsidP="00F93645">
      <w:pPr>
        <w:numPr>
          <w:ilvl w:val="0"/>
          <w:numId w:val="46"/>
        </w:numPr>
        <w:spacing w:before="100" w:beforeAutospacing="1" w:after="100" w:afterAutospacing="1"/>
      </w:pPr>
      <w:r w:rsidRPr="005B17E4">
        <w:rPr>
          <w:b/>
          <w:bCs/>
        </w:rPr>
        <w:t>Focus on Genuine Barriers</w:t>
      </w:r>
      <w:r w:rsidRPr="005B17E4">
        <w:t>:</w:t>
      </w:r>
      <w:r w:rsidRPr="005B17E4">
        <w:br/>
        <w:t xml:space="preserve">Only arrangements that discriminate in law or fact are subject to challenge, maintaining the internal market’s anti-protectionist ethos, as seen in </w:t>
      </w:r>
      <w:r w:rsidRPr="005B17E4">
        <w:rPr>
          <w:i/>
          <w:iCs/>
        </w:rPr>
        <w:t>De Agostini</w:t>
      </w:r>
      <w:r w:rsidRPr="005B17E4">
        <w:t xml:space="preserve"> (Cases C-34–36/95).</w:t>
      </w:r>
    </w:p>
    <w:p w14:paraId="6625F4B2" w14:textId="77777777" w:rsidR="00F93645" w:rsidRPr="005B17E4" w:rsidRDefault="00F93645" w:rsidP="00F93645">
      <w:pPr>
        <w:spacing w:before="100" w:beforeAutospacing="1" w:after="100" w:afterAutospacing="1"/>
      </w:pPr>
      <w:r w:rsidRPr="005B17E4">
        <w:rPr>
          <w:b/>
          <w:bCs/>
        </w:rPr>
        <w:lastRenderedPageBreak/>
        <w:t>Drawbacks</w:t>
      </w:r>
      <w:r w:rsidRPr="005B17E4">
        <w:t>:</w:t>
      </w:r>
    </w:p>
    <w:p w14:paraId="59294720" w14:textId="77777777" w:rsidR="00F93645" w:rsidRPr="005B17E4" w:rsidRDefault="00F93645" w:rsidP="00F93645">
      <w:pPr>
        <w:numPr>
          <w:ilvl w:val="0"/>
          <w:numId w:val="47"/>
        </w:numPr>
        <w:spacing w:before="100" w:beforeAutospacing="1" w:after="100" w:afterAutospacing="1"/>
      </w:pPr>
      <w:r w:rsidRPr="005B17E4">
        <w:rPr>
          <w:b/>
          <w:bCs/>
        </w:rPr>
        <w:t>Difficulties in Classification</w:t>
      </w:r>
      <w:r w:rsidRPr="005B17E4">
        <w:t>:</w:t>
      </w:r>
      <w:r w:rsidRPr="005B17E4">
        <w:br/>
        <w:t xml:space="preserve">Distinguishing between selling arrangements and product requirements remains problematic. In </w:t>
      </w:r>
      <w:proofErr w:type="spellStart"/>
      <w:r w:rsidRPr="005B17E4">
        <w:rPr>
          <w:i/>
          <w:iCs/>
        </w:rPr>
        <w:t>Familiapress</w:t>
      </w:r>
      <w:proofErr w:type="spellEnd"/>
      <w:r w:rsidRPr="005B17E4">
        <w:t xml:space="preserve"> (Case C-368/95), a prohibition on prize competitions in magazines was found to concern product characteristics rather than selling arrangements.</w:t>
      </w:r>
    </w:p>
    <w:p w14:paraId="1F9A7723" w14:textId="77777777" w:rsidR="00F93645" w:rsidRPr="005B17E4" w:rsidRDefault="00F93645" w:rsidP="00F93645">
      <w:pPr>
        <w:numPr>
          <w:ilvl w:val="0"/>
          <w:numId w:val="47"/>
        </w:numPr>
        <w:spacing w:before="100" w:beforeAutospacing="1" w:after="100" w:afterAutospacing="1"/>
      </w:pPr>
      <w:r w:rsidRPr="005B17E4">
        <w:rPr>
          <w:b/>
          <w:bCs/>
        </w:rPr>
        <w:t>Narrow Safe Harbour</w:t>
      </w:r>
      <w:r w:rsidRPr="005B17E4">
        <w:t>:</w:t>
      </w:r>
      <w:r w:rsidRPr="005B17E4">
        <w:br/>
        <w:t xml:space="preserve">The strict non-discrimination test limits the protective effect of </w:t>
      </w:r>
      <w:r w:rsidRPr="005B17E4">
        <w:rPr>
          <w:i/>
          <w:iCs/>
        </w:rPr>
        <w:t>Keck</w:t>
      </w:r>
      <w:r w:rsidRPr="005B17E4">
        <w:t xml:space="preserve">, as illustrated in </w:t>
      </w:r>
      <w:proofErr w:type="spellStart"/>
      <w:r w:rsidRPr="005B17E4">
        <w:rPr>
          <w:i/>
          <w:iCs/>
        </w:rPr>
        <w:t>DocMorris</w:t>
      </w:r>
      <w:proofErr w:type="spellEnd"/>
      <w:r w:rsidRPr="005B17E4">
        <w:t xml:space="preserve"> (Case C-322/01), where restrictions on online sales disproportionately hindered foreign operators, thus falling under Article 34 scrutiny.</w:t>
      </w:r>
    </w:p>
    <w:p w14:paraId="03D92B65" w14:textId="77777777" w:rsidR="00F93645" w:rsidRPr="005B17E4" w:rsidRDefault="00F93645" w:rsidP="00F93645">
      <w:pPr>
        <w:numPr>
          <w:ilvl w:val="0"/>
          <w:numId w:val="47"/>
        </w:numPr>
        <w:spacing w:before="100" w:beforeAutospacing="1" w:after="100" w:afterAutospacing="1"/>
      </w:pPr>
      <w:r w:rsidRPr="005B17E4">
        <w:rPr>
          <w:b/>
          <w:bCs/>
        </w:rPr>
        <w:t>Emerging Market Access Focus</w:t>
      </w:r>
      <w:r w:rsidRPr="005B17E4">
        <w:t>:</w:t>
      </w:r>
      <w:r w:rsidRPr="005B17E4">
        <w:br/>
        <w:t xml:space="preserve">Subsequent CJEU cases, notably </w:t>
      </w:r>
      <w:r w:rsidRPr="005B17E4">
        <w:rPr>
          <w:i/>
          <w:iCs/>
        </w:rPr>
        <w:t>Commission v Italy (Trailers)</w:t>
      </w:r>
      <w:r w:rsidRPr="005B17E4">
        <w:t xml:space="preserve"> (Case C-110/05), have undermined </w:t>
      </w:r>
      <w:r w:rsidRPr="005B17E4">
        <w:rPr>
          <w:i/>
          <w:iCs/>
        </w:rPr>
        <w:t>Keck</w:t>
      </w:r>
      <w:r w:rsidRPr="005B17E4">
        <w:t>'s insulation of selling arrangements, emphasizing market access over formalistic classifications.</w:t>
      </w:r>
    </w:p>
    <w:p w14:paraId="3D628594" w14:textId="77777777" w:rsidR="00F93645" w:rsidRPr="005B17E4" w:rsidRDefault="00462D4E" w:rsidP="00F93645">
      <w:r>
        <w:rPr>
          <w:rFonts w:ascii="Arial" w:hAnsi="Arial"/>
          <w:lang w:val="en-GB"/>
        </w:rPr>
      </w:r>
      <w:r>
        <w:rPr>
          <w:rFonts w:ascii="Arial" w:hAnsi="Arial"/>
          <w:lang w:val="en-GB"/>
        </w:rPr>
        <w:pict w14:anchorId="1B2800F2">
          <v:rect id="Horizontal Line 6"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AB47F9" w14:textId="77777777" w:rsidR="00F93645" w:rsidRPr="005B17E4" w:rsidRDefault="00F93645" w:rsidP="00F93645">
      <w:pPr>
        <w:spacing w:before="100" w:beforeAutospacing="1" w:after="100" w:afterAutospacing="1"/>
        <w:outlineLvl w:val="1"/>
        <w:rPr>
          <w:b/>
          <w:bCs/>
        </w:rPr>
      </w:pPr>
      <w:r w:rsidRPr="005B17E4">
        <w:rPr>
          <w:b/>
          <w:bCs/>
        </w:rPr>
        <w:t>5. Market Access</w:t>
      </w:r>
    </w:p>
    <w:p w14:paraId="50F4E0B1" w14:textId="77777777" w:rsidR="00F93645" w:rsidRPr="005B17E4" w:rsidRDefault="00F93645" w:rsidP="00F93645">
      <w:pPr>
        <w:spacing w:before="100" w:beforeAutospacing="1" w:after="100" w:afterAutospacing="1"/>
      </w:pPr>
      <w:r w:rsidRPr="005B17E4">
        <w:rPr>
          <w:b/>
          <w:bCs/>
        </w:rPr>
        <w:t>Definition</w:t>
      </w:r>
      <w:r w:rsidRPr="005B17E4">
        <w:t>:</w:t>
      </w:r>
      <w:r w:rsidRPr="005B17E4">
        <w:br/>
        <w:t>The market access principle evaluates whether national measures substantially hinder the ability of goods from other Member States to enter and compete in the market, a concept increasingly emphasized post-</w:t>
      </w:r>
      <w:r w:rsidRPr="005B17E4">
        <w:rPr>
          <w:i/>
          <w:iCs/>
        </w:rPr>
        <w:t>Keck</w:t>
      </w:r>
      <w:r w:rsidRPr="005B17E4">
        <w:t xml:space="preserve">, especially in </w:t>
      </w:r>
      <w:r w:rsidRPr="005B17E4">
        <w:rPr>
          <w:i/>
          <w:iCs/>
        </w:rPr>
        <w:t>Commission v Italy (Trailers)</w:t>
      </w:r>
      <w:r w:rsidRPr="005B17E4">
        <w:t xml:space="preserve"> (Case C-110/05).</w:t>
      </w:r>
    </w:p>
    <w:p w14:paraId="5D5CB9D8" w14:textId="77777777" w:rsidR="00F93645" w:rsidRPr="005B17E4" w:rsidRDefault="00F93645" w:rsidP="00F93645">
      <w:pPr>
        <w:spacing w:before="100" w:beforeAutospacing="1" w:after="100" w:afterAutospacing="1"/>
      </w:pPr>
      <w:r w:rsidRPr="005B17E4">
        <w:rPr>
          <w:b/>
          <w:bCs/>
        </w:rPr>
        <w:t>Strengths</w:t>
      </w:r>
      <w:r w:rsidRPr="005B17E4">
        <w:t>:</w:t>
      </w:r>
    </w:p>
    <w:p w14:paraId="4952819D" w14:textId="77777777" w:rsidR="00F93645" w:rsidRPr="005B17E4" w:rsidRDefault="00F93645" w:rsidP="00F93645">
      <w:pPr>
        <w:numPr>
          <w:ilvl w:val="0"/>
          <w:numId w:val="48"/>
        </w:numPr>
        <w:spacing w:before="100" w:beforeAutospacing="1" w:after="100" w:afterAutospacing="1"/>
      </w:pPr>
      <w:r w:rsidRPr="005B17E4">
        <w:rPr>
          <w:b/>
          <w:bCs/>
        </w:rPr>
        <w:t>Holistic Protection</w:t>
      </w:r>
      <w:r w:rsidRPr="005B17E4">
        <w:t>:</w:t>
      </w:r>
      <w:r w:rsidRPr="005B17E4">
        <w:br/>
        <w:t xml:space="preserve">By assessing the overall impact on access rather than focusing rigidly on discrimination, the market access test better safeguards the internal market. For example, in </w:t>
      </w:r>
      <w:proofErr w:type="spellStart"/>
      <w:r w:rsidRPr="005B17E4">
        <w:rPr>
          <w:i/>
          <w:iCs/>
        </w:rPr>
        <w:t>Mickelsson</w:t>
      </w:r>
      <w:proofErr w:type="spellEnd"/>
      <w:r w:rsidRPr="005B17E4">
        <w:rPr>
          <w:i/>
          <w:iCs/>
        </w:rPr>
        <w:t xml:space="preserve"> and </w:t>
      </w:r>
      <w:proofErr w:type="spellStart"/>
      <w:r w:rsidRPr="005B17E4">
        <w:rPr>
          <w:i/>
          <w:iCs/>
        </w:rPr>
        <w:t>Roos</w:t>
      </w:r>
      <w:proofErr w:type="spellEnd"/>
      <w:r w:rsidRPr="005B17E4">
        <w:t xml:space="preserve"> (Case C-142/05), Swedish restrictions on jet-ski use were struck down because they deterred the purchase of imported jet skis.</w:t>
      </w:r>
    </w:p>
    <w:p w14:paraId="7D433E52" w14:textId="77777777" w:rsidR="00F93645" w:rsidRPr="005B17E4" w:rsidRDefault="00F93645" w:rsidP="00F93645">
      <w:pPr>
        <w:numPr>
          <w:ilvl w:val="0"/>
          <w:numId w:val="48"/>
        </w:numPr>
        <w:spacing w:before="100" w:beforeAutospacing="1" w:after="100" w:afterAutospacing="1"/>
      </w:pPr>
      <w:r w:rsidRPr="005B17E4">
        <w:rPr>
          <w:b/>
          <w:bCs/>
        </w:rPr>
        <w:t>Adaptability to New Barriers</w:t>
      </w:r>
      <w:r w:rsidRPr="005B17E4">
        <w:t>:</w:t>
      </w:r>
      <w:r w:rsidRPr="005B17E4">
        <w:br/>
        <w:t>The concept accommodates novel trade barriers, such as use restrictions or online commerce restrictions, which traditional categories struggle to address.</w:t>
      </w:r>
    </w:p>
    <w:p w14:paraId="17BACB46" w14:textId="77777777" w:rsidR="00F93645" w:rsidRPr="005B17E4" w:rsidRDefault="00F93645" w:rsidP="00F93645">
      <w:pPr>
        <w:numPr>
          <w:ilvl w:val="0"/>
          <w:numId w:val="48"/>
        </w:numPr>
        <w:spacing w:before="100" w:beforeAutospacing="1" w:after="100" w:afterAutospacing="1"/>
      </w:pPr>
      <w:r w:rsidRPr="005B17E4">
        <w:rPr>
          <w:b/>
          <w:bCs/>
        </w:rPr>
        <w:t>Promotion of Integration</w:t>
      </w:r>
      <w:r w:rsidRPr="005B17E4">
        <w:t>:</w:t>
      </w:r>
      <w:r w:rsidRPr="005B17E4">
        <w:br/>
        <w:t>Focusing on substantive effects on trade, rather than formal distinctions, aligns with the internal market’s economic and social integration objectives.</w:t>
      </w:r>
    </w:p>
    <w:p w14:paraId="7414FD17" w14:textId="77777777" w:rsidR="00F93645" w:rsidRPr="005B17E4" w:rsidRDefault="00F93645" w:rsidP="00F93645">
      <w:pPr>
        <w:spacing w:before="100" w:beforeAutospacing="1" w:after="100" w:afterAutospacing="1"/>
      </w:pPr>
      <w:r w:rsidRPr="005B17E4">
        <w:rPr>
          <w:b/>
          <w:bCs/>
        </w:rPr>
        <w:t>Drawbacks</w:t>
      </w:r>
      <w:r w:rsidRPr="005B17E4">
        <w:t>:</w:t>
      </w:r>
    </w:p>
    <w:p w14:paraId="643E5231" w14:textId="77777777" w:rsidR="00F93645" w:rsidRPr="005B17E4" w:rsidRDefault="00F93645" w:rsidP="00F93645">
      <w:pPr>
        <w:numPr>
          <w:ilvl w:val="0"/>
          <w:numId w:val="49"/>
        </w:numPr>
        <w:spacing w:before="100" w:beforeAutospacing="1" w:after="100" w:afterAutospacing="1"/>
      </w:pPr>
      <w:r w:rsidRPr="005B17E4">
        <w:rPr>
          <w:b/>
          <w:bCs/>
        </w:rPr>
        <w:t>Lack of Clear Criteria</w:t>
      </w:r>
      <w:r w:rsidRPr="005B17E4">
        <w:t>:</w:t>
      </w:r>
      <w:r w:rsidRPr="005B17E4">
        <w:br/>
        <w:t xml:space="preserve">The threshold for what constitutes a "substantial hindrance" is vague, leading to unpredictable outcomes, as the CJEU has refrained from elaborating a precise standard despite early suggestions by AG Jacobs in </w:t>
      </w:r>
      <w:r w:rsidRPr="005B17E4">
        <w:rPr>
          <w:i/>
          <w:iCs/>
        </w:rPr>
        <w:t>Leclerc-</w:t>
      </w:r>
      <w:proofErr w:type="spellStart"/>
      <w:r w:rsidRPr="005B17E4">
        <w:rPr>
          <w:i/>
          <w:iCs/>
        </w:rPr>
        <w:t>Siplec</w:t>
      </w:r>
      <w:proofErr w:type="spellEnd"/>
      <w:r w:rsidRPr="005B17E4">
        <w:t xml:space="preserve"> (Case C-412/93).</w:t>
      </w:r>
    </w:p>
    <w:p w14:paraId="45E3FEC9" w14:textId="77777777" w:rsidR="00F93645" w:rsidRPr="005B17E4" w:rsidRDefault="00F93645" w:rsidP="00F93645">
      <w:pPr>
        <w:numPr>
          <w:ilvl w:val="0"/>
          <w:numId w:val="49"/>
        </w:numPr>
        <w:spacing w:before="100" w:beforeAutospacing="1" w:after="100" w:afterAutospacing="1"/>
      </w:pPr>
      <w:r w:rsidRPr="005B17E4">
        <w:rPr>
          <w:b/>
          <w:bCs/>
        </w:rPr>
        <w:t>Undermining of Keck</w:t>
      </w:r>
      <w:r w:rsidRPr="005B17E4">
        <w:t>:</w:t>
      </w:r>
      <w:r w:rsidRPr="005B17E4">
        <w:br/>
        <w:t xml:space="preserve">By drawing selling arrangements back into the ambit of Article 34 TFEU if they affect market access, the CJEU risks nullifying the safe zone created in </w:t>
      </w:r>
      <w:r w:rsidRPr="005B17E4">
        <w:rPr>
          <w:i/>
          <w:iCs/>
        </w:rPr>
        <w:t>Keck</w:t>
      </w:r>
      <w:r w:rsidRPr="005B17E4">
        <w:t>.</w:t>
      </w:r>
    </w:p>
    <w:p w14:paraId="56B24ED1" w14:textId="77777777" w:rsidR="00F93645" w:rsidRPr="005B17E4" w:rsidRDefault="00F93645" w:rsidP="00F93645">
      <w:pPr>
        <w:numPr>
          <w:ilvl w:val="0"/>
          <w:numId w:val="49"/>
        </w:numPr>
        <w:spacing w:before="100" w:beforeAutospacing="1" w:after="100" w:afterAutospacing="1"/>
      </w:pPr>
      <w:r w:rsidRPr="005B17E4">
        <w:rPr>
          <w:b/>
          <w:bCs/>
        </w:rPr>
        <w:t>Regulatory Uncertainty</w:t>
      </w:r>
      <w:r w:rsidRPr="005B17E4">
        <w:t>:</w:t>
      </w:r>
      <w:r w:rsidRPr="005B17E4">
        <w:br/>
        <w:t xml:space="preserve">National legislators face difficulty in predicting whether legitimate regulatory measures </w:t>
      </w:r>
      <w:r w:rsidRPr="005B17E4">
        <w:lastRenderedPageBreak/>
        <w:t>might be caught under the market access test, creating a chilling effect on domestic policymaking.</w:t>
      </w:r>
    </w:p>
    <w:p w14:paraId="710C0A37" w14:textId="77777777" w:rsidR="009A7C00" w:rsidRPr="005B17E4" w:rsidRDefault="009A7C00" w:rsidP="009A7C00">
      <w:pPr>
        <w:pStyle w:val="NormalWeb"/>
        <w:numPr>
          <w:ilvl w:val="0"/>
          <w:numId w:val="1"/>
        </w:numPr>
      </w:pPr>
      <w:r w:rsidRPr="005B17E4">
        <w:t xml:space="preserve">What are the most important decisions by the Court of Justice on the free movement of goods? Can you explain why you think that these decisions are important? </w:t>
      </w:r>
    </w:p>
    <w:p w14:paraId="4595E677" w14:textId="77777777" w:rsidR="00B75306" w:rsidRPr="005B17E4" w:rsidRDefault="00B75306" w:rsidP="00B75306">
      <w:pPr>
        <w:spacing w:before="100" w:beforeAutospacing="1" w:after="100" w:afterAutospacing="1"/>
        <w:outlineLvl w:val="1"/>
        <w:rPr>
          <w:b/>
          <w:bCs/>
        </w:rPr>
      </w:pPr>
      <w:r w:rsidRPr="005B17E4">
        <w:rPr>
          <w:b/>
          <w:bCs/>
        </w:rPr>
        <w:t xml:space="preserve">1. Procureur du Roi v </w:t>
      </w:r>
      <w:proofErr w:type="spellStart"/>
      <w:r w:rsidRPr="005B17E4">
        <w:rPr>
          <w:b/>
          <w:bCs/>
        </w:rPr>
        <w:t>Dassonville</w:t>
      </w:r>
      <w:proofErr w:type="spellEnd"/>
      <w:r w:rsidRPr="005B17E4">
        <w:rPr>
          <w:b/>
          <w:bCs/>
        </w:rPr>
        <w:t xml:space="preserve"> (Case 8/74) [1974] ECR 837</w:t>
      </w:r>
    </w:p>
    <w:p w14:paraId="22B748E9" w14:textId="77777777" w:rsidR="00B75306" w:rsidRPr="005B17E4" w:rsidRDefault="00B75306" w:rsidP="00B75306">
      <w:pPr>
        <w:spacing w:before="100" w:beforeAutospacing="1" w:after="100" w:afterAutospacing="1"/>
        <w:outlineLvl w:val="2"/>
        <w:rPr>
          <w:b/>
          <w:bCs/>
        </w:rPr>
      </w:pPr>
      <w:r w:rsidRPr="005B17E4">
        <w:rPr>
          <w:b/>
          <w:bCs/>
        </w:rPr>
        <w:t>Facts</w:t>
      </w:r>
    </w:p>
    <w:p w14:paraId="6C74D8C6" w14:textId="77777777" w:rsidR="00B75306" w:rsidRPr="005B17E4" w:rsidRDefault="00B75306" w:rsidP="00B75306">
      <w:pPr>
        <w:spacing w:before="100" w:beforeAutospacing="1" w:after="100" w:afterAutospacing="1"/>
      </w:pPr>
      <w:r w:rsidRPr="005B17E4">
        <w:t xml:space="preserve">Belgian law required that imported goods bearing a designation of origin, such as Scotch whisky, be accompanied by a certificate of origin issued by the government of the exporting country. </w:t>
      </w:r>
      <w:proofErr w:type="spellStart"/>
      <w:r w:rsidRPr="005B17E4">
        <w:t>Dassonville</w:t>
      </w:r>
      <w:proofErr w:type="spellEnd"/>
      <w:r w:rsidRPr="005B17E4">
        <w:t xml:space="preserve"> imported Scotch whisky from France without the required certificate and was prosecuted. He argued that the Belgian law was contrary to Article 34 TFEU.</w:t>
      </w:r>
    </w:p>
    <w:p w14:paraId="59AD24BB" w14:textId="77777777" w:rsidR="00B75306" w:rsidRPr="005B17E4" w:rsidRDefault="00B75306" w:rsidP="00B75306">
      <w:pPr>
        <w:spacing w:before="100" w:beforeAutospacing="1" w:after="100" w:afterAutospacing="1"/>
        <w:outlineLvl w:val="2"/>
        <w:rPr>
          <w:b/>
          <w:bCs/>
        </w:rPr>
      </w:pPr>
      <w:r w:rsidRPr="005B17E4">
        <w:rPr>
          <w:b/>
          <w:bCs/>
        </w:rPr>
        <w:t>Held</w:t>
      </w:r>
    </w:p>
    <w:p w14:paraId="6266FD10" w14:textId="77777777" w:rsidR="00B75306" w:rsidRPr="005B17E4" w:rsidRDefault="00B75306" w:rsidP="00B75306">
      <w:pPr>
        <w:spacing w:before="100" w:beforeAutospacing="1" w:after="100" w:afterAutospacing="1"/>
      </w:pPr>
      <w:r w:rsidRPr="005B17E4">
        <w:t xml:space="preserve">The CJEU held that </w:t>
      </w:r>
      <w:r w:rsidRPr="005B17E4">
        <w:rPr>
          <w:b/>
          <w:bCs/>
        </w:rPr>
        <w:t>all trading rules enacted by Member States which are capable of hindering, directly or indirectly, actually or potentially, intra-Community trade</w:t>
      </w:r>
      <w:r w:rsidRPr="005B17E4">
        <w:t xml:space="preserve"> constitute prohibited MEQRs under Article 34 TFEU. The Belgian requirement was an MEQR.</w:t>
      </w:r>
    </w:p>
    <w:p w14:paraId="24073491" w14:textId="77777777" w:rsidR="00B75306" w:rsidRPr="005B17E4" w:rsidRDefault="00B75306" w:rsidP="00B75306">
      <w:pPr>
        <w:spacing w:before="100" w:beforeAutospacing="1" w:after="100" w:afterAutospacing="1"/>
        <w:outlineLvl w:val="2"/>
        <w:rPr>
          <w:b/>
          <w:bCs/>
        </w:rPr>
      </w:pPr>
      <w:r w:rsidRPr="005B17E4">
        <w:rPr>
          <w:b/>
          <w:bCs/>
        </w:rPr>
        <w:t>Legal Importance</w:t>
      </w:r>
    </w:p>
    <w:p w14:paraId="43786BC7" w14:textId="77777777" w:rsidR="00B75306" w:rsidRPr="005B17E4" w:rsidRDefault="00B75306" w:rsidP="00B75306">
      <w:pPr>
        <w:numPr>
          <w:ilvl w:val="0"/>
          <w:numId w:val="61"/>
        </w:numPr>
        <w:spacing w:before="100" w:beforeAutospacing="1" w:after="100" w:afterAutospacing="1"/>
      </w:pPr>
      <w:r w:rsidRPr="005B17E4">
        <w:t xml:space="preserve">The case established the </w:t>
      </w:r>
      <w:proofErr w:type="spellStart"/>
      <w:r w:rsidRPr="005B17E4">
        <w:rPr>
          <w:b/>
          <w:bCs/>
        </w:rPr>
        <w:t>Dassonville</w:t>
      </w:r>
      <w:proofErr w:type="spellEnd"/>
      <w:r w:rsidRPr="005B17E4">
        <w:rPr>
          <w:b/>
          <w:bCs/>
        </w:rPr>
        <w:t xml:space="preserve"> formula</w:t>
      </w:r>
      <w:r w:rsidRPr="005B17E4">
        <w:t>, providing a broad, open-ended definition of MEQRs.</w:t>
      </w:r>
    </w:p>
    <w:p w14:paraId="7DCB879B" w14:textId="77777777" w:rsidR="00B75306" w:rsidRPr="005B17E4" w:rsidRDefault="00B75306" w:rsidP="00B75306">
      <w:pPr>
        <w:numPr>
          <w:ilvl w:val="0"/>
          <w:numId w:val="61"/>
        </w:numPr>
        <w:spacing w:before="100" w:beforeAutospacing="1" w:after="100" w:afterAutospacing="1"/>
      </w:pPr>
      <w:r w:rsidRPr="005B17E4">
        <w:t>It captured any national measure capable of hindering trade, regardless of the measure’s purpose, effect, or form.</w:t>
      </w:r>
    </w:p>
    <w:p w14:paraId="041E4F1B" w14:textId="77777777" w:rsidR="00B75306" w:rsidRPr="005B17E4" w:rsidRDefault="00B75306" w:rsidP="00B75306">
      <w:pPr>
        <w:numPr>
          <w:ilvl w:val="0"/>
          <w:numId w:val="61"/>
        </w:numPr>
        <w:spacing w:before="100" w:beforeAutospacing="1" w:after="100" w:afterAutospacing="1"/>
      </w:pPr>
      <w:r w:rsidRPr="005B17E4">
        <w:t>It made clear that the existence of a purely potential restriction was sufficient to trigger Article 34 scrutiny.</w:t>
      </w:r>
    </w:p>
    <w:p w14:paraId="19CD73C9" w14:textId="77777777" w:rsidR="00B75306" w:rsidRPr="005B17E4" w:rsidRDefault="00B75306" w:rsidP="00B75306">
      <w:pPr>
        <w:spacing w:before="100" w:beforeAutospacing="1" w:after="100" w:afterAutospacing="1"/>
        <w:outlineLvl w:val="2"/>
        <w:rPr>
          <w:b/>
          <w:bCs/>
        </w:rPr>
      </w:pPr>
      <w:r w:rsidRPr="005B17E4">
        <w:rPr>
          <w:b/>
          <w:bCs/>
        </w:rPr>
        <w:t>Why Important</w:t>
      </w:r>
    </w:p>
    <w:p w14:paraId="79DFA99A" w14:textId="77777777" w:rsidR="00B75306" w:rsidRPr="005B17E4" w:rsidRDefault="00B75306" w:rsidP="00B75306">
      <w:pPr>
        <w:numPr>
          <w:ilvl w:val="0"/>
          <w:numId w:val="62"/>
        </w:numPr>
        <w:spacing w:before="100" w:beforeAutospacing="1" w:after="100" w:afterAutospacing="1"/>
      </w:pPr>
      <w:r w:rsidRPr="005B17E4">
        <w:rPr>
          <w:b/>
          <w:bCs/>
        </w:rPr>
        <w:t>Cornerstone of Article 34 TFEU enforcement</w:t>
      </w:r>
      <w:r w:rsidRPr="005B17E4">
        <w:t xml:space="preserve">: </w:t>
      </w:r>
      <w:proofErr w:type="spellStart"/>
      <w:r w:rsidRPr="005B17E4">
        <w:t>Dassonville</w:t>
      </w:r>
      <w:proofErr w:type="spellEnd"/>
      <w:r w:rsidRPr="005B17E4">
        <w:t xml:space="preserve"> created the foundation for controlling not only direct discrimination but also subtle, indirect restrictions.</w:t>
      </w:r>
    </w:p>
    <w:p w14:paraId="147A7302" w14:textId="77777777" w:rsidR="00B75306" w:rsidRPr="005B17E4" w:rsidRDefault="00B75306" w:rsidP="00B75306">
      <w:pPr>
        <w:numPr>
          <w:ilvl w:val="0"/>
          <w:numId w:val="62"/>
        </w:numPr>
        <w:spacing w:before="100" w:beforeAutospacing="1" w:after="100" w:afterAutospacing="1"/>
      </w:pPr>
      <w:r w:rsidRPr="005B17E4">
        <w:rPr>
          <w:b/>
          <w:bCs/>
        </w:rPr>
        <w:t>Expanded litigation opportunities</w:t>
      </w:r>
      <w:r w:rsidRPr="005B17E4">
        <w:t>: Traders could challenge a wide range of national rules, ensuring dynamic growth of internal market law.</w:t>
      </w:r>
    </w:p>
    <w:p w14:paraId="389AC328" w14:textId="77777777" w:rsidR="00B75306" w:rsidRPr="005B17E4" w:rsidRDefault="00B75306" w:rsidP="00B75306">
      <w:pPr>
        <w:numPr>
          <w:ilvl w:val="0"/>
          <w:numId w:val="62"/>
        </w:numPr>
        <w:spacing w:before="100" w:beforeAutospacing="1" w:after="100" w:afterAutospacing="1"/>
      </w:pPr>
      <w:r w:rsidRPr="005B17E4">
        <w:rPr>
          <w:b/>
          <w:bCs/>
        </w:rPr>
        <w:t>Prompted the need for later doctrinal refinement</w:t>
      </w:r>
      <w:r w:rsidRPr="005B17E4">
        <w:t xml:space="preserve">: The formula's breadth eventually necessitated balancing mechanisms, such as those developed in </w:t>
      </w:r>
      <w:r w:rsidRPr="005B17E4">
        <w:rPr>
          <w:i/>
          <w:iCs/>
        </w:rPr>
        <w:t>Cassis de Dijon</w:t>
      </w:r>
      <w:r w:rsidRPr="005B17E4">
        <w:t xml:space="preserve"> and </w:t>
      </w:r>
      <w:r w:rsidRPr="005B17E4">
        <w:rPr>
          <w:i/>
          <w:iCs/>
        </w:rPr>
        <w:t>Keck</w:t>
      </w:r>
      <w:r w:rsidRPr="005B17E4">
        <w:t>.</w:t>
      </w:r>
    </w:p>
    <w:p w14:paraId="243DAE8C" w14:textId="77777777" w:rsidR="00B75306" w:rsidRPr="005B17E4" w:rsidRDefault="00462D4E" w:rsidP="00B75306">
      <w:r w:rsidRPr="00462D4E">
        <w:rPr>
          <w:noProof/>
          <w14:ligatures w14:val="standardContextual"/>
        </w:rPr>
        <w:pict w14:anchorId="428D9EAA">
          <v:rect id="_x0000_i1034" alt="" style="width:451.3pt;height:.05pt;mso-width-percent:0;mso-height-percent:0;mso-width-percent:0;mso-height-percent:0" o:hralign="center" o:hrstd="t" o:hr="t" fillcolor="#a0a0a0" stroked="f"/>
        </w:pict>
      </w:r>
    </w:p>
    <w:p w14:paraId="6D5E029B" w14:textId="77777777" w:rsidR="00B75306" w:rsidRPr="005B17E4" w:rsidRDefault="00B75306" w:rsidP="00B75306">
      <w:pPr>
        <w:spacing w:before="100" w:beforeAutospacing="1" w:after="100" w:afterAutospacing="1"/>
        <w:outlineLvl w:val="1"/>
        <w:rPr>
          <w:b/>
          <w:bCs/>
        </w:rPr>
      </w:pPr>
      <w:r w:rsidRPr="005B17E4">
        <w:rPr>
          <w:b/>
          <w:bCs/>
        </w:rPr>
        <w:t xml:space="preserve">2. </w:t>
      </w:r>
      <w:proofErr w:type="spellStart"/>
      <w:r w:rsidRPr="005B17E4">
        <w:rPr>
          <w:b/>
          <w:bCs/>
        </w:rPr>
        <w:t>Rewe-Zentral</w:t>
      </w:r>
      <w:proofErr w:type="spellEnd"/>
      <w:r w:rsidRPr="005B17E4">
        <w:rPr>
          <w:b/>
          <w:bCs/>
        </w:rPr>
        <w:t xml:space="preserve"> AG v </w:t>
      </w:r>
      <w:proofErr w:type="spellStart"/>
      <w:r w:rsidRPr="005B17E4">
        <w:rPr>
          <w:b/>
          <w:bCs/>
        </w:rPr>
        <w:t>Bundesmonopolverwaltung</w:t>
      </w:r>
      <w:proofErr w:type="spellEnd"/>
      <w:r w:rsidRPr="005B17E4">
        <w:rPr>
          <w:b/>
          <w:bCs/>
        </w:rPr>
        <w:t xml:space="preserve"> für </w:t>
      </w:r>
      <w:proofErr w:type="spellStart"/>
      <w:r w:rsidRPr="005B17E4">
        <w:rPr>
          <w:b/>
          <w:bCs/>
        </w:rPr>
        <w:t>Branntwein</w:t>
      </w:r>
      <w:proofErr w:type="spellEnd"/>
      <w:r w:rsidRPr="005B17E4">
        <w:rPr>
          <w:b/>
          <w:bCs/>
        </w:rPr>
        <w:t xml:space="preserve"> (Cassis de Dijon) (Case 120/78) [1979] ECR 649</w:t>
      </w:r>
    </w:p>
    <w:p w14:paraId="4A96D4AB" w14:textId="77777777" w:rsidR="00B75306" w:rsidRPr="005B17E4" w:rsidRDefault="00B75306" w:rsidP="00B75306">
      <w:pPr>
        <w:spacing w:before="100" w:beforeAutospacing="1" w:after="100" w:afterAutospacing="1"/>
        <w:outlineLvl w:val="2"/>
        <w:rPr>
          <w:b/>
          <w:bCs/>
        </w:rPr>
      </w:pPr>
      <w:r w:rsidRPr="005B17E4">
        <w:rPr>
          <w:b/>
          <w:bCs/>
        </w:rPr>
        <w:t>Facts</w:t>
      </w:r>
    </w:p>
    <w:p w14:paraId="17696E3A" w14:textId="77777777" w:rsidR="00B75306" w:rsidRPr="005B17E4" w:rsidRDefault="00B75306" w:rsidP="00B75306">
      <w:pPr>
        <w:spacing w:before="100" w:beforeAutospacing="1" w:after="100" w:afterAutospacing="1"/>
      </w:pPr>
      <w:r w:rsidRPr="005B17E4">
        <w:lastRenderedPageBreak/>
        <w:t>German law required fruit liqueurs sold in Germany to have a minimum alcohol content of 25%. French Cassis de Dijon had an alcohol content of 15–20%, and importation was prohibited. The German authorities claimed public health and fair trading reasons.</w:t>
      </w:r>
    </w:p>
    <w:p w14:paraId="42B67333" w14:textId="77777777" w:rsidR="00B75306" w:rsidRPr="005B17E4" w:rsidRDefault="00B75306" w:rsidP="00B75306">
      <w:pPr>
        <w:spacing w:before="100" w:beforeAutospacing="1" w:after="100" w:afterAutospacing="1"/>
        <w:outlineLvl w:val="2"/>
        <w:rPr>
          <w:b/>
          <w:bCs/>
        </w:rPr>
      </w:pPr>
      <w:r w:rsidRPr="005B17E4">
        <w:rPr>
          <w:b/>
          <w:bCs/>
        </w:rPr>
        <w:t>Held</w:t>
      </w:r>
    </w:p>
    <w:p w14:paraId="6C6E33FB" w14:textId="77777777" w:rsidR="00B75306" w:rsidRPr="005B17E4" w:rsidRDefault="00B75306" w:rsidP="00B75306">
      <w:pPr>
        <w:spacing w:before="100" w:beforeAutospacing="1" w:after="100" w:afterAutospacing="1"/>
      </w:pPr>
      <w:r w:rsidRPr="005B17E4">
        <w:t>The CJEU held that the German rule was an indistinctly applicable MEQR under Article 34 TFEU. It introduced two new principles:</w:t>
      </w:r>
    </w:p>
    <w:p w14:paraId="5ACD16D3" w14:textId="77777777" w:rsidR="00B75306" w:rsidRPr="005B17E4" w:rsidRDefault="00B75306" w:rsidP="00B75306">
      <w:pPr>
        <w:numPr>
          <w:ilvl w:val="0"/>
          <w:numId w:val="63"/>
        </w:numPr>
        <w:spacing w:before="100" w:beforeAutospacing="1" w:after="100" w:afterAutospacing="1"/>
      </w:pPr>
      <w:r w:rsidRPr="005B17E4">
        <w:t xml:space="preserve">The </w:t>
      </w:r>
      <w:r w:rsidRPr="005B17E4">
        <w:rPr>
          <w:b/>
          <w:bCs/>
        </w:rPr>
        <w:t>Principle of Mutual Recognition</w:t>
      </w:r>
      <w:r w:rsidRPr="005B17E4">
        <w:t>: Goods lawfully produced and marketed in one Member State should generally be admitted to others.</w:t>
      </w:r>
    </w:p>
    <w:p w14:paraId="08F1730C" w14:textId="77777777" w:rsidR="00B75306" w:rsidRPr="005B17E4" w:rsidRDefault="00B75306" w:rsidP="00B75306">
      <w:pPr>
        <w:numPr>
          <w:ilvl w:val="0"/>
          <w:numId w:val="63"/>
        </w:numPr>
        <w:spacing w:before="100" w:beforeAutospacing="1" w:after="100" w:afterAutospacing="1"/>
      </w:pPr>
      <w:r w:rsidRPr="005B17E4">
        <w:t xml:space="preserve">The </w:t>
      </w:r>
      <w:r w:rsidRPr="005B17E4">
        <w:rPr>
          <w:b/>
          <w:bCs/>
        </w:rPr>
        <w:t>Mandatory Requirements Doctrine</w:t>
      </w:r>
      <w:r w:rsidRPr="005B17E4">
        <w:t>: Indistinctly applicable measures can be justified if they pursue legitimate objectives (e.g., consumer protection, public health), provided they satisfy proportionality.</w:t>
      </w:r>
    </w:p>
    <w:p w14:paraId="31D75765" w14:textId="77777777" w:rsidR="00B75306" w:rsidRPr="005B17E4" w:rsidRDefault="00B75306" w:rsidP="00B75306">
      <w:pPr>
        <w:spacing w:before="100" w:beforeAutospacing="1" w:after="100" w:afterAutospacing="1"/>
      </w:pPr>
      <w:r w:rsidRPr="005B17E4">
        <w:t>Germany’s minimum alcohol content rule failed the proportionality test because labelling would be a less restrictive alternative.</w:t>
      </w:r>
    </w:p>
    <w:p w14:paraId="2D4094D6" w14:textId="77777777" w:rsidR="00B75306" w:rsidRPr="005B17E4" w:rsidRDefault="00B75306" w:rsidP="00B75306">
      <w:pPr>
        <w:spacing w:before="100" w:beforeAutospacing="1" w:after="100" w:afterAutospacing="1"/>
        <w:outlineLvl w:val="2"/>
        <w:rPr>
          <w:b/>
          <w:bCs/>
        </w:rPr>
      </w:pPr>
      <w:r w:rsidRPr="005B17E4">
        <w:rPr>
          <w:b/>
          <w:bCs/>
        </w:rPr>
        <w:t>Legal Importance</w:t>
      </w:r>
    </w:p>
    <w:p w14:paraId="219A92BC" w14:textId="77777777" w:rsidR="00B75306" w:rsidRPr="005B17E4" w:rsidRDefault="00B75306" w:rsidP="00B75306">
      <w:pPr>
        <w:numPr>
          <w:ilvl w:val="0"/>
          <w:numId w:val="64"/>
        </w:numPr>
        <w:spacing w:before="100" w:beforeAutospacing="1" w:after="100" w:afterAutospacing="1"/>
      </w:pPr>
      <w:r w:rsidRPr="005B17E4">
        <w:t xml:space="preserve">It shifted the focus from merely prohibiting discrimination to promoting </w:t>
      </w:r>
      <w:r w:rsidRPr="005B17E4">
        <w:rPr>
          <w:b/>
          <w:bCs/>
        </w:rPr>
        <w:t>market integration through mutual recognition</w:t>
      </w:r>
      <w:r w:rsidRPr="005B17E4">
        <w:t>.</w:t>
      </w:r>
    </w:p>
    <w:p w14:paraId="41FC0A97" w14:textId="77777777" w:rsidR="00B75306" w:rsidRPr="005B17E4" w:rsidRDefault="00B75306" w:rsidP="00B75306">
      <w:pPr>
        <w:numPr>
          <w:ilvl w:val="0"/>
          <w:numId w:val="64"/>
        </w:numPr>
        <w:spacing w:before="100" w:beforeAutospacing="1" w:after="100" w:afterAutospacing="1"/>
      </w:pPr>
      <w:r w:rsidRPr="005B17E4">
        <w:t xml:space="preserve">It established the open-ended </w:t>
      </w:r>
      <w:r w:rsidRPr="005B17E4">
        <w:rPr>
          <w:b/>
          <w:bCs/>
        </w:rPr>
        <w:t>mandatory requirements</w:t>
      </w:r>
      <w:r w:rsidRPr="005B17E4">
        <w:t xml:space="preserve"> allowing Member States to justify certain restrictions beyond Article 36 TFEU grounds.</w:t>
      </w:r>
    </w:p>
    <w:p w14:paraId="7D2F29F4" w14:textId="77777777" w:rsidR="00B75306" w:rsidRPr="005B17E4" w:rsidRDefault="00B75306" w:rsidP="00B75306">
      <w:pPr>
        <w:numPr>
          <w:ilvl w:val="0"/>
          <w:numId w:val="64"/>
        </w:numPr>
        <w:spacing w:before="100" w:beforeAutospacing="1" w:after="100" w:afterAutospacing="1"/>
      </w:pPr>
      <w:r w:rsidRPr="005B17E4">
        <w:t xml:space="preserve">It introduced a structured </w:t>
      </w:r>
      <w:r w:rsidRPr="005B17E4">
        <w:rPr>
          <w:b/>
          <w:bCs/>
        </w:rPr>
        <w:t>proportionality analysis</w:t>
      </w:r>
      <w:r w:rsidRPr="005B17E4">
        <w:t>: suitability, necessity, and least restrictive means.</w:t>
      </w:r>
    </w:p>
    <w:p w14:paraId="15697373" w14:textId="77777777" w:rsidR="00B75306" w:rsidRPr="005B17E4" w:rsidRDefault="00B75306" w:rsidP="00B75306">
      <w:pPr>
        <w:spacing w:before="100" w:beforeAutospacing="1" w:after="100" w:afterAutospacing="1"/>
        <w:outlineLvl w:val="2"/>
        <w:rPr>
          <w:b/>
          <w:bCs/>
        </w:rPr>
      </w:pPr>
      <w:r w:rsidRPr="005B17E4">
        <w:rPr>
          <w:b/>
          <w:bCs/>
        </w:rPr>
        <w:t>Why Important</w:t>
      </w:r>
    </w:p>
    <w:p w14:paraId="097EB55C" w14:textId="77777777" w:rsidR="00B75306" w:rsidRPr="005B17E4" w:rsidRDefault="00B75306" w:rsidP="00B75306">
      <w:pPr>
        <w:numPr>
          <w:ilvl w:val="0"/>
          <w:numId w:val="65"/>
        </w:numPr>
        <w:spacing w:before="100" w:beforeAutospacing="1" w:after="100" w:afterAutospacing="1"/>
      </w:pPr>
      <w:r w:rsidRPr="005B17E4">
        <w:rPr>
          <w:b/>
          <w:bCs/>
        </w:rPr>
        <w:t>Revolutionised free movement law</w:t>
      </w:r>
      <w:r w:rsidRPr="005B17E4">
        <w:t xml:space="preserve">: </w:t>
      </w:r>
      <w:r w:rsidRPr="005B17E4">
        <w:rPr>
          <w:i/>
          <w:iCs/>
        </w:rPr>
        <w:t>Cassis de Dijon</w:t>
      </w:r>
      <w:r w:rsidRPr="005B17E4">
        <w:t xml:space="preserve"> transformed the internal market from a purely negative obligation (no discrimination) into a positive obligation to accept products from other Member States.</w:t>
      </w:r>
    </w:p>
    <w:p w14:paraId="5D002ED6" w14:textId="77777777" w:rsidR="00B75306" w:rsidRPr="005B17E4" w:rsidRDefault="00B75306" w:rsidP="00B75306">
      <w:pPr>
        <w:numPr>
          <w:ilvl w:val="0"/>
          <w:numId w:val="65"/>
        </w:numPr>
        <w:spacing w:before="100" w:beforeAutospacing="1" w:after="100" w:afterAutospacing="1"/>
      </w:pPr>
      <w:r w:rsidRPr="005B17E4">
        <w:rPr>
          <w:b/>
          <w:bCs/>
        </w:rPr>
        <w:t>Enabled balancing of interests</w:t>
      </w:r>
      <w:r w:rsidRPr="005B17E4">
        <w:t>: It allowed legitimate national regulatory aims to coexist with free trade, promoting a more nuanced and sustainable internal market.</w:t>
      </w:r>
    </w:p>
    <w:p w14:paraId="6B11AC38" w14:textId="77777777" w:rsidR="00B75306" w:rsidRPr="005B17E4" w:rsidRDefault="00462D4E" w:rsidP="00B75306">
      <w:r w:rsidRPr="00462D4E">
        <w:rPr>
          <w:noProof/>
          <w14:ligatures w14:val="standardContextual"/>
        </w:rPr>
        <w:pict w14:anchorId="4E0CC968">
          <v:rect id="_x0000_i1033" alt="" style="width:451.3pt;height:.05pt;mso-width-percent:0;mso-height-percent:0;mso-width-percent:0;mso-height-percent:0" o:hralign="center" o:hrstd="t" o:hr="t" fillcolor="#a0a0a0" stroked="f"/>
        </w:pict>
      </w:r>
    </w:p>
    <w:p w14:paraId="2008D070" w14:textId="77777777" w:rsidR="00B75306" w:rsidRPr="005B17E4" w:rsidRDefault="00B75306" w:rsidP="00B75306">
      <w:pPr>
        <w:spacing w:before="100" w:beforeAutospacing="1" w:after="100" w:afterAutospacing="1"/>
        <w:outlineLvl w:val="1"/>
        <w:rPr>
          <w:b/>
          <w:bCs/>
        </w:rPr>
      </w:pPr>
      <w:r w:rsidRPr="005B17E4">
        <w:rPr>
          <w:b/>
          <w:bCs/>
        </w:rPr>
        <w:t xml:space="preserve">3. Keck and </w:t>
      </w:r>
      <w:proofErr w:type="spellStart"/>
      <w:r w:rsidRPr="005B17E4">
        <w:rPr>
          <w:b/>
          <w:bCs/>
        </w:rPr>
        <w:t>Mithouard</w:t>
      </w:r>
      <w:proofErr w:type="spellEnd"/>
      <w:r w:rsidRPr="005B17E4">
        <w:rPr>
          <w:b/>
          <w:bCs/>
        </w:rPr>
        <w:t xml:space="preserve"> (Joined Cases C-267/91 and C-268/91) [1993] ECR I-6097</w:t>
      </w:r>
    </w:p>
    <w:p w14:paraId="0D312857" w14:textId="77777777" w:rsidR="00B75306" w:rsidRPr="005B17E4" w:rsidRDefault="00B75306" w:rsidP="00B75306">
      <w:pPr>
        <w:spacing w:before="100" w:beforeAutospacing="1" w:after="100" w:afterAutospacing="1"/>
        <w:outlineLvl w:val="2"/>
        <w:rPr>
          <w:b/>
          <w:bCs/>
        </w:rPr>
      </w:pPr>
      <w:r w:rsidRPr="005B17E4">
        <w:rPr>
          <w:b/>
          <w:bCs/>
        </w:rPr>
        <w:t>Facts</w:t>
      </w:r>
    </w:p>
    <w:p w14:paraId="31E5484E" w14:textId="77777777" w:rsidR="00B75306" w:rsidRPr="005B17E4" w:rsidRDefault="00B75306" w:rsidP="00B75306">
      <w:pPr>
        <w:spacing w:before="100" w:beforeAutospacing="1" w:after="100" w:afterAutospacing="1"/>
      </w:pPr>
      <w:r w:rsidRPr="005B17E4">
        <w:t xml:space="preserve">French law prohibited the resale of goods at a loss. Keck and </w:t>
      </w:r>
      <w:proofErr w:type="spellStart"/>
      <w:r w:rsidRPr="005B17E4">
        <w:t>Mithouard</w:t>
      </w:r>
      <w:proofErr w:type="spellEnd"/>
      <w:r w:rsidRPr="005B17E4">
        <w:t xml:space="preserve"> were prosecuted for selling goods below purchase price and argued that the prohibition restricted trade under Article 34 TFEU.</w:t>
      </w:r>
    </w:p>
    <w:p w14:paraId="4413A2BD" w14:textId="77777777" w:rsidR="00B75306" w:rsidRPr="005B17E4" w:rsidRDefault="00B75306" w:rsidP="00B75306">
      <w:pPr>
        <w:spacing w:before="100" w:beforeAutospacing="1" w:after="100" w:afterAutospacing="1"/>
        <w:outlineLvl w:val="2"/>
        <w:rPr>
          <w:b/>
          <w:bCs/>
        </w:rPr>
      </w:pPr>
      <w:r w:rsidRPr="005B17E4">
        <w:rPr>
          <w:b/>
          <w:bCs/>
        </w:rPr>
        <w:t>Held</w:t>
      </w:r>
    </w:p>
    <w:p w14:paraId="405714A9" w14:textId="77777777" w:rsidR="00B75306" w:rsidRPr="005B17E4" w:rsidRDefault="00B75306" w:rsidP="00B75306">
      <w:pPr>
        <w:spacing w:before="100" w:beforeAutospacing="1" w:after="100" w:afterAutospacing="1"/>
      </w:pPr>
      <w:r w:rsidRPr="005B17E4">
        <w:t xml:space="preserve">The CJEU held that </w:t>
      </w:r>
      <w:r w:rsidRPr="005B17E4">
        <w:rPr>
          <w:b/>
          <w:bCs/>
        </w:rPr>
        <w:t>certain selling arrangements</w:t>
      </w:r>
      <w:r w:rsidRPr="005B17E4">
        <w:t xml:space="preserve"> fall outside Article 34 TFEU provided they:</w:t>
      </w:r>
    </w:p>
    <w:p w14:paraId="67C075BA" w14:textId="77777777" w:rsidR="00B75306" w:rsidRPr="005B17E4" w:rsidRDefault="00B75306" w:rsidP="00B75306">
      <w:pPr>
        <w:numPr>
          <w:ilvl w:val="0"/>
          <w:numId w:val="66"/>
        </w:numPr>
        <w:spacing w:before="100" w:beforeAutospacing="1" w:after="100" w:afterAutospacing="1"/>
      </w:pPr>
      <w:r w:rsidRPr="005B17E4">
        <w:lastRenderedPageBreak/>
        <w:t>Apply equally to all traders operating in the national territory; and</w:t>
      </w:r>
    </w:p>
    <w:p w14:paraId="5D7154B5" w14:textId="77777777" w:rsidR="00B75306" w:rsidRPr="005B17E4" w:rsidRDefault="00B75306" w:rsidP="00B75306">
      <w:pPr>
        <w:numPr>
          <w:ilvl w:val="0"/>
          <w:numId w:val="66"/>
        </w:numPr>
        <w:spacing w:before="100" w:beforeAutospacing="1" w:after="100" w:afterAutospacing="1"/>
      </w:pPr>
      <w:r w:rsidRPr="005B17E4">
        <w:t>Affect in the same manner, in law and in fact, the marketing of domestic and imported products.</w:t>
      </w:r>
    </w:p>
    <w:p w14:paraId="5FCB926C" w14:textId="77777777" w:rsidR="00B75306" w:rsidRPr="005B17E4" w:rsidRDefault="00B75306" w:rsidP="00B75306">
      <w:pPr>
        <w:spacing w:before="100" w:beforeAutospacing="1" w:after="100" w:afterAutospacing="1"/>
      </w:pPr>
      <w:r w:rsidRPr="005B17E4">
        <w:t>The French ban was classified as a lawful selling arrangement, not caught by Article 34.</w:t>
      </w:r>
    </w:p>
    <w:p w14:paraId="1FBD1DF1" w14:textId="77777777" w:rsidR="00B75306" w:rsidRPr="005B17E4" w:rsidRDefault="00B75306" w:rsidP="00B75306">
      <w:pPr>
        <w:spacing w:before="100" w:beforeAutospacing="1" w:after="100" w:afterAutospacing="1"/>
        <w:outlineLvl w:val="2"/>
        <w:rPr>
          <w:b/>
          <w:bCs/>
        </w:rPr>
      </w:pPr>
      <w:r w:rsidRPr="005B17E4">
        <w:rPr>
          <w:b/>
          <w:bCs/>
        </w:rPr>
        <w:t>Legal Importance</w:t>
      </w:r>
    </w:p>
    <w:p w14:paraId="35325ED3" w14:textId="77777777" w:rsidR="00B75306" w:rsidRPr="005B17E4" w:rsidRDefault="00B75306" w:rsidP="00B75306">
      <w:pPr>
        <w:numPr>
          <w:ilvl w:val="0"/>
          <w:numId w:val="67"/>
        </w:numPr>
        <w:spacing w:before="100" w:beforeAutospacing="1" w:after="100" w:afterAutospacing="1"/>
      </w:pPr>
      <w:r w:rsidRPr="005B17E4">
        <w:rPr>
          <w:b/>
          <w:bCs/>
        </w:rPr>
        <w:t>Clarified the scope of Article 34 TFEU</w:t>
      </w:r>
      <w:r w:rsidRPr="005B17E4">
        <w:t xml:space="preserve"> by distinguishing between product requirements (still subject to scrutiny) and selling arrangements (outside Article 34 if non-discriminatory).</w:t>
      </w:r>
    </w:p>
    <w:p w14:paraId="686C87F0" w14:textId="77777777" w:rsidR="00B75306" w:rsidRPr="005B17E4" w:rsidRDefault="00B75306" w:rsidP="00B75306">
      <w:pPr>
        <w:numPr>
          <w:ilvl w:val="0"/>
          <w:numId w:val="67"/>
        </w:numPr>
        <w:spacing w:before="100" w:beforeAutospacing="1" w:after="100" w:afterAutospacing="1"/>
      </w:pPr>
      <w:r w:rsidRPr="005B17E4">
        <w:rPr>
          <w:b/>
          <w:bCs/>
        </w:rPr>
        <w:t>Created a regulatory "safe zone"</w:t>
      </w:r>
      <w:r w:rsidRPr="005B17E4">
        <w:t xml:space="preserve"> for Member States regarding non-discriminatory trading rules.</w:t>
      </w:r>
    </w:p>
    <w:p w14:paraId="26A7E060" w14:textId="77777777" w:rsidR="00B75306" w:rsidRPr="005B17E4" w:rsidRDefault="00B75306" w:rsidP="00B75306">
      <w:pPr>
        <w:numPr>
          <w:ilvl w:val="0"/>
          <w:numId w:val="67"/>
        </w:numPr>
        <w:spacing w:before="100" w:beforeAutospacing="1" w:after="100" w:afterAutospacing="1"/>
      </w:pPr>
      <w:r w:rsidRPr="005B17E4">
        <w:t xml:space="preserve">Reduced the number of challenges to purely internal regulatory measures, correcting the overreach of </w:t>
      </w:r>
      <w:proofErr w:type="spellStart"/>
      <w:r w:rsidRPr="005B17E4">
        <w:rPr>
          <w:i/>
          <w:iCs/>
        </w:rPr>
        <w:t>Dassonville</w:t>
      </w:r>
      <w:proofErr w:type="spellEnd"/>
      <w:r w:rsidRPr="005B17E4">
        <w:t>.</w:t>
      </w:r>
    </w:p>
    <w:p w14:paraId="115782B8" w14:textId="77777777" w:rsidR="00B75306" w:rsidRPr="005B17E4" w:rsidRDefault="00B75306" w:rsidP="00B75306">
      <w:pPr>
        <w:spacing w:before="100" w:beforeAutospacing="1" w:after="100" w:afterAutospacing="1"/>
        <w:outlineLvl w:val="2"/>
        <w:rPr>
          <w:b/>
          <w:bCs/>
        </w:rPr>
      </w:pPr>
      <w:r w:rsidRPr="005B17E4">
        <w:rPr>
          <w:b/>
          <w:bCs/>
        </w:rPr>
        <w:t>Why Important</w:t>
      </w:r>
    </w:p>
    <w:p w14:paraId="653E7707" w14:textId="77777777" w:rsidR="00B75306" w:rsidRPr="005B17E4" w:rsidRDefault="00B75306" w:rsidP="00B75306">
      <w:pPr>
        <w:numPr>
          <w:ilvl w:val="0"/>
          <w:numId w:val="68"/>
        </w:numPr>
        <w:spacing w:before="100" w:beforeAutospacing="1" w:after="100" w:afterAutospacing="1"/>
      </w:pPr>
      <w:r w:rsidRPr="005B17E4">
        <w:rPr>
          <w:b/>
          <w:bCs/>
        </w:rPr>
        <w:t>Balanced free movement with Member State autonomy</w:t>
      </w:r>
      <w:r w:rsidRPr="005B17E4">
        <w:t xml:space="preserve">: </w:t>
      </w:r>
      <w:r w:rsidRPr="005B17E4">
        <w:rPr>
          <w:i/>
          <w:iCs/>
        </w:rPr>
        <w:t>Keck</w:t>
      </w:r>
      <w:r w:rsidRPr="005B17E4">
        <w:t xml:space="preserve"> protected the ability of Member States to regulate market practices (e.g., pricing, shop opening hours) without automatically breaching EU law.</w:t>
      </w:r>
    </w:p>
    <w:p w14:paraId="28692B80" w14:textId="77777777" w:rsidR="00B75306" w:rsidRPr="005B17E4" w:rsidRDefault="00B75306" w:rsidP="00B75306">
      <w:pPr>
        <w:numPr>
          <w:ilvl w:val="0"/>
          <w:numId w:val="68"/>
        </w:numPr>
        <w:spacing w:before="100" w:beforeAutospacing="1" w:after="100" w:afterAutospacing="1"/>
      </w:pPr>
      <w:r w:rsidRPr="005B17E4">
        <w:rPr>
          <w:b/>
          <w:bCs/>
        </w:rPr>
        <w:t>Brought clarity and predictability</w:t>
      </w:r>
      <w:r w:rsidRPr="005B17E4">
        <w:t>: It stabilised the scope of Article 34, though later cases exposed the limitations of this rigid distinction.</w:t>
      </w:r>
    </w:p>
    <w:p w14:paraId="65B68CD0" w14:textId="77777777" w:rsidR="00B75306" w:rsidRPr="005B17E4" w:rsidRDefault="00462D4E" w:rsidP="00B75306">
      <w:r>
        <w:rPr>
          <w:rFonts w:ascii="Arial" w:hAnsi="Arial"/>
          <w:lang w:val="en-GB"/>
        </w:rPr>
      </w:r>
      <w:r>
        <w:rPr>
          <w:rFonts w:ascii="Arial" w:hAnsi="Arial"/>
          <w:lang w:val="en-GB"/>
        </w:rPr>
        <w:pict w14:anchorId="5F9D1418">
          <v:rect id="Horizontal Line 31"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44F40F" w14:textId="77777777" w:rsidR="00B75306" w:rsidRPr="005B17E4" w:rsidRDefault="00B75306" w:rsidP="00B75306">
      <w:pPr>
        <w:spacing w:before="100" w:beforeAutospacing="1" w:after="100" w:afterAutospacing="1"/>
        <w:outlineLvl w:val="1"/>
        <w:rPr>
          <w:b/>
          <w:bCs/>
        </w:rPr>
      </w:pPr>
      <w:r w:rsidRPr="005B17E4">
        <w:rPr>
          <w:b/>
          <w:bCs/>
        </w:rPr>
        <w:t>4. Commission v Italy (Trailers) (Case C-110/05) [2009] ECR I-519</w:t>
      </w:r>
    </w:p>
    <w:p w14:paraId="1B53BDE4" w14:textId="77777777" w:rsidR="00B75306" w:rsidRPr="005B17E4" w:rsidRDefault="00B75306" w:rsidP="00B75306">
      <w:pPr>
        <w:spacing w:before="100" w:beforeAutospacing="1" w:after="100" w:afterAutospacing="1"/>
        <w:outlineLvl w:val="2"/>
        <w:rPr>
          <w:b/>
          <w:bCs/>
        </w:rPr>
      </w:pPr>
      <w:r w:rsidRPr="005B17E4">
        <w:rPr>
          <w:b/>
          <w:bCs/>
        </w:rPr>
        <w:t>Facts</w:t>
      </w:r>
    </w:p>
    <w:p w14:paraId="76A89084" w14:textId="77777777" w:rsidR="00B75306" w:rsidRPr="005B17E4" w:rsidRDefault="00B75306" w:rsidP="00B75306">
      <w:pPr>
        <w:spacing w:before="100" w:beforeAutospacing="1" w:after="100" w:afterAutospacing="1"/>
      </w:pPr>
      <w:r w:rsidRPr="005B17E4">
        <w:t>Italy prohibited motorcycles, mopeds, and similar vehicles from towing trailers on public roads. This effectively prevented the use of imported motorcycle trailers, impacting their marketability in Italy.</w:t>
      </w:r>
    </w:p>
    <w:p w14:paraId="3BBD1D1A" w14:textId="77777777" w:rsidR="00B75306" w:rsidRPr="005B17E4" w:rsidRDefault="00B75306" w:rsidP="00B75306">
      <w:pPr>
        <w:spacing w:before="100" w:beforeAutospacing="1" w:after="100" w:afterAutospacing="1"/>
        <w:outlineLvl w:val="2"/>
        <w:rPr>
          <w:b/>
          <w:bCs/>
        </w:rPr>
      </w:pPr>
      <w:r w:rsidRPr="005B17E4">
        <w:rPr>
          <w:b/>
          <w:bCs/>
        </w:rPr>
        <w:t>Held</w:t>
      </w:r>
    </w:p>
    <w:p w14:paraId="61123FBE" w14:textId="77777777" w:rsidR="00B75306" w:rsidRPr="005B17E4" w:rsidRDefault="00B75306" w:rsidP="00B75306">
      <w:pPr>
        <w:spacing w:before="100" w:beforeAutospacing="1" w:after="100" w:afterAutospacing="1"/>
      </w:pPr>
      <w:r w:rsidRPr="005B17E4">
        <w:t xml:space="preserve">The CJEU held that </w:t>
      </w:r>
      <w:r w:rsidRPr="005B17E4">
        <w:rPr>
          <w:b/>
          <w:bCs/>
        </w:rPr>
        <w:t>restrictions on the use of a product</w:t>
      </w:r>
      <w:r w:rsidRPr="005B17E4">
        <w:t xml:space="preserve"> can breach Article 34 TFEU if they substantially hinder market access, even if the rule is non-discriminatory. The measure’s justification on public safety grounds under Article 36 TFEU required a proportionality assessment, which was left for the national court.</w:t>
      </w:r>
    </w:p>
    <w:p w14:paraId="142438F0" w14:textId="77777777" w:rsidR="00B75306" w:rsidRPr="005B17E4" w:rsidRDefault="00B75306" w:rsidP="00B75306">
      <w:pPr>
        <w:spacing w:before="100" w:beforeAutospacing="1" w:after="100" w:afterAutospacing="1"/>
        <w:outlineLvl w:val="2"/>
        <w:rPr>
          <w:b/>
          <w:bCs/>
        </w:rPr>
      </w:pPr>
      <w:r w:rsidRPr="005B17E4">
        <w:rPr>
          <w:b/>
          <w:bCs/>
        </w:rPr>
        <w:t>Legal Importance</w:t>
      </w:r>
    </w:p>
    <w:p w14:paraId="4CA90BA7" w14:textId="77777777" w:rsidR="00B75306" w:rsidRPr="005B17E4" w:rsidRDefault="00B75306" w:rsidP="00B75306">
      <w:pPr>
        <w:numPr>
          <w:ilvl w:val="0"/>
          <w:numId w:val="69"/>
        </w:numPr>
        <w:spacing w:before="100" w:beforeAutospacing="1" w:after="100" w:afterAutospacing="1"/>
      </w:pPr>
      <w:r w:rsidRPr="005B17E4">
        <w:t xml:space="preserve">Extended the free movement analysis to </w:t>
      </w:r>
      <w:r w:rsidRPr="005B17E4">
        <w:rPr>
          <w:b/>
          <w:bCs/>
        </w:rPr>
        <w:t>restrictions on use</w:t>
      </w:r>
      <w:r w:rsidRPr="005B17E4">
        <w:t>, not merely sale or marketing.</w:t>
      </w:r>
    </w:p>
    <w:p w14:paraId="0C30F5EA" w14:textId="77777777" w:rsidR="00B75306" w:rsidRPr="005B17E4" w:rsidRDefault="00B75306" w:rsidP="00B75306">
      <w:pPr>
        <w:numPr>
          <w:ilvl w:val="0"/>
          <w:numId w:val="69"/>
        </w:numPr>
        <w:spacing w:before="100" w:beforeAutospacing="1" w:after="100" w:afterAutospacing="1"/>
      </w:pPr>
      <w:r w:rsidRPr="005B17E4">
        <w:t xml:space="preserve">Emphasised the </w:t>
      </w:r>
      <w:r w:rsidRPr="005B17E4">
        <w:rPr>
          <w:b/>
          <w:bCs/>
        </w:rPr>
        <w:t>market access test</w:t>
      </w:r>
      <w:r w:rsidRPr="005B17E4">
        <w:t>: where a measure substantially impedes access to the market for imported goods, it falls within Article 34 scrutiny.</w:t>
      </w:r>
    </w:p>
    <w:p w14:paraId="4D56C93B" w14:textId="77777777" w:rsidR="00B75306" w:rsidRPr="005B17E4" w:rsidRDefault="00B75306" w:rsidP="00B75306">
      <w:pPr>
        <w:numPr>
          <w:ilvl w:val="0"/>
          <w:numId w:val="69"/>
        </w:numPr>
        <w:spacing w:before="100" w:beforeAutospacing="1" w:after="100" w:afterAutospacing="1"/>
      </w:pPr>
      <w:r w:rsidRPr="005B17E4">
        <w:t xml:space="preserve">Shifted away from a rigid </w:t>
      </w:r>
      <w:r w:rsidRPr="005B17E4">
        <w:rPr>
          <w:i/>
          <w:iCs/>
        </w:rPr>
        <w:t>Keck</w:t>
      </w:r>
      <w:r w:rsidRPr="005B17E4">
        <w:t>-style categorisation towards a more flexible, effect-based approach.</w:t>
      </w:r>
    </w:p>
    <w:p w14:paraId="1572B141" w14:textId="77777777" w:rsidR="00B75306" w:rsidRPr="005B17E4" w:rsidRDefault="00B75306" w:rsidP="00B75306">
      <w:pPr>
        <w:spacing w:before="100" w:beforeAutospacing="1" w:after="100" w:afterAutospacing="1"/>
        <w:outlineLvl w:val="2"/>
        <w:rPr>
          <w:b/>
          <w:bCs/>
        </w:rPr>
      </w:pPr>
      <w:r w:rsidRPr="005B17E4">
        <w:rPr>
          <w:b/>
          <w:bCs/>
        </w:rPr>
        <w:lastRenderedPageBreak/>
        <w:t>Why Important</w:t>
      </w:r>
    </w:p>
    <w:p w14:paraId="6C06D5C4" w14:textId="77777777" w:rsidR="00B75306" w:rsidRPr="005B17E4" w:rsidRDefault="00B75306" w:rsidP="00B75306">
      <w:pPr>
        <w:numPr>
          <w:ilvl w:val="0"/>
          <w:numId w:val="70"/>
        </w:numPr>
        <w:spacing w:before="100" w:beforeAutospacing="1" w:after="100" w:afterAutospacing="1"/>
      </w:pPr>
      <w:r w:rsidRPr="005B17E4">
        <w:rPr>
          <w:b/>
          <w:bCs/>
        </w:rPr>
        <w:t>Modernised the free movement doctrine</w:t>
      </w:r>
      <w:r w:rsidRPr="005B17E4">
        <w:t xml:space="preserve">: </w:t>
      </w:r>
      <w:r w:rsidRPr="005B17E4">
        <w:rPr>
          <w:i/>
          <w:iCs/>
        </w:rPr>
        <w:t>Trailers</w:t>
      </w:r>
      <w:r w:rsidRPr="005B17E4">
        <w:t xml:space="preserve"> ensured that barriers to effective product use — not only barriers to sale — are recognised as obstacles to free movement.</w:t>
      </w:r>
    </w:p>
    <w:p w14:paraId="5D43A129" w14:textId="77777777" w:rsidR="00B75306" w:rsidRPr="005B17E4" w:rsidRDefault="00B75306" w:rsidP="00B75306">
      <w:pPr>
        <w:numPr>
          <w:ilvl w:val="0"/>
          <w:numId w:val="70"/>
        </w:numPr>
        <w:spacing w:before="100" w:beforeAutospacing="1" w:after="100" w:afterAutospacing="1"/>
      </w:pPr>
      <w:r w:rsidRPr="005B17E4">
        <w:rPr>
          <w:b/>
          <w:bCs/>
        </w:rPr>
        <w:t>Protected consumer choice and economic participation</w:t>
      </w:r>
      <w:r w:rsidRPr="005B17E4">
        <w:t>: By focusing on whether consumers are deterred from buying imported products, it strengthened the practical meaning of internal market freedoms.</w:t>
      </w:r>
    </w:p>
    <w:p w14:paraId="068A7D63" w14:textId="77777777" w:rsidR="00B75306" w:rsidRPr="005B17E4" w:rsidRDefault="00462D4E" w:rsidP="00B75306">
      <w:r>
        <w:rPr>
          <w:rFonts w:ascii="Arial" w:hAnsi="Arial"/>
          <w:lang w:val="en-GB"/>
        </w:rPr>
      </w:r>
      <w:r>
        <w:rPr>
          <w:rFonts w:ascii="Arial" w:hAnsi="Arial"/>
          <w:lang w:val="en-GB"/>
        </w:rPr>
        <w:pict w14:anchorId="6339AEE5">
          <v:rect id="Horizontal Line 32"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F8EA21" w14:textId="77777777" w:rsidR="00B75306" w:rsidRPr="005B17E4" w:rsidRDefault="00B75306" w:rsidP="00B75306">
      <w:pPr>
        <w:spacing w:before="100" w:beforeAutospacing="1" w:after="100" w:afterAutospacing="1"/>
        <w:outlineLvl w:val="1"/>
        <w:rPr>
          <w:b/>
          <w:bCs/>
        </w:rPr>
      </w:pPr>
      <w:r w:rsidRPr="005B17E4">
        <w:rPr>
          <w:b/>
          <w:bCs/>
        </w:rPr>
        <w:t xml:space="preserve">5. </w:t>
      </w:r>
      <w:proofErr w:type="spellStart"/>
      <w:r w:rsidRPr="005B17E4">
        <w:rPr>
          <w:b/>
          <w:bCs/>
        </w:rPr>
        <w:t>Mickelsson</w:t>
      </w:r>
      <w:proofErr w:type="spellEnd"/>
      <w:r w:rsidRPr="005B17E4">
        <w:rPr>
          <w:b/>
          <w:bCs/>
        </w:rPr>
        <w:t xml:space="preserve"> and </w:t>
      </w:r>
      <w:proofErr w:type="spellStart"/>
      <w:r w:rsidRPr="005B17E4">
        <w:rPr>
          <w:b/>
          <w:bCs/>
        </w:rPr>
        <w:t>Roos</w:t>
      </w:r>
      <w:proofErr w:type="spellEnd"/>
      <w:r w:rsidRPr="005B17E4">
        <w:rPr>
          <w:b/>
          <w:bCs/>
        </w:rPr>
        <w:t xml:space="preserve"> (Case C-142/05) [2009] ECR I-4273</w:t>
      </w:r>
    </w:p>
    <w:p w14:paraId="2D3A9914" w14:textId="77777777" w:rsidR="00B75306" w:rsidRPr="005B17E4" w:rsidRDefault="00B75306" w:rsidP="00B75306">
      <w:pPr>
        <w:spacing w:before="100" w:beforeAutospacing="1" w:after="100" w:afterAutospacing="1"/>
        <w:outlineLvl w:val="2"/>
        <w:rPr>
          <w:b/>
          <w:bCs/>
        </w:rPr>
      </w:pPr>
      <w:r w:rsidRPr="005B17E4">
        <w:rPr>
          <w:b/>
          <w:bCs/>
        </w:rPr>
        <w:t>Facts</w:t>
      </w:r>
    </w:p>
    <w:p w14:paraId="3C0F6ABC" w14:textId="77777777" w:rsidR="00B75306" w:rsidRPr="005B17E4" w:rsidRDefault="00B75306" w:rsidP="00B75306">
      <w:pPr>
        <w:spacing w:before="100" w:beforeAutospacing="1" w:after="100" w:afterAutospacing="1"/>
      </w:pPr>
      <w:r w:rsidRPr="005B17E4">
        <w:t xml:space="preserve">Swedish law restricted the use of personal watercraft (jet skis) to designated waterways, limiting where the goods could be operated. </w:t>
      </w:r>
      <w:proofErr w:type="spellStart"/>
      <w:r w:rsidRPr="005B17E4">
        <w:t>Mickelsson</w:t>
      </w:r>
      <w:proofErr w:type="spellEnd"/>
      <w:r w:rsidRPr="005B17E4">
        <w:t xml:space="preserve"> and </w:t>
      </w:r>
      <w:proofErr w:type="spellStart"/>
      <w:r w:rsidRPr="005B17E4">
        <w:t>Roos</w:t>
      </w:r>
      <w:proofErr w:type="spellEnd"/>
      <w:r w:rsidRPr="005B17E4">
        <w:t xml:space="preserve"> were prosecuted for using jet skis outside authorised areas. They challenged the rule under Article 34 TFEU.</w:t>
      </w:r>
    </w:p>
    <w:p w14:paraId="367E794D" w14:textId="77777777" w:rsidR="00B75306" w:rsidRPr="005B17E4" w:rsidRDefault="00B75306" w:rsidP="00B75306">
      <w:pPr>
        <w:spacing w:before="100" w:beforeAutospacing="1" w:after="100" w:afterAutospacing="1"/>
        <w:outlineLvl w:val="2"/>
        <w:rPr>
          <w:b/>
          <w:bCs/>
        </w:rPr>
      </w:pPr>
      <w:r w:rsidRPr="005B17E4">
        <w:rPr>
          <w:b/>
          <w:bCs/>
        </w:rPr>
        <w:t>Held</w:t>
      </w:r>
    </w:p>
    <w:p w14:paraId="2D0051FF" w14:textId="77777777" w:rsidR="00B75306" w:rsidRPr="005B17E4" w:rsidRDefault="00B75306" w:rsidP="00B75306">
      <w:pPr>
        <w:spacing w:before="100" w:beforeAutospacing="1" w:after="100" w:afterAutospacing="1"/>
      </w:pPr>
      <w:r w:rsidRPr="005B17E4">
        <w:t>The CJEU held that national rules severely limiting the use of a product can constitute MEQRs if they discourage consumers from buying and using the goods, thereby hindering market access. However, environmental protection is a legitimate justification under mandatory requirements, provided the restriction is proportionate.</w:t>
      </w:r>
    </w:p>
    <w:p w14:paraId="00566102" w14:textId="77777777" w:rsidR="00B75306" w:rsidRPr="005B17E4" w:rsidRDefault="00B75306" w:rsidP="00B75306">
      <w:pPr>
        <w:spacing w:before="100" w:beforeAutospacing="1" w:after="100" w:afterAutospacing="1"/>
        <w:outlineLvl w:val="2"/>
        <w:rPr>
          <w:b/>
          <w:bCs/>
        </w:rPr>
      </w:pPr>
      <w:r w:rsidRPr="005B17E4">
        <w:rPr>
          <w:b/>
          <w:bCs/>
        </w:rPr>
        <w:t>Legal Importance</w:t>
      </w:r>
    </w:p>
    <w:p w14:paraId="0CD43424" w14:textId="77777777" w:rsidR="00B75306" w:rsidRPr="005B17E4" w:rsidRDefault="00B75306" w:rsidP="00B75306">
      <w:pPr>
        <w:numPr>
          <w:ilvl w:val="0"/>
          <w:numId w:val="71"/>
        </w:numPr>
        <w:spacing w:before="100" w:beforeAutospacing="1" w:after="100" w:afterAutospacing="1"/>
      </w:pPr>
      <w:r w:rsidRPr="005B17E4">
        <w:rPr>
          <w:b/>
          <w:bCs/>
        </w:rPr>
        <w:t>Confirmed that use restrictions fall under Article 34 TFEU</w:t>
      </w:r>
      <w:r w:rsidRPr="005B17E4">
        <w:t xml:space="preserve"> if they have substantial hindering effects on market access.</w:t>
      </w:r>
    </w:p>
    <w:p w14:paraId="43E0F536" w14:textId="77777777" w:rsidR="00B75306" w:rsidRPr="005B17E4" w:rsidRDefault="00B75306" w:rsidP="00B75306">
      <w:pPr>
        <w:numPr>
          <w:ilvl w:val="0"/>
          <w:numId w:val="71"/>
        </w:numPr>
        <w:spacing w:before="100" w:beforeAutospacing="1" w:after="100" w:afterAutospacing="1"/>
      </w:pPr>
      <w:r w:rsidRPr="005B17E4">
        <w:rPr>
          <w:b/>
          <w:bCs/>
        </w:rPr>
        <w:t>Balanced environmental protection with trade freedom</w:t>
      </w:r>
      <w:r w:rsidRPr="005B17E4">
        <w:t xml:space="preserve"> by recognising that legitimate aims must still satisfy proportionality.</w:t>
      </w:r>
    </w:p>
    <w:p w14:paraId="282C004F" w14:textId="77777777" w:rsidR="00B75306" w:rsidRPr="005B17E4" w:rsidRDefault="00B75306" w:rsidP="00B75306">
      <w:pPr>
        <w:spacing w:before="100" w:beforeAutospacing="1" w:after="100" w:afterAutospacing="1"/>
        <w:outlineLvl w:val="2"/>
        <w:rPr>
          <w:b/>
          <w:bCs/>
        </w:rPr>
      </w:pPr>
      <w:r w:rsidRPr="005B17E4">
        <w:rPr>
          <w:b/>
          <w:bCs/>
        </w:rPr>
        <w:t>Why Important</w:t>
      </w:r>
    </w:p>
    <w:p w14:paraId="3B14B03D" w14:textId="77777777" w:rsidR="00B75306" w:rsidRPr="005B17E4" w:rsidRDefault="00B75306" w:rsidP="00B75306">
      <w:pPr>
        <w:numPr>
          <w:ilvl w:val="0"/>
          <w:numId w:val="72"/>
        </w:numPr>
        <w:spacing w:before="100" w:beforeAutospacing="1" w:after="100" w:afterAutospacing="1"/>
      </w:pPr>
      <w:r w:rsidRPr="005B17E4">
        <w:rPr>
          <w:b/>
          <w:bCs/>
        </w:rPr>
        <w:t>Reinforced and extended the market access principle</w:t>
      </w:r>
      <w:r w:rsidRPr="005B17E4">
        <w:t xml:space="preserve">: </w:t>
      </w:r>
      <w:proofErr w:type="spellStart"/>
      <w:r w:rsidRPr="005B17E4">
        <w:rPr>
          <w:i/>
          <w:iCs/>
        </w:rPr>
        <w:t>Mickelsson</w:t>
      </w:r>
      <w:proofErr w:type="spellEnd"/>
      <w:r w:rsidRPr="005B17E4">
        <w:rPr>
          <w:i/>
          <w:iCs/>
        </w:rPr>
        <w:t xml:space="preserve"> and </w:t>
      </w:r>
      <w:proofErr w:type="spellStart"/>
      <w:r w:rsidRPr="005B17E4">
        <w:rPr>
          <w:i/>
          <w:iCs/>
        </w:rPr>
        <w:t>Roos</w:t>
      </w:r>
      <w:proofErr w:type="spellEnd"/>
      <w:r w:rsidRPr="005B17E4">
        <w:t xml:space="preserve"> confirmed that internal market rights protect not only the ability to sell goods but also the meaningful ability to use them.</w:t>
      </w:r>
    </w:p>
    <w:p w14:paraId="2F4563AA" w14:textId="0478B2DA" w:rsidR="00B75306" w:rsidRDefault="00B75306" w:rsidP="00B75306">
      <w:pPr>
        <w:numPr>
          <w:ilvl w:val="0"/>
          <w:numId w:val="72"/>
        </w:numPr>
        <w:spacing w:before="100" w:beforeAutospacing="1" w:after="100" w:afterAutospacing="1"/>
      </w:pPr>
      <w:r w:rsidRPr="005B17E4">
        <w:rPr>
          <w:b/>
          <w:bCs/>
        </w:rPr>
        <w:t>Illustrated careful balancing</w:t>
      </w:r>
      <w:r w:rsidRPr="005B17E4">
        <w:t>: It showed that Member States can pursue important policy goals like environmental conservation, but must do so without unnecessarily obstructing the internal market.</w:t>
      </w:r>
    </w:p>
    <w:p w14:paraId="23E2F33A" w14:textId="77777777" w:rsidR="0077624A" w:rsidRDefault="0077624A" w:rsidP="0077624A">
      <w:pPr>
        <w:spacing w:before="100" w:beforeAutospacing="1" w:after="100" w:afterAutospacing="1"/>
      </w:pPr>
    </w:p>
    <w:p w14:paraId="583CC626" w14:textId="77777777" w:rsidR="0077624A" w:rsidRDefault="0077624A" w:rsidP="0077624A">
      <w:pPr>
        <w:spacing w:before="100" w:beforeAutospacing="1" w:after="100" w:afterAutospacing="1"/>
      </w:pPr>
    </w:p>
    <w:p w14:paraId="15A80FBB" w14:textId="77777777" w:rsidR="0077624A" w:rsidRDefault="0077624A" w:rsidP="0077624A">
      <w:pPr>
        <w:spacing w:before="100" w:beforeAutospacing="1" w:after="100" w:afterAutospacing="1"/>
      </w:pPr>
    </w:p>
    <w:p w14:paraId="4B97F078" w14:textId="77777777" w:rsidR="0077624A" w:rsidRPr="005B17E4" w:rsidRDefault="0077624A" w:rsidP="0077624A">
      <w:pPr>
        <w:spacing w:before="100" w:beforeAutospacing="1" w:after="100" w:afterAutospacing="1"/>
      </w:pPr>
    </w:p>
    <w:p w14:paraId="31570A2F" w14:textId="77777777" w:rsidR="005B17E4" w:rsidRPr="005B17E4" w:rsidRDefault="008E2E88" w:rsidP="005B17E4">
      <w:pPr>
        <w:pStyle w:val="NormalWeb"/>
        <w:numPr>
          <w:ilvl w:val="0"/>
          <w:numId w:val="1"/>
        </w:numPr>
        <w:outlineLvl w:val="1"/>
        <w:rPr>
          <w:b/>
          <w:bCs/>
        </w:rPr>
      </w:pPr>
      <w:r w:rsidRPr="005B17E4">
        <w:lastRenderedPageBreak/>
        <w:t xml:space="preserve">How are Vale and </w:t>
      </w:r>
      <w:proofErr w:type="spellStart"/>
      <w:r w:rsidRPr="005B17E4">
        <w:t>Polbud</w:t>
      </w:r>
      <w:proofErr w:type="spellEnd"/>
      <w:r w:rsidRPr="005B17E4">
        <w:t xml:space="preserve"> different from </w:t>
      </w:r>
      <w:proofErr w:type="spellStart"/>
      <w:r w:rsidRPr="005B17E4">
        <w:t>Centros</w:t>
      </w:r>
      <w:proofErr w:type="spellEnd"/>
      <w:r w:rsidRPr="005B17E4">
        <w:t xml:space="preserve"> and Daily Mail?  </w:t>
      </w:r>
    </w:p>
    <w:p w14:paraId="33B86B67" w14:textId="26B60E80" w:rsidR="005B17E4" w:rsidRPr="005B17E4" w:rsidRDefault="005B17E4" w:rsidP="005B17E4">
      <w:pPr>
        <w:pStyle w:val="NormalWeb"/>
        <w:outlineLvl w:val="1"/>
        <w:rPr>
          <w:b/>
          <w:bCs/>
        </w:rPr>
      </w:pPr>
      <w:r w:rsidRPr="005B17E4">
        <w:rPr>
          <w:b/>
          <w:bCs/>
        </w:rPr>
        <w:t>1. VALE (C-378/10)</w:t>
      </w:r>
    </w:p>
    <w:p w14:paraId="44FD2316" w14:textId="77777777" w:rsidR="005B17E4" w:rsidRPr="005B17E4" w:rsidRDefault="005B17E4" w:rsidP="005B17E4">
      <w:pPr>
        <w:spacing w:before="100" w:beforeAutospacing="1" w:after="100" w:afterAutospacing="1"/>
      </w:pPr>
      <w:r w:rsidRPr="005B17E4">
        <w:rPr>
          <w:b/>
          <w:bCs/>
        </w:rPr>
        <w:t>Facts:</w:t>
      </w:r>
      <w:r w:rsidRPr="005B17E4">
        <w:br/>
        <w:t xml:space="preserve">An Italian company, VALE </w:t>
      </w:r>
      <w:proofErr w:type="spellStart"/>
      <w:r w:rsidRPr="005B17E4">
        <w:t>Costruzioni</w:t>
      </w:r>
      <w:proofErr w:type="spellEnd"/>
      <w:r w:rsidRPr="005B17E4">
        <w:t xml:space="preserve"> </w:t>
      </w:r>
      <w:proofErr w:type="spellStart"/>
      <w:r w:rsidRPr="005B17E4">
        <w:t>Srl</w:t>
      </w:r>
      <w:proofErr w:type="spellEnd"/>
      <w:r w:rsidRPr="005B17E4">
        <w:t xml:space="preserve">, sought to reincorporate in Hungary as a Hungarian company (VALE </w:t>
      </w:r>
      <w:proofErr w:type="spellStart"/>
      <w:r w:rsidRPr="005B17E4">
        <w:t>Építési</w:t>
      </w:r>
      <w:proofErr w:type="spellEnd"/>
      <w:r w:rsidRPr="005B17E4">
        <w:t xml:space="preserve"> </w:t>
      </w:r>
      <w:proofErr w:type="spellStart"/>
      <w:r w:rsidRPr="005B17E4">
        <w:t>Kft</w:t>
      </w:r>
      <w:proofErr w:type="spellEnd"/>
      <w:r w:rsidRPr="005B17E4">
        <w:t>), following its removal from the Italian commercial register. Hungarian authorities refused to register the new entity, arguing that Hungarian law only allowed conversions for Hungarian companies.</w:t>
      </w:r>
    </w:p>
    <w:p w14:paraId="3E37E693" w14:textId="77777777" w:rsidR="005B17E4" w:rsidRPr="005B17E4" w:rsidRDefault="005B17E4" w:rsidP="005B17E4">
      <w:pPr>
        <w:spacing w:before="100" w:beforeAutospacing="1" w:after="100" w:afterAutospacing="1"/>
      </w:pPr>
      <w:r w:rsidRPr="005B17E4">
        <w:rPr>
          <w:b/>
          <w:bCs/>
        </w:rPr>
        <w:t>Holding:</w:t>
      </w:r>
      <w:r w:rsidRPr="005B17E4">
        <w:br/>
        <w:t>The CJEU held that Hungary’s refusal violated Articles 49 and 54 TFEU, as it constituted a restriction on the freedom of establishment. A host state must allow cross-border conversions if it permits equivalent domestic operations.</w:t>
      </w:r>
    </w:p>
    <w:p w14:paraId="0195583E" w14:textId="77777777" w:rsidR="005B17E4" w:rsidRPr="005B17E4" w:rsidRDefault="005B17E4" w:rsidP="005B17E4">
      <w:pPr>
        <w:spacing w:before="100" w:beforeAutospacing="1" w:after="100" w:afterAutospacing="1"/>
      </w:pPr>
      <w:r w:rsidRPr="005B17E4">
        <w:rPr>
          <w:b/>
          <w:bCs/>
        </w:rPr>
        <w:t>Significance and Principle:</w:t>
      </w:r>
      <w:r w:rsidRPr="005B17E4">
        <w:br/>
        <w:t xml:space="preserve">Established that host Member States must treat cross-border conversions on equal footing with domestic ones, applying the EU law principles of </w:t>
      </w:r>
      <w:r w:rsidRPr="005B17E4">
        <w:rPr>
          <w:b/>
          <w:bCs/>
        </w:rPr>
        <w:t>equivalence</w:t>
      </w:r>
      <w:r w:rsidRPr="005B17E4">
        <w:t xml:space="preserve"> and </w:t>
      </w:r>
      <w:r w:rsidRPr="005B17E4">
        <w:rPr>
          <w:b/>
          <w:bCs/>
        </w:rPr>
        <w:t>effectiveness</w:t>
      </w:r>
      <w:r w:rsidRPr="005B17E4">
        <w:t>. Reinforced the applicability of establishment rights to structural transformations of companies.</w:t>
      </w:r>
    </w:p>
    <w:p w14:paraId="5966F6E6" w14:textId="77777777" w:rsidR="005B17E4" w:rsidRPr="005B17E4" w:rsidRDefault="00462D4E" w:rsidP="005B17E4">
      <w:r w:rsidRPr="00462D4E">
        <w:rPr>
          <w:noProof/>
          <w14:ligatures w14:val="standardContextual"/>
        </w:rPr>
        <w:pict w14:anchorId="51CC8466">
          <v:rect id="_x0000_i1030" alt="" style="width:451.3pt;height:.05pt;mso-width-percent:0;mso-height-percent:0;mso-width-percent:0;mso-height-percent:0" o:hralign="center" o:hrstd="t" o:hr="t" fillcolor="#a0a0a0" stroked="f"/>
        </w:pict>
      </w:r>
    </w:p>
    <w:p w14:paraId="5E1AAE1F" w14:textId="77777777" w:rsidR="005B17E4" w:rsidRPr="005B17E4" w:rsidRDefault="005B17E4" w:rsidP="005B17E4">
      <w:pPr>
        <w:spacing w:before="100" w:beforeAutospacing="1" w:after="100" w:afterAutospacing="1"/>
        <w:outlineLvl w:val="2"/>
        <w:rPr>
          <w:b/>
          <w:bCs/>
        </w:rPr>
      </w:pPr>
      <w:r w:rsidRPr="005B17E4">
        <w:rPr>
          <w:b/>
          <w:bCs/>
        </w:rPr>
        <w:t xml:space="preserve">2. </w:t>
      </w:r>
      <w:proofErr w:type="spellStart"/>
      <w:r w:rsidRPr="005B17E4">
        <w:rPr>
          <w:b/>
          <w:bCs/>
        </w:rPr>
        <w:t>Polbud</w:t>
      </w:r>
      <w:proofErr w:type="spellEnd"/>
      <w:r w:rsidRPr="005B17E4">
        <w:rPr>
          <w:b/>
          <w:bCs/>
        </w:rPr>
        <w:t xml:space="preserve"> (C-106/16)</w:t>
      </w:r>
    </w:p>
    <w:p w14:paraId="4096B507" w14:textId="77777777" w:rsidR="005B17E4" w:rsidRPr="005B17E4" w:rsidRDefault="005B17E4" w:rsidP="005B17E4">
      <w:pPr>
        <w:spacing w:before="100" w:beforeAutospacing="1" w:after="100" w:afterAutospacing="1"/>
      </w:pPr>
      <w:r w:rsidRPr="005B17E4">
        <w:rPr>
          <w:b/>
          <w:bCs/>
        </w:rPr>
        <w:t>Facts:</w:t>
      </w:r>
      <w:r w:rsidRPr="005B17E4">
        <w:br/>
        <w:t xml:space="preserve">A Polish company, </w:t>
      </w:r>
      <w:proofErr w:type="spellStart"/>
      <w:r w:rsidRPr="005B17E4">
        <w:t>Polbud</w:t>
      </w:r>
      <w:proofErr w:type="spellEnd"/>
      <w:r w:rsidRPr="005B17E4">
        <w:t xml:space="preserve">, transferred its </w:t>
      </w:r>
      <w:r w:rsidRPr="005B17E4">
        <w:rPr>
          <w:b/>
          <w:bCs/>
        </w:rPr>
        <w:t>registered office</w:t>
      </w:r>
      <w:r w:rsidRPr="005B17E4">
        <w:t xml:space="preserve"> to Luxembourg to reincorporate there, while its real seat remained in Poland. Polish authorities refused to remove the company from the national register without formal </w:t>
      </w:r>
      <w:r w:rsidRPr="005B17E4">
        <w:rPr>
          <w:b/>
          <w:bCs/>
        </w:rPr>
        <w:t>liquidation</w:t>
      </w:r>
      <w:r w:rsidRPr="005B17E4">
        <w:t>, despite its continued existence abroad.</w:t>
      </w:r>
    </w:p>
    <w:p w14:paraId="70AB983E" w14:textId="77777777" w:rsidR="005B17E4" w:rsidRPr="005B17E4" w:rsidRDefault="005B17E4" w:rsidP="005B17E4">
      <w:pPr>
        <w:spacing w:before="100" w:beforeAutospacing="1" w:after="100" w:afterAutospacing="1"/>
      </w:pPr>
      <w:r w:rsidRPr="005B17E4">
        <w:rPr>
          <w:b/>
          <w:bCs/>
        </w:rPr>
        <w:t>Holding:</w:t>
      </w:r>
      <w:r w:rsidRPr="005B17E4">
        <w:br/>
        <w:t xml:space="preserve">The requirement to liquidate was held to be a </w:t>
      </w:r>
      <w:r w:rsidRPr="005B17E4">
        <w:rPr>
          <w:b/>
          <w:bCs/>
        </w:rPr>
        <w:t>disproportionate restriction</w:t>
      </w:r>
      <w:r w:rsidRPr="005B17E4">
        <w:t xml:space="preserve"> on the freedom of establishment under Articles 49 and 54 TFEU.</w:t>
      </w:r>
    </w:p>
    <w:p w14:paraId="01FC8667" w14:textId="77777777" w:rsidR="005B17E4" w:rsidRPr="005B17E4" w:rsidRDefault="005B17E4" w:rsidP="005B17E4">
      <w:pPr>
        <w:spacing w:before="100" w:beforeAutospacing="1" w:after="100" w:afterAutospacing="1"/>
      </w:pPr>
      <w:r w:rsidRPr="005B17E4">
        <w:rPr>
          <w:b/>
          <w:bCs/>
        </w:rPr>
        <w:t>Significance and Principle:</w:t>
      </w:r>
      <w:r w:rsidRPr="005B17E4">
        <w:br/>
        <w:t xml:space="preserve">Confirmed that the transfer of the registered office alone can trigger EU establishment rights, even without relocating the real seat or economic activity. </w:t>
      </w:r>
      <w:r w:rsidRPr="005B17E4">
        <w:rPr>
          <w:b/>
          <w:bCs/>
        </w:rPr>
        <w:t>Regulatory arbitrage</w:t>
      </w:r>
      <w:r w:rsidRPr="005B17E4">
        <w:t xml:space="preserve">—seeking favourable legal regimes—is not abusive unless </w:t>
      </w:r>
      <w:r w:rsidRPr="005B17E4">
        <w:rPr>
          <w:b/>
          <w:bCs/>
        </w:rPr>
        <w:t>actual fraud</w:t>
      </w:r>
      <w:r w:rsidRPr="005B17E4">
        <w:t xml:space="preserve"> is proven.</w:t>
      </w:r>
    </w:p>
    <w:p w14:paraId="4FBCC4E8" w14:textId="77777777" w:rsidR="005B17E4" w:rsidRPr="005B17E4" w:rsidRDefault="00462D4E" w:rsidP="005B17E4">
      <w:r w:rsidRPr="00462D4E">
        <w:rPr>
          <w:noProof/>
          <w14:ligatures w14:val="standardContextual"/>
        </w:rPr>
        <w:pict w14:anchorId="2E002787">
          <v:rect id="_x0000_i1029" alt="" style="width:451.3pt;height:.05pt;mso-width-percent:0;mso-height-percent:0;mso-width-percent:0;mso-height-percent:0" o:hralign="center" o:hrstd="t" o:hr="t" fillcolor="#a0a0a0" stroked="f"/>
        </w:pict>
      </w:r>
    </w:p>
    <w:p w14:paraId="17DAC78F" w14:textId="77777777" w:rsidR="005B17E4" w:rsidRPr="005B17E4" w:rsidRDefault="005B17E4" w:rsidP="005B17E4">
      <w:pPr>
        <w:spacing w:before="100" w:beforeAutospacing="1" w:after="100" w:afterAutospacing="1"/>
        <w:outlineLvl w:val="2"/>
        <w:rPr>
          <w:b/>
          <w:bCs/>
        </w:rPr>
      </w:pPr>
      <w:r w:rsidRPr="005B17E4">
        <w:rPr>
          <w:b/>
          <w:bCs/>
        </w:rPr>
        <w:t xml:space="preserve">3. </w:t>
      </w:r>
      <w:proofErr w:type="spellStart"/>
      <w:r w:rsidRPr="005B17E4">
        <w:rPr>
          <w:b/>
          <w:bCs/>
        </w:rPr>
        <w:t>Centros</w:t>
      </w:r>
      <w:proofErr w:type="spellEnd"/>
      <w:r w:rsidRPr="005B17E4">
        <w:rPr>
          <w:b/>
          <w:bCs/>
        </w:rPr>
        <w:t xml:space="preserve"> (C-212/97)</w:t>
      </w:r>
    </w:p>
    <w:p w14:paraId="3F268A2C" w14:textId="77777777" w:rsidR="005B17E4" w:rsidRPr="005B17E4" w:rsidRDefault="005B17E4" w:rsidP="005B17E4">
      <w:pPr>
        <w:spacing w:before="100" w:beforeAutospacing="1" w:after="100" w:afterAutospacing="1"/>
      </w:pPr>
      <w:r w:rsidRPr="005B17E4">
        <w:rPr>
          <w:b/>
          <w:bCs/>
        </w:rPr>
        <w:t>Facts:</w:t>
      </w:r>
      <w:r w:rsidRPr="005B17E4">
        <w:br/>
        <w:t>Two Danish nationals formed a UK company (</w:t>
      </w:r>
      <w:proofErr w:type="spellStart"/>
      <w:r w:rsidRPr="005B17E4">
        <w:t>Centros</w:t>
      </w:r>
      <w:proofErr w:type="spellEnd"/>
      <w:r w:rsidRPr="005B17E4">
        <w:t xml:space="preserve"> Ltd) and sought to register a </w:t>
      </w:r>
      <w:r w:rsidRPr="005B17E4">
        <w:rPr>
          <w:b/>
          <w:bCs/>
        </w:rPr>
        <w:t>branch</w:t>
      </w:r>
      <w:r w:rsidRPr="005B17E4">
        <w:t xml:space="preserve"> in Denmark to operate their business there, avoiding stricter Danish rules on minimum share capital. Danish authorities refused, alleging misuse of corporate form.</w:t>
      </w:r>
    </w:p>
    <w:p w14:paraId="448F8FED" w14:textId="77777777" w:rsidR="005B17E4" w:rsidRPr="005B17E4" w:rsidRDefault="005B17E4" w:rsidP="005B17E4">
      <w:pPr>
        <w:spacing w:before="100" w:beforeAutospacing="1" w:after="100" w:afterAutospacing="1"/>
      </w:pPr>
      <w:r w:rsidRPr="005B17E4">
        <w:rPr>
          <w:b/>
          <w:bCs/>
        </w:rPr>
        <w:lastRenderedPageBreak/>
        <w:t>Holding:</w:t>
      </w:r>
      <w:r w:rsidRPr="005B17E4">
        <w:br/>
        <w:t>The refusal violated the freedom of establishment. A company’s motive to benefit from more lenient incorporation rules elsewhere did not justify denial of branch registration.</w:t>
      </w:r>
    </w:p>
    <w:p w14:paraId="52915E0C" w14:textId="77777777" w:rsidR="005B17E4" w:rsidRPr="005B17E4" w:rsidRDefault="005B17E4" w:rsidP="005B17E4">
      <w:pPr>
        <w:spacing w:before="100" w:beforeAutospacing="1" w:after="100" w:afterAutospacing="1"/>
      </w:pPr>
      <w:r w:rsidRPr="005B17E4">
        <w:rPr>
          <w:b/>
          <w:bCs/>
        </w:rPr>
        <w:t>Significance and Principle:</w:t>
      </w:r>
      <w:r w:rsidRPr="005B17E4">
        <w:br/>
        <w:t xml:space="preserve">Established that </w:t>
      </w:r>
      <w:r w:rsidRPr="005B17E4">
        <w:rPr>
          <w:b/>
          <w:bCs/>
        </w:rPr>
        <w:t>secondary establishment</w:t>
      </w:r>
      <w:r w:rsidRPr="005B17E4">
        <w:t xml:space="preserve"> (e.g. branches) is protected by EU law, and that forming a company in another Member State for the purpose of benefiting from more advantageous regulations is a </w:t>
      </w:r>
      <w:r w:rsidRPr="005B17E4">
        <w:rPr>
          <w:b/>
          <w:bCs/>
        </w:rPr>
        <w:t>legitimate use</w:t>
      </w:r>
      <w:r w:rsidRPr="005B17E4">
        <w:t xml:space="preserve"> of Treaty rights, not an abuse in itself.</w:t>
      </w:r>
    </w:p>
    <w:p w14:paraId="2DD1E23B" w14:textId="77777777" w:rsidR="005B17E4" w:rsidRPr="005B17E4" w:rsidRDefault="00462D4E" w:rsidP="005B17E4">
      <w:r w:rsidRPr="00462D4E">
        <w:rPr>
          <w:noProof/>
          <w14:ligatures w14:val="standardContextual"/>
        </w:rPr>
        <w:pict w14:anchorId="56F94427">
          <v:rect id="_x0000_i1028" alt="" style="width:451.3pt;height:.05pt;mso-width-percent:0;mso-height-percent:0;mso-width-percent:0;mso-height-percent:0" o:hralign="center" o:hrstd="t" o:hr="t" fillcolor="#a0a0a0" stroked="f"/>
        </w:pict>
      </w:r>
    </w:p>
    <w:p w14:paraId="67E0AC2D" w14:textId="77777777" w:rsidR="005B17E4" w:rsidRPr="005B17E4" w:rsidRDefault="005B17E4" w:rsidP="005B17E4">
      <w:pPr>
        <w:spacing w:before="100" w:beforeAutospacing="1" w:after="100" w:afterAutospacing="1"/>
        <w:outlineLvl w:val="2"/>
        <w:rPr>
          <w:b/>
          <w:bCs/>
        </w:rPr>
      </w:pPr>
      <w:r w:rsidRPr="005B17E4">
        <w:rPr>
          <w:b/>
          <w:bCs/>
        </w:rPr>
        <w:t>4. Daily Mail (C-81/87)</w:t>
      </w:r>
    </w:p>
    <w:p w14:paraId="313A23C6" w14:textId="77777777" w:rsidR="005B17E4" w:rsidRPr="005B17E4" w:rsidRDefault="005B17E4" w:rsidP="005B17E4">
      <w:pPr>
        <w:spacing w:before="100" w:beforeAutospacing="1" w:after="100" w:afterAutospacing="1"/>
      </w:pPr>
      <w:r w:rsidRPr="005B17E4">
        <w:rPr>
          <w:b/>
          <w:bCs/>
        </w:rPr>
        <w:t>Facts:</w:t>
      </w:r>
      <w:r w:rsidRPr="005B17E4">
        <w:br/>
        <w:t xml:space="preserve">A UK-incorporated company sought to move its </w:t>
      </w:r>
      <w:r w:rsidRPr="005B17E4">
        <w:rPr>
          <w:b/>
          <w:bCs/>
        </w:rPr>
        <w:t>central management and control</w:t>
      </w:r>
      <w:r w:rsidRPr="005B17E4">
        <w:t xml:space="preserve"> to the Netherlands for tax reasons while retaining its legal incorporation in the UK. The UK Treasury required prior consent for such outbound seat transfers.</w:t>
      </w:r>
    </w:p>
    <w:p w14:paraId="1E7B2C36" w14:textId="77777777" w:rsidR="005B17E4" w:rsidRPr="005B17E4" w:rsidRDefault="005B17E4" w:rsidP="005B17E4">
      <w:pPr>
        <w:spacing w:before="100" w:beforeAutospacing="1" w:after="100" w:afterAutospacing="1"/>
      </w:pPr>
      <w:r w:rsidRPr="005B17E4">
        <w:rPr>
          <w:b/>
          <w:bCs/>
        </w:rPr>
        <w:t>Holding:</w:t>
      </w:r>
      <w:r w:rsidRPr="005B17E4">
        <w:br/>
        <w:t>The CJEU upheld the UK’s restriction, ruling that Articles 52 and 58 EEC (now 49 and 54 TFEU) did not confer a right to transfer a company's real seat to another Member State while maintaining legal personality under the original incorporation.</w:t>
      </w:r>
    </w:p>
    <w:p w14:paraId="765BDFD1" w14:textId="77777777" w:rsidR="005B17E4" w:rsidRPr="005B17E4" w:rsidRDefault="005B17E4" w:rsidP="005B17E4">
      <w:pPr>
        <w:spacing w:before="100" w:beforeAutospacing="1" w:after="100" w:afterAutospacing="1"/>
      </w:pPr>
      <w:r w:rsidRPr="005B17E4">
        <w:rPr>
          <w:b/>
          <w:bCs/>
        </w:rPr>
        <w:t>Significance and Principle:</w:t>
      </w:r>
      <w:r w:rsidRPr="005B17E4">
        <w:br/>
        <w:t xml:space="preserve">Recognised the </w:t>
      </w:r>
      <w:r w:rsidRPr="005B17E4">
        <w:rPr>
          <w:b/>
          <w:bCs/>
        </w:rPr>
        <w:t>autonomy of Member States</w:t>
      </w:r>
      <w:r w:rsidRPr="005B17E4">
        <w:t xml:space="preserve"> in determining company law connecting factors in the absence of EU harmonisation. Freedom of establishment does </w:t>
      </w:r>
      <w:r w:rsidRPr="005B17E4">
        <w:rPr>
          <w:b/>
          <w:bCs/>
        </w:rPr>
        <w:t>not guarantee the right to move a company’s real seat</w:t>
      </w:r>
      <w:r w:rsidRPr="005B17E4">
        <w:t xml:space="preserve"> across borders while preserving its legal identity.</w:t>
      </w:r>
    </w:p>
    <w:p w14:paraId="3A863E63" w14:textId="5A8D5598" w:rsidR="005B17E4" w:rsidRPr="005B17E4" w:rsidRDefault="005B17E4" w:rsidP="00E97DD1">
      <w:pPr>
        <w:spacing w:before="100" w:beforeAutospacing="1" w:after="100" w:afterAutospacing="1"/>
        <w:outlineLvl w:val="2"/>
        <w:rPr>
          <w:b/>
          <w:bCs/>
        </w:rPr>
      </w:pPr>
      <w:r w:rsidRPr="005B17E4">
        <w:rPr>
          <w:b/>
          <w:bCs/>
        </w:rPr>
        <w:t xml:space="preserve">Differences </w:t>
      </w:r>
    </w:p>
    <w:p w14:paraId="59E25EB8" w14:textId="77777777" w:rsidR="005B17E4" w:rsidRPr="005B17E4" w:rsidRDefault="005B17E4" w:rsidP="005B17E4">
      <w:pPr>
        <w:spacing w:before="100" w:beforeAutospacing="1" w:after="100" w:afterAutospacing="1"/>
        <w:outlineLvl w:val="2"/>
        <w:rPr>
          <w:b/>
          <w:bCs/>
        </w:rPr>
      </w:pPr>
      <w:r w:rsidRPr="005B17E4">
        <w:rPr>
          <w:b/>
          <w:bCs/>
        </w:rPr>
        <w:t>1. Type of Corporate Mobility: Legal Transformation vs. Operational Expansion</w:t>
      </w:r>
    </w:p>
    <w:p w14:paraId="5C58AA82" w14:textId="77777777" w:rsidR="005B17E4" w:rsidRPr="005B17E4" w:rsidRDefault="005B17E4" w:rsidP="005B17E4">
      <w:pPr>
        <w:numPr>
          <w:ilvl w:val="0"/>
          <w:numId w:val="91"/>
        </w:numPr>
        <w:spacing w:before="100" w:beforeAutospacing="1" w:after="100" w:afterAutospacing="1"/>
      </w:pPr>
      <w:r w:rsidRPr="005B17E4">
        <w:rPr>
          <w:i/>
          <w:iCs/>
        </w:rPr>
        <w:t>VALE</w:t>
      </w:r>
      <w:r w:rsidRPr="005B17E4">
        <w:t xml:space="preserve"> and </w:t>
      </w:r>
      <w:proofErr w:type="spellStart"/>
      <w:r w:rsidRPr="005B17E4">
        <w:rPr>
          <w:i/>
          <w:iCs/>
        </w:rPr>
        <w:t>Polbud</w:t>
      </w:r>
      <w:proofErr w:type="spellEnd"/>
      <w:r w:rsidRPr="005B17E4">
        <w:t xml:space="preserve"> address </w:t>
      </w:r>
      <w:r w:rsidRPr="005B17E4">
        <w:rPr>
          <w:b/>
          <w:bCs/>
        </w:rPr>
        <w:t>cross-border conversions</w:t>
      </w:r>
      <w:r w:rsidRPr="005B17E4">
        <w:t>—where a company seeks to end its existence under one national law and reincorporate under another while maintaining legal identity.</w:t>
      </w:r>
    </w:p>
    <w:p w14:paraId="50922C1F" w14:textId="77777777" w:rsidR="005B17E4" w:rsidRPr="005B17E4" w:rsidRDefault="005B17E4" w:rsidP="005B17E4">
      <w:pPr>
        <w:numPr>
          <w:ilvl w:val="0"/>
          <w:numId w:val="91"/>
        </w:numPr>
        <w:spacing w:before="100" w:beforeAutospacing="1" w:after="100" w:afterAutospacing="1"/>
      </w:pPr>
      <w:proofErr w:type="spellStart"/>
      <w:r w:rsidRPr="005B17E4">
        <w:rPr>
          <w:i/>
          <w:iCs/>
        </w:rPr>
        <w:t>Centros</w:t>
      </w:r>
      <w:proofErr w:type="spellEnd"/>
      <w:r w:rsidRPr="005B17E4">
        <w:t xml:space="preserve"> involves a </w:t>
      </w:r>
      <w:r w:rsidRPr="005B17E4">
        <w:rPr>
          <w:b/>
          <w:bCs/>
        </w:rPr>
        <w:t>secondary establishment</w:t>
      </w:r>
      <w:r w:rsidRPr="005B17E4">
        <w:t>: a company remains governed by its state of incorporation but opens a branch elsewhere.</w:t>
      </w:r>
    </w:p>
    <w:p w14:paraId="12B37483" w14:textId="77777777" w:rsidR="005B17E4" w:rsidRPr="005B17E4" w:rsidRDefault="005B17E4" w:rsidP="005B17E4">
      <w:pPr>
        <w:numPr>
          <w:ilvl w:val="0"/>
          <w:numId w:val="91"/>
        </w:numPr>
        <w:spacing w:before="100" w:beforeAutospacing="1" w:after="100" w:afterAutospacing="1"/>
      </w:pPr>
      <w:r w:rsidRPr="005B17E4">
        <w:rPr>
          <w:i/>
          <w:iCs/>
        </w:rPr>
        <w:t>Daily Mail</w:t>
      </w:r>
      <w:r w:rsidRPr="005B17E4">
        <w:t xml:space="preserve"> concerns </w:t>
      </w:r>
      <w:proofErr w:type="spellStart"/>
      <w:r w:rsidRPr="005B17E4">
        <w:t>an</w:t>
      </w:r>
      <w:proofErr w:type="spellEnd"/>
      <w:r w:rsidRPr="005B17E4">
        <w:t xml:space="preserve"> </w:t>
      </w:r>
      <w:r w:rsidRPr="005B17E4">
        <w:rPr>
          <w:b/>
          <w:bCs/>
        </w:rPr>
        <w:t>outbound transfer of central management</w:t>
      </w:r>
      <w:r w:rsidRPr="005B17E4">
        <w:t xml:space="preserve"> (the "real seat") without any change to the company’s incorporation status or applicable law.</w:t>
      </w:r>
    </w:p>
    <w:p w14:paraId="78D3FFE8" w14:textId="39F05E85" w:rsidR="005B17E4" w:rsidRPr="005B17E4" w:rsidRDefault="005B17E4" w:rsidP="005B17E4">
      <w:pPr>
        <w:spacing w:before="100" w:beforeAutospacing="1" w:after="100" w:afterAutospacing="1"/>
      </w:pPr>
      <w:r w:rsidRPr="005B17E4">
        <w:rPr>
          <w:b/>
          <w:bCs/>
        </w:rPr>
        <w:t>Key Difference:</w:t>
      </w:r>
      <w:r w:rsidRPr="005B17E4">
        <w:br/>
      </w:r>
      <w:r w:rsidRPr="005B17E4">
        <w:rPr>
          <w:i/>
          <w:iCs/>
        </w:rPr>
        <w:t>VALE</w:t>
      </w:r>
      <w:r w:rsidRPr="005B17E4">
        <w:t xml:space="preserve"> and </w:t>
      </w:r>
      <w:proofErr w:type="spellStart"/>
      <w:r w:rsidRPr="005B17E4">
        <w:rPr>
          <w:i/>
          <w:iCs/>
        </w:rPr>
        <w:t>Polbud</w:t>
      </w:r>
      <w:proofErr w:type="spellEnd"/>
      <w:r w:rsidRPr="005B17E4">
        <w:t xml:space="preserve"> deal with a company’s desire to change the </w:t>
      </w:r>
      <w:r w:rsidRPr="005B17E4">
        <w:rPr>
          <w:b/>
          <w:bCs/>
        </w:rPr>
        <w:t>legal system governing its incorporation</w:t>
      </w:r>
      <w:r w:rsidRPr="005B17E4">
        <w:t xml:space="preserve">—they seek a full transformation of legal identity across borders. In contrast, </w:t>
      </w:r>
      <w:proofErr w:type="spellStart"/>
      <w:r w:rsidRPr="005B17E4">
        <w:rPr>
          <w:i/>
          <w:iCs/>
        </w:rPr>
        <w:t>Centros</w:t>
      </w:r>
      <w:proofErr w:type="spellEnd"/>
      <w:r w:rsidRPr="005B17E4">
        <w:t xml:space="preserve"> is about a company expanding </w:t>
      </w:r>
      <w:r w:rsidRPr="005B17E4">
        <w:rPr>
          <w:b/>
          <w:bCs/>
        </w:rPr>
        <w:t>operations</w:t>
      </w:r>
      <w:r w:rsidRPr="005B17E4">
        <w:t xml:space="preserve"> without changing its legal home, while </w:t>
      </w:r>
      <w:r w:rsidRPr="005B17E4">
        <w:rPr>
          <w:i/>
          <w:iCs/>
        </w:rPr>
        <w:t>Daily Mail</w:t>
      </w:r>
      <w:r w:rsidRPr="005B17E4">
        <w:t xml:space="preserve"> concerns a company that moves its </w:t>
      </w:r>
      <w:r w:rsidRPr="005B17E4">
        <w:rPr>
          <w:b/>
          <w:bCs/>
        </w:rPr>
        <w:t>head office</w:t>
      </w:r>
      <w:r w:rsidRPr="005B17E4">
        <w:t xml:space="preserve"> abroad but wishes to stay legally bound to its original incorporation.</w:t>
      </w:r>
    </w:p>
    <w:p w14:paraId="780D6143" w14:textId="77777777" w:rsidR="005B17E4" w:rsidRPr="005B17E4" w:rsidRDefault="005B17E4" w:rsidP="005B17E4">
      <w:pPr>
        <w:spacing w:before="100" w:beforeAutospacing="1" w:after="100" w:afterAutospacing="1"/>
        <w:outlineLvl w:val="2"/>
        <w:rPr>
          <w:b/>
          <w:bCs/>
        </w:rPr>
      </w:pPr>
      <w:r w:rsidRPr="005B17E4">
        <w:rPr>
          <w:b/>
          <w:bCs/>
        </w:rPr>
        <w:t>2. Restricting State: Host State vs. Origin State Restrictions</w:t>
      </w:r>
    </w:p>
    <w:p w14:paraId="34593C74" w14:textId="77777777" w:rsidR="005B17E4" w:rsidRPr="005B17E4" w:rsidRDefault="005B17E4" w:rsidP="005B17E4">
      <w:pPr>
        <w:numPr>
          <w:ilvl w:val="0"/>
          <w:numId w:val="92"/>
        </w:numPr>
        <w:spacing w:before="100" w:beforeAutospacing="1" w:after="100" w:afterAutospacing="1"/>
      </w:pPr>
      <w:r w:rsidRPr="005B17E4">
        <w:rPr>
          <w:i/>
          <w:iCs/>
        </w:rPr>
        <w:lastRenderedPageBreak/>
        <w:t>VALE</w:t>
      </w:r>
      <w:r w:rsidRPr="005B17E4">
        <w:t xml:space="preserve"> and </w:t>
      </w:r>
      <w:proofErr w:type="spellStart"/>
      <w:r w:rsidRPr="005B17E4">
        <w:rPr>
          <w:i/>
          <w:iCs/>
        </w:rPr>
        <w:t>Centros</w:t>
      </w:r>
      <w:proofErr w:type="spellEnd"/>
      <w:r w:rsidRPr="005B17E4">
        <w:t xml:space="preserve"> involve restrictions </w:t>
      </w:r>
      <w:r w:rsidRPr="005B17E4">
        <w:rPr>
          <w:b/>
          <w:bCs/>
        </w:rPr>
        <w:t>imposed by the host state</w:t>
      </w:r>
      <w:r w:rsidRPr="005B17E4">
        <w:t>—the country receiving the company.</w:t>
      </w:r>
    </w:p>
    <w:p w14:paraId="5E710462" w14:textId="77777777" w:rsidR="005B17E4" w:rsidRPr="005B17E4" w:rsidRDefault="005B17E4" w:rsidP="005B17E4">
      <w:pPr>
        <w:numPr>
          <w:ilvl w:val="0"/>
          <w:numId w:val="92"/>
        </w:numPr>
        <w:spacing w:before="100" w:beforeAutospacing="1" w:after="100" w:afterAutospacing="1"/>
      </w:pPr>
      <w:proofErr w:type="spellStart"/>
      <w:r w:rsidRPr="005B17E4">
        <w:rPr>
          <w:i/>
          <w:iCs/>
        </w:rPr>
        <w:t>Polbud</w:t>
      </w:r>
      <w:proofErr w:type="spellEnd"/>
      <w:r w:rsidRPr="005B17E4">
        <w:t xml:space="preserve"> and </w:t>
      </w:r>
      <w:r w:rsidRPr="005B17E4">
        <w:rPr>
          <w:i/>
          <w:iCs/>
        </w:rPr>
        <w:t>Daily Mail</w:t>
      </w:r>
      <w:r w:rsidRPr="005B17E4">
        <w:t xml:space="preserve"> involve restrictions </w:t>
      </w:r>
      <w:r w:rsidRPr="005B17E4">
        <w:rPr>
          <w:b/>
          <w:bCs/>
        </w:rPr>
        <w:t>imposed by the origin state</w:t>
      </w:r>
      <w:r w:rsidRPr="005B17E4">
        <w:t>—the country the company seeks to leave.</w:t>
      </w:r>
    </w:p>
    <w:p w14:paraId="1D894533" w14:textId="481DA42D" w:rsidR="005B17E4" w:rsidRPr="005B17E4" w:rsidRDefault="005B17E4" w:rsidP="005B17E4">
      <w:pPr>
        <w:spacing w:before="100" w:beforeAutospacing="1" w:after="100" w:afterAutospacing="1"/>
      </w:pPr>
      <w:r w:rsidRPr="005B17E4">
        <w:rPr>
          <w:b/>
          <w:bCs/>
        </w:rPr>
        <w:t>Key Difference:</w:t>
      </w:r>
      <w:r w:rsidRPr="005B17E4">
        <w:br/>
        <w:t xml:space="preserve">In </w:t>
      </w:r>
      <w:r w:rsidRPr="005B17E4">
        <w:rPr>
          <w:i/>
          <w:iCs/>
        </w:rPr>
        <w:t>VALE</w:t>
      </w:r>
      <w:r w:rsidRPr="005B17E4">
        <w:t xml:space="preserve"> and </w:t>
      </w:r>
      <w:proofErr w:type="spellStart"/>
      <w:r w:rsidRPr="005B17E4">
        <w:rPr>
          <w:i/>
          <w:iCs/>
        </w:rPr>
        <w:t>Centros</w:t>
      </w:r>
      <w:proofErr w:type="spellEnd"/>
      <w:r w:rsidRPr="005B17E4">
        <w:t xml:space="preserve">, the issue is whether the host state must admit foreign companies under EU law. In </w:t>
      </w:r>
      <w:proofErr w:type="spellStart"/>
      <w:r w:rsidRPr="005B17E4">
        <w:rPr>
          <w:i/>
          <w:iCs/>
        </w:rPr>
        <w:t>Polbud</w:t>
      </w:r>
      <w:proofErr w:type="spellEnd"/>
      <w:r w:rsidRPr="005B17E4">
        <w:t xml:space="preserve"> and </w:t>
      </w:r>
      <w:r w:rsidRPr="005B17E4">
        <w:rPr>
          <w:i/>
          <w:iCs/>
        </w:rPr>
        <w:t>Daily Mail</w:t>
      </w:r>
      <w:r w:rsidRPr="005B17E4">
        <w:t xml:space="preserve">, the issue is whether the origin state can </w:t>
      </w:r>
      <w:r w:rsidRPr="005B17E4">
        <w:rPr>
          <w:b/>
          <w:bCs/>
        </w:rPr>
        <w:t>legally obstruct a company’s departure</w:t>
      </w:r>
      <w:r w:rsidRPr="005B17E4">
        <w:t xml:space="preserve">. Crucially, </w:t>
      </w:r>
      <w:proofErr w:type="spellStart"/>
      <w:r w:rsidRPr="005B17E4">
        <w:rPr>
          <w:i/>
          <w:iCs/>
        </w:rPr>
        <w:t>Polbud</w:t>
      </w:r>
      <w:proofErr w:type="spellEnd"/>
      <w:r w:rsidRPr="005B17E4">
        <w:t xml:space="preserve"> limits the ability of origin states to impose exit barriers, while </w:t>
      </w:r>
      <w:r w:rsidRPr="005B17E4">
        <w:rPr>
          <w:i/>
          <w:iCs/>
        </w:rPr>
        <w:t>Daily Mail</w:t>
      </w:r>
      <w:r w:rsidRPr="005B17E4">
        <w:t xml:space="preserve"> upholds that power—showing a sharp contrast in how the Court treats outbound mobility.</w:t>
      </w:r>
    </w:p>
    <w:p w14:paraId="363071C5" w14:textId="77777777" w:rsidR="005B17E4" w:rsidRPr="005B17E4" w:rsidRDefault="005B17E4" w:rsidP="005B17E4">
      <w:pPr>
        <w:spacing w:before="100" w:beforeAutospacing="1" w:after="100" w:afterAutospacing="1"/>
        <w:outlineLvl w:val="2"/>
        <w:rPr>
          <w:b/>
          <w:bCs/>
        </w:rPr>
      </w:pPr>
      <w:r w:rsidRPr="005B17E4">
        <w:rPr>
          <w:b/>
          <w:bCs/>
        </w:rPr>
        <w:t>3. Scope of Freedom of Establishment: Narrow vs. Expansive Interpretation</w:t>
      </w:r>
    </w:p>
    <w:p w14:paraId="7B896DE7" w14:textId="77777777" w:rsidR="005B17E4" w:rsidRPr="005B17E4" w:rsidRDefault="005B17E4" w:rsidP="005B17E4">
      <w:pPr>
        <w:numPr>
          <w:ilvl w:val="0"/>
          <w:numId w:val="93"/>
        </w:numPr>
        <w:spacing w:before="100" w:beforeAutospacing="1" w:after="100" w:afterAutospacing="1"/>
      </w:pPr>
      <w:r w:rsidRPr="005B17E4">
        <w:rPr>
          <w:i/>
          <w:iCs/>
        </w:rPr>
        <w:t>VALE</w:t>
      </w:r>
      <w:r w:rsidRPr="005B17E4">
        <w:t xml:space="preserve"> and </w:t>
      </w:r>
      <w:proofErr w:type="spellStart"/>
      <w:r w:rsidRPr="005B17E4">
        <w:rPr>
          <w:i/>
          <w:iCs/>
        </w:rPr>
        <w:t>Polbud</w:t>
      </w:r>
      <w:proofErr w:type="spellEnd"/>
      <w:r w:rsidRPr="005B17E4">
        <w:t xml:space="preserve"> </w:t>
      </w:r>
      <w:r w:rsidRPr="005B17E4">
        <w:rPr>
          <w:b/>
          <w:bCs/>
        </w:rPr>
        <w:t>broaden</w:t>
      </w:r>
      <w:r w:rsidRPr="005B17E4">
        <w:t xml:space="preserve"> the freedom of establishment to include </w:t>
      </w:r>
      <w:r w:rsidRPr="005B17E4">
        <w:rPr>
          <w:b/>
          <w:bCs/>
        </w:rPr>
        <w:t>cross-border conversions</w:t>
      </w:r>
      <w:r w:rsidRPr="005B17E4">
        <w:t>, even where EU harmonisation is lacking.</w:t>
      </w:r>
    </w:p>
    <w:p w14:paraId="624A20DD" w14:textId="77777777" w:rsidR="005B17E4" w:rsidRPr="005B17E4" w:rsidRDefault="005B17E4" w:rsidP="005B17E4">
      <w:pPr>
        <w:numPr>
          <w:ilvl w:val="0"/>
          <w:numId w:val="93"/>
        </w:numPr>
        <w:spacing w:before="100" w:beforeAutospacing="1" w:after="100" w:afterAutospacing="1"/>
      </w:pPr>
      <w:proofErr w:type="spellStart"/>
      <w:r w:rsidRPr="005B17E4">
        <w:rPr>
          <w:i/>
          <w:iCs/>
        </w:rPr>
        <w:t>Centros</w:t>
      </w:r>
      <w:proofErr w:type="spellEnd"/>
      <w:r w:rsidRPr="005B17E4">
        <w:t xml:space="preserve"> supports freedom of secondary establishment but is still tied to genuine economic activity.</w:t>
      </w:r>
    </w:p>
    <w:p w14:paraId="50DBB858" w14:textId="77777777" w:rsidR="005B17E4" w:rsidRPr="005B17E4" w:rsidRDefault="005B17E4" w:rsidP="005B17E4">
      <w:pPr>
        <w:numPr>
          <w:ilvl w:val="0"/>
          <w:numId w:val="93"/>
        </w:numPr>
        <w:spacing w:before="100" w:beforeAutospacing="1" w:after="100" w:afterAutospacing="1"/>
      </w:pPr>
      <w:r w:rsidRPr="005B17E4">
        <w:rPr>
          <w:i/>
          <w:iCs/>
        </w:rPr>
        <w:t>Daily Mail</w:t>
      </w:r>
      <w:r w:rsidRPr="005B17E4">
        <w:t xml:space="preserve"> interprets the freedom </w:t>
      </w:r>
      <w:r w:rsidRPr="005B17E4">
        <w:rPr>
          <w:b/>
          <w:bCs/>
        </w:rPr>
        <w:t>narrowly</w:t>
      </w:r>
      <w:r w:rsidRPr="005B17E4">
        <w:t>, allowing Member States to retain sovereignty over outbound transfers in the absence of harmonised EU law.</w:t>
      </w:r>
    </w:p>
    <w:p w14:paraId="4BB47AFC" w14:textId="03604B27" w:rsidR="005B17E4" w:rsidRPr="005B17E4" w:rsidRDefault="005B17E4" w:rsidP="005B17E4">
      <w:pPr>
        <w:spacing w:before="100" w:beforeAutospacing="1" w:after="100" w:afterAutospacing="1"/>
      </w:pPr>
      <w:r w:rsidRPr="005B17E4">
        <w:rPr>
          <w:b/>
          <w:bCs/>
        </w:rPr>
        <w:t>Key Difference:</w:t>
      </w:r>
      <w:r w:rsidRPr="005B17E4">
        <w:br/>
      </w:r>
      <w:r w:rsidRPr="005B17E4">
        <w:rPr>
          <w:i/>
          <w:iCs/>
        </w:rPr>
        <w:t>VALE</w:t>
      </w:r>
      <w:r w:rsidRPr="005B17E4">
        <w:t xml:space="preserve"> and </w:t>
      </w:r>
      <w:proofErr w:type="spellStart"/>
      <w:r w:rsidRPr="005B17E4">
        <w:rPr>
          <w:i/>
          <w:iCs/>
        </w:rPr>
        <w:t>Polbud</w:t>
      </w:r>
      <w:proofErr w:type="spellEnd"/>
      <w:r w:rsidRPr="005B17E4">
        <w:t xml:space="preserve"> extend the reach of the Treaty to cover </w:t>
      </w:r>
      <w:r w:rsidRPr="005B17E4">
        <w:rPr>
          <w:b/>
          <w:bCs/>
        </w:rPr>
        <w:t>structural changes to a company’s legal form</w:t>
      </w:r>
      <w:r w:rsidRPr="005B17E4">
        <w:t xml:space="preserve">, not just economic expansion. They make clear that </w:t>
      </w:r>
      <w:r w:rsidRPr="005B17E4">
        <w:rPr>
          <w:b/>
          <w:bCs/>
        </w:rPr>
        <w:t>Member States must facilitate corporate migration</w:t>
      </w:r>
      <w:r w:rsidRPr="005B17E4">
        <w:t xml:space="preserve">. </w:t>
      </w:r>
      <w:r w:rsidRPr="005B17E4">
        <w:rPr>
          <w:i/>
          <w:iCs/>
        </w:rPr>
        <w:t>Daily Mail</w:t>
      </w:r>
      <w:r w:rsidRPr="005B17E4">
        <w:t xml:space="preserve">, however, allows Member States to block outbound moves, and </w:t>
      </w:r>
      <w:proofErr w:type="spellStart"/>
      <w:r w:rsidRPr="005B17E4">
        <w:rPr>
          <w:i/>
          <w:iCs/>
        </w:rPr>
        <w:t>Centros</w:t>
      </w:r>
      <w:proofErr w:type="spellEnd"/>
      <w:r w:rsidRPr="005B17E4">
        <w:t xml:space="preserve">, while liberal, still presumes the company will operate genuinely in the host state. </w:t>
      </w:r>
      <w:proofErr w:type="spellStart"/>
      <w:r w:rsidRPr="005B17E4">
        <w:rPr>
          <w:i/>
          <w:iCs/>
        </w:rPr>
        <w:t>Polbud</w:t>
      </w:r>
      <w:proofErr w:type="spellEnd"/>
      <w:r w:rsidRPr="005B17E4">
        <w:t xml:space="preserve"> departs from this by declaring that even </w:t>
      </w:r>
      <w:r w:rsidRPr="005B17E4">
        <w:rPr>
          <w:b/>
          <w:bCs/>
        </w:rPr>
        <w:t>intentions to benefit from another legal regime</w:t>
      </w:r>
      <w:r w:rsidRPr="005B17E4">
        <w:t>, without economic activity, fall within the Treaty's protection.</w:t>
      </w:r>
    </w:p>
    <w:p w14:paraId="65DEEB6A" w14:textId="77777777" w:rsidR="005B17E4" w:rsidRPr="005B17E4" w:rsidRDefault="005B17E4" w:rsidP="005B17E4">
      <w:pPr>
        <w:spacing w:before="100" w:beforeAutospacing="1" w:after="100" w:afterAutospacing="1"/>
        <w:outlineLvl w:val="2"/>
        <w:rPr>
          <w:b/>
          <w:bCs/>
        </w:rPr>
      </w:pPr>
      <w:r w:rsidRPr="005B17E4">
        <w:rPr>
          <w:b/>
          <w:bCs/>
        </w:rPr>
        <w:t>4. Approach to Regulatory Arbitrage: Legitimate Use vs. Abuse</w:t>
      </w:r>
    </w:p>
    <w:p w14:paraId="33FA217E" w14:textId="77777777" w:rsidR="005B17E4" w:rsidRPr="005B17E4" w:rsidRDefault="005B17E4" w:rsidP="005B17E4">
      <w:pPr>
        <w:numPr>
          <w:ilvl w:val="0"/>
          <w:numId w:val="94"/>
        </w:numPr>
        <w:spacing w:before="100" w:beforeAutospacing="1" w:after="100" w:afterAutospacing="1"/>
      </w:pPr>
      <w:r w:rsidRPr="005B17E4">
        <w:rPr>
          <w:i/>
          <w:iCs/>
        </w:rPr>
        <w:t>VALE</w:t>
      </w:r>
      <w:r w:rsidRPr="005B17E4">
        <w:t xml:space="preserve">, </w:t>
      </w:r>
      <w:proofErr w:type="spellStart"/>
      <w:r w:rsidRPr="005B17E4">
        <w:rPr>
          <w:i/>
          <w:iCs/>
        </w:rPr>
        <w:t>Polbud</w:t>
      </w:r>
      <w:proofErr w:type="spellEnd"/>
      <w:r w:rsidRPr="005B17E4">
        <w:t xml:space="preserve">, and </w:t>
      </w:r>
      <w:proofErr w:type="spellStart"/>
      <w:r w:rsidRPr="005B17E4">
        <w:rPr>
          <w:i/>
          <w:iCs/>
        </w:rPr>
        <w:t>Centros</w:t>
      </w:r>
      <w:proofErr w:type="spellEnd"/>
      <w:r w:rsidRPr="005B17E4">
        <w:t xml:space="preserve"> accept that companies may seek more favourable legal environments (e.g. lower capital requirements) as a legitimate use of EU freedoms.</w:t>
      </w:r>
    </w:p>
    <w:p w14:paraId="1DE3AC67" w14:textId="77777777" w:rsidR="005B17E4" w:rsidRPr="005B17E4" w:rsidRDefault="005B17E4" w:rsidP="005B17E4">
      <w:pPr>
        <w:numPr>
          <w:ilvl w:val="0"/>
          <w:numId w:val="94"/>
        </w:numPr>
        <w:spacing w:before="100" w:beforeAutospacing="1" w:after="100" w:afterAutospacing="1"/>
      </w:pPr>
      <w:r w:rsidRPr="005B17E4">
        <w:rPr>
          <w:i/>
          <w:iCs/>
        </w:rPr>
        <w:t>Daily Mail</w:t>
      </w:r>
      <w:r w:rsidRPr="005B17E4">
        <w:t xml:space="preserve"> does not explicitly consider regulatory arbitrage but upholds restrictions aimed at preventing tax avoidance.</w:t>
      </w:r>
    </w:p>
    <w:p w14:paraId="0439FCF8" w14:textId="651EE65E" w:rsidR="005B17E4" w:rsidRPr="005B17E4" w:rsidRDefault="005B17E4" w:rsidP="005B17E4">
      <w:pPr>
        <w:spacing w:before="100" w:beforeAutospacing="1" w:after="100" w:afterAutospacing="1"/>
      </w:pPr>
      <w:r w:rsidRPr="005B17E4">
        <w:rPr>
          <w:b/>
          <w:bCs/>
        </w:rPr>
        <w:t>Key Difference:</w:t>
      </w:r>
      <w:r w:rsidRPr="005B17E4">
        <w:br/>
      </w:r>
      <w:r w:rsidRPr="005B17E4">
        <w:rPr>
          <w:i/>
          <w:iCs/>
        </w:rPr>
        <w:t>VALE</w:t>
      </w:r>
      <w:r w:rsidRPr="005B17E4">
        <w:t xml:space="preserve">, </w:t>
      </w:r>
      <w:proofErr w:type="spellStart"/>
      <w:r w:rsidRPr="005B17E4">
        <w:rPr>
          <w:i/>
          <w:iCs/>
        </w:rPr>
        <w:t>Polbud</w:t>
      </w:r>
      <w:proofErr w:type="spellEnd"/>
      <w:r w:rsidRPr="005B17E4">
        <w:t xml:space="preserve">, and </w:t>
      </w:r>
      <w:proofErr w:type="spellStart"/>
      <w:r w:rsidRPr="005B17E4">
        <w:rPr>
          <w:i/>
          <w:iCs/>
        </w:rPr>
        <w:t>Centros</w:t>
      </w:r>
      <w:proofErr w:type="spellEnd"/>
      <w:r w:rsidRPr="005B17E4">
        <w:t xml:space="preserve"> draw a firm line: </w:t>
      </w:r>
      <w:r w:rsidRPr="005B17E4">
        <w:rPr>
          <w:b/>
          <w:bCs/>
        </w:rPr>
        <w:t>regulatory arbitrage is lawful unless there is actual fraud or abuse</w:t>
      </w:r>
      <w:r w:rsidRPr="005B17E4">
        <w:t xml:space="preserve">. The mere desire to take advantage of a more lenient regime is not abuse. </w:t>
      </w:r>
      <w:r w:rsidRPr="005B17E4">
        <w:rPr>
          <w:i/>
          <w:iCs/>
        </w:rPr>
        <w:t>Daily Mail</w:t>
      </w:r>
      <w:r w:rsidRPr="005B17E4">
        <w:t xml:space="preserve">, by contrast, permits origin state restrictions without requiring a fraud test, essentially </w:t>
      </w:r>
      <w:r w:rsidRPr="005B17E4">
        <w:rPr>
          <w:b/>
          <w:bCs/>
        </w:rPr>
        <w:t>prioritising national control over EU freedom</w:t>
      </w:r>
      <w:r w:rsidRPr="005B17E4">
        <w:t>, especially in tax contexts.</w:t>
      </w:r>
    </w:p>
    <w:p w14:paraId="3FAA6D9E" w14:textId="77777777" w:rsidR="005B17E4" w:rsidRPr="005B17E4" w:rsidRDefault="005B17E4" w:rsidP="005B17E4">
      <w:pPr>
        <w:spacing w:before="100" w:beforeAutospacing="1" w:after="100" w:afterAutospacing="1"/>
        <w:outlineLvl w:val="2"/>
        <w:rPr>
          <w:b/>
          <w:bCs/>
        </w:rPr>
      </w:pPr>
      <w:r w:rsidRPr="005B17E4">
        <w:rPr>
          <w:b/>
          <w:bCs/>
        </w:rPr>
        <w:t>5. Continuity of Legal Personality: Protected vs. Ignored</w:t>
      </w:r>
    </w:p>
    <w:p w14:paraId="083C10BB" w14:textId="77777777" w:rsidR="005B17E4" w:rsidRPr="005B17E4" w:rsidRDefault="005B17E4" w:rsidP="005B17E4">
      <w:pPr>
        <w:numPr>
          <w:ilvl w:val="0"/>
          <w:numId w:val="95"/>
        </w:numPr>
        <w:spacing w:before="100" w:beforeAutospacing="1" w:after="100" w:afterAutospacing="1"/>
      </w:pPr>
      <w:r w:rsidRPr="005B17E4">
        <w:rPr>
          <w:i/>
          <w:iCs/>
        </w:rPr>
        <w:t>VALE</w:t>
      </w:r>
      <w:r w:rsidRPr="005B17E4">
        <w:t xml:space="preserve"> and </w:t>
      </w:r>
      <w:proofErr w:type="spellStart"/>
      <w:r w:rsidRPr="005B17E4">
        <w:rPr>
          <w:i/>
          <w:iCs/>
        </w:rPr>
        <w:t>Polbud</w:t>
      </w:r>
      <w:proofErr w:type="spellEnd"/>
      <w:r w:rsidRPr="005B17E4">
        <w:t xml:space="preserve"> protect the </w:t>
      </w:r>
      <w:r w:rsidRPr="005B17E4">
        <w:rPr>
          <w:b/>
          <w:bCs/>
        </w:rPr>
        <w:t>continuity of legal personality</w:t>
      </w:r>
      <w:r w:rsidRPr="005B17E4">
        <w:t xml:space="preserve"> in cross-border conversions. The company retains its identity across jurisdictions.</w:t>
      </w:r>
    </w:p>
    <w:p w14:paraId="035A909B" w14:textId="77777777" w:rsidR="005B17E4" w:rsidRPr="005B17E4" w:rsidRDefault="005B17E4" w:rsidP="005B17E4">
      <w:pPr>
        <w:numPr>
          <w:ilvl w:val="0"/>
          <w:numId w:val="95"/>
        </w:numPr>
        <w:spacing w:before="100" w:beforeAutospacing="1" w:after="100" w:afterAutospacing="1"/>
      </w:pPr>
      <w:proofErr w:type="spellStart"/>
      <w:r w:rsidRPr="005B17E4">
        <w:rPr>
          <w:i/>
          <w:iCs/>
        </w:rPr>
        <w:t>Centros</w:t>
      </w:r>
      <w:proofErr w:type="spellEnd"/>
      <w:r w:rsidRPr="005B17E4">
        <w:t xml:space="preserve"> does not raise a continuity issue because the company’s legal status remains unchanged.</w:t>
      </w:r>
    </w:p>
    <w:p w14:paraId="446A4667" w14:textId="77777777" w:rsidR="005B17E4" w:rsidRPr="005B17E4" w:rsidRDefault="005B17E4" w:rsidP="005B17E4">
      <w:pPr>
        <w:numPr>
          <w:ilvl w:val="0"/>
          <w:numId w:val="95"/>
        </w:numPr>
        <w:spacing w:before="100" w:beforeAutospacing="1" w:after="100" w:afterAutospacing="1"/>
      </w:pPr>
      <w:r w:rsidRPr="005B17E4">
        <w:rPr>
          <w:i/>
          <w:iCs/>
        </w:rPr>
        <w:lastRenderedPageBreak/>
        <w:t>Daily Mail</w:t>
      </w:r>
      <w:r w:rsidRPr="005B17E4">
        <w:t xml:space="preserve"> denies continuity protections and permits national law to </w:t>
      </w:r>
      <w:r w:rsidRPr="005B17E4">
        <w:rPr>
          <w:b/>
          <w:bCs/>
        </w:rPr>
        <w:t>sever legal identity</w:t>
      </w:r>
      <w:r w:rsidRPr="005B17E4">
        <w:t xml:space="preserve"> upon outbound moves.</w:t>
      </w:r>
    </w:p>
    <w:p w14:paraId="3C1BAAD2" w14:textId="77777777" w:rsidR="005B17E4" w:rsidRPr="005B17E4" w:rsidRDefault="005B17E4" w:rsidP="005B17E4">
      <w:pPr>
        <w:spacing w:before="100" w:beforeAutospacing="1" w:after="100" w:afterAutospacing="1"/>
      </w:pPr>
      <w:r w:rsidRPr="005B17E4">
        <w:rPr>
          <w:b/>
          <w:bCs/>
        </w:rPr>
        <w:t>Key Difference:</w:t>
      </w:r>
      <w:r w:rsidRPr="005B17E4">
        <w:br/>
      </w:r>
      <w:r w:rsidRPr="005B17E4">
        <w:rPr>
          <w:i/>
          <w:iCs/>
        </w:rPr>
        <w:t>VALE</w:t>
      </w:r>
      <w:r w:rsidRPr="005B17E4">
        <w:t xml:space="preserve"> and </w:t>
      </w:r>
      <w:proofErr w:type="spellStart"/>
      <w:r w:rsidRPr="005B17E4">
        <w:rPr>
          <w:i/>
          <w:iCs/>
        </w:rPr>
        <w:t>Polbud</w:t>
      </w:r>
      <w:proofErr w:type="spellEnd"/>
      <w:r w:rsidRPr="005B17E4">
        <w:t xml:space="preserve"> treat cross-border conversions as </w:t>
      </w:r>
      <w:r w:rsidRPr="005B17E4">
        <w:rPr>
          <w:b/>
          <w:bCs/>
        </w:rPr>
        <w:t>a single, continuous corporate existence</w:t>
      </w:r>
      <w:r w:rsidRPr="005B17E4">
        <w:t xml:space="preserve">. They require Member States to recognise this continuity under EU law. </w:t>
      </w:r>
      <w:r w:rsidRPr="005B17E4">
        <w:rPr>
          <w:i/>
          <w:iCs/>
        </w:rPr>
        <w:t>Daily Mail</w:t>
      </w:r>
      <w:r w:rsidRPr="005B17E4">
        <w:t xml:space="preserve"> allows national rules to interrupt legal identity, effectively </w:t>
      </w:r>
      <w:r w:rsidRPr="005B17E4">
        <w:rPr>
          <w:b/>
          <w:bCs/>
        </w:rPr>
        <w:t>treating corporate emigration as legal death</w:t>
      </w:r>
      <w:r w:rsidRPr="005B17E4">
        <w:t>, unless allowed by domestic legislation. This shows a significant divide in how corporate identity is preserved across borders.</w:t>
      </w:r>
    </w:p>
    <w:p w14:paraId="202AEE54" w14:textId="1ADC1184" w:rsidR="00E97DD1" w:rsidRPr="005B17E4" w:rsidRDefault="005B17E4" w:rsidP="005B17E4">
      <w:pPr>
        <w:spacing w:before="100" w:beforeAutospacing="1" w:after="100" w:afterAutospacing="1"/>
      </w:pPr>
      <w:r w:rsidRPr="005B17E4">
        <w:rPr>
          <w:b/>
          <w:bCs/>
        </w:rPr>
        <w:t xml:space="preserve">Others: </w:t>
      </w:r>
      <w:r w:rsidR="00E97DD1" w:rsidRPr="005B17E4">
        <w:rPr>
          <w:b/>
          <w:bCs/>
        </w:rPr>
        <w:t>Jurisprudential Context and Evolution</w:t>
      </w:r>
      <w:r w:rsidR="00E97DD1" w:rsidRPr="005B17E4">
        <w:t xml:space="preserve"> </w:t>
      </w:r>
    </w:p>
    <w:p w14:paraId="2A05D3B3" w14:textId="77777777" w:rsidR="00E97DD1" w:rsidRPr="005B17E4" w:rsidRDefault="00E97DD1" w:rsidP="005B17E4">
      <w:pPr>
        <w:spacing w:before="100" w:beforeAutospacing="1" w:after="100" w:afterAutospacing="1"/>
      </w:pPr>
      <w:r w:rsidRPr="005B17E4">
        <w:rPr>
          <w:b/>
          <w:bCs/>
        </w:rPr>
        <w:t xml:space="preserve">VALE and </w:t>
      </w:r>
      <w:proofErr w:type="spellStart"/>
      <w:r w:rsidRPr="005B17E4">
        <w:rPr>
          <w:b/>
          <w:bCs/>
        </w:rPr>
        <w:t>Polbud</w:t>
      </w:r>
      <w:proofErr w:type="spellEnd"/>
      <w:r w:rsidRPr="005B17E4">
        <w:t>: Reflect an integrationist approach, building on post-</w:t>
      </w:r>
      <w:r w:rsidRPr="005B17E4">
        <w:rPr>
          <w:i/>
          <w:iCs/>
        </w:rPr>
        <w:t>Daily Mail</w:t>
      </w:r>
      <w:r w:rsidRPr="005B17E4">
        <w:t xml:space="preserve"> cases like </w:t>
      </w:r>
      <w:r w:rsidRPr="005B17E4">
        <w:rPr>
          <w:i/>
          <w:iCs/>
        </w:rPr>
        <w:t>SEVIC Systems</w:t>
      </w:r>
      <w:r w:rsidRPr="005B17E4">
        <w:t xml:space="preserve"> (2005) and </w:t>
      </w:r>
      <w:proofErr w:type="spellStart"/>
      <w:r w:rsidRPr="005B17E4">
        <w:rPr>
          <w:i/>
          <w:iCs/>
        </w:rPr>
        <w:t>Cartesio</w:t>
      </w:r>
      <w:proofErr w:type="spellEnd"/>
      <w:r w:rsidRPr="005B17E4">
        <w:t xml:space="preserve"> (2008) to facilitate corporate mobility. </w:t>
      </w:r>
    </w:p>
    <w:p w14:paraId="3C9742EF" w14:textId="77777777" w:rsidR="00E97DD1" w:rsidRPr="005B17E4" w:rsidRDefault="00E97DD1" w:rsidP="00E97DD1">
      <w:pPr>
        <w:numPr>
          <w:ilvl w:val="2"/>
          <w:numId w:val="90"/>
        </w:numPr>
        <w:spacing w:before="100" w:beforeAutospacing="1" w:after="100" w:afterAutospacing="1"/>
      </w:pPr>
      <w:r w:rsidRPr="005B17E4">
        <w:rPr>
          <w:i/>
          <w:iCs/>
        </w:rPr>
        <w:t>VALE</w:t>
      </w:r>
      <w:r w:rsidRPr="005B17E4">
        <w:t xml:space="preserve"> (2012): Advanced principles of equivalence and effectiveness (</w:t>
      </w:r>
      <w:r w:rsidRPr="005B17E4">
        <w:rPr>
          <w:i/>
          <w:iCs/>
        </w:rPr>
        <w:t>VALE</w:t>
      </w:r>
      <w:r w:rsidRPr="005B17E4">
        <w:t>, para 48).</w:t>
      </w:r>
    </w:p>
    <w:p w14:paraId="11EF9A8D" w14:textId="77777777" w:rsidR="00E97DD1" w:rsidRPr="005B17E4" w:rsidRDefault="00E97DD1" w:rsidP="00E97DD1">
      <w:pPr>
        <w:numPr>
          <w:ilvl w:val="2"/>
          <w:numId w:val="90"/>
        </w:numPr>
        <w:spacing w:before="100" w:beforeAutospacing="1" w:after="100" w:afterAutospacing="1"/>
      </w:pPr>
      <w:proofErr w:type="spellStart"/>
      <w:r w:rsidRPr="005B17E4">
        <w:rPr>
          <w:i/>
          <w:iCs/>
        </w:rPr>
        <w:t>Polbud</w:t>
      </w:r>
      <w:proofErr w:type="spellEnd"/>
      <w:r w:rsidRPr="005B17E4">
        <w:t xml:space="preserve"> (2017): Clarified outbound conversion rights, limiting origin state restrictions (</w:t>
      </w:r>
      <w:proofErr w:type="spellStart"/>
      <w:r w:rsidRPr="005B17E4">
        <w:rPr>
          <w:i/>
          <w:iCs/>
        </w:rPr>
        <w:t>Polbud</w:t>
      </w:r>
      <w:proofErr w:type="spellEnd"/>
      <w:r w:rsidRPr="005B17E4">
        <w:t>, para 65).</w:t>
      </w:r>
    </w:p>
    <w:p w14:paraId="3008D0E4" w14:textId="77777777" w:rsidR="00E97DD1" w:rsidRPr="005B17E4" w:rsidRDefault="00E97DD1" w:rsidP="005B17E4">
      <w:pPr>
        <w:spacing w:before="100" w:beforeAutospacing="1" w:after="100" w:afterAutospacing="1"/>
      </w:pPr>
      <w:proofErr w:type="spellStart"/>
      <w:r w:rsidRPr="005B17E4">
        <w:rPr>
          <w:b/>
          <w:bCs/>
        </w:rPr>
        <w:t>Centros</w:t>
      </w:r>
      <w:proofErr w:type="spellEnd"/>
      <w:r w:rsidRPr="005B17E4">
        <w:rPr>
          <w:b/>
          <w:bCs/>
        </w:rPr>
        <w:t xml:space="preserve"> and Daily Mail</w:t>
      </w:r>
      <w:r w:rsidRPr="005B17E4">
        <w:t xml:space="preserve">: Represent earlier, less integrationist stages. </w:t>
      </w:r>
    </w:p>
    <w:p w14:paraId="5D42811C" w14:textId="77777777" w:rsidR="00E97DD1" w:rsidRPr="005B17E4" w:rsidRDefault="00E97DD1" w:rsidP="00E97DD1">
      <w:pPr>
        <w:numPr>
          <w:ilvl w:val="2"/>
          <w:numId w:val="90"/>
        </w:numPr>
        <w:spacing w:before="100" w:beforeAutospacing="1" w:after="100" w:afterAutospacing="1"/>
      </w:pPr>
      <w:proofErr w:type="spellStart"/>
      <w:r w:rsidRPr="005B17E4">
        <w:rPr>
          <w:i/>
          <w:iCs/>
        </w:rPr>
        <w:t>Centros</w:t>
      </w:r>
      <w:proofErr w:type="spellEnd"/>
      <w:r w:rsidRPr="005B17E4">
        <w:t xml:space="preserve"> (1999): A foundational case liberalizing secondary establishment (</w:t>
      </w:r>
      <w:proofErr w:type="spellStart"/>
      <w:r w:rsidRPr="005B17E4">
        <w:rPr>
          <w:i/>
          <w:iCs/>
        </w:rPr>
        <w:t>Centros</w:t>
      </w:r>
      <w:proofErr w:type="spellEnd"/>
      <w:r w:rsidRPr="005B17E4">
        <w:t>, para 27).</w:t>
      </w:r>
    </w:p>
    <w:p w14:paraId="5B5FF78C" w14:textId="77777777" w:rsidR="00E97DD1" w:rsidRPr="005B17E4" w:rsidRDefault="00E97DD1" w:rsidP="00E97DD1">
      <w:pPr>
        <w:numPr>
          <w:ilvl w:val="2"/>
          <w:numId w:val="90"/>
        </w:numPr>
        <w:spacing w:before="100" w:beforeAutospacing="1" w:after="100" w:afterAutospacing="1"/>
      </w:pPr>
      <w:r w:rsidRPr="005B17E4">
        <w:rPr>
          <w:i/>
          <w:iCs/>
        </w:rPr>
        <w:t>Daily Mail</w:t>
      </w:r>
      <w:r w:rsidRPr="005B17E4">
        <w:t xml:space="preserve"> (1988): A sovereignty-driven ruling, emphasizing Member State autonomy pre-harmonisation (</w:t>
      </w:r>
      <w:r w:rsidRPr="005B17E4">
        <w:rPr>
          <w:i/>
          <w:iCs/>
        </w:rPr>
        <w:t>Daily Mail</w:t>
      </w:r>
      <w:r w:rsidRPr="005B17E4">
        <w:t>, para 23).</w:t>
      </w:r>
    </w:p>
    <w:p w14:paraId="0BA890AD" w14:textId="77777777" w:rsidR="00E97DD1" w:rsidRPr="005B17E4" w:rsidRDefault="00E97DD1" w:rsidP="005B17E4">
      <w:pPr>
        <w:spacing w:before="100" w:beforeAutospacing="1" w:after="100" w:afterAutospacing="1"/>
      </w:pPr>
      <w:r w:rsidRPr="005B17E4">
        <w:rPr>
          <w:b/>
          <w:bCs/>
        </w:rPr>
        <w:t>Difference</w:t>
      </w:r>
      <w:r w:rsidRPr="005B17E4">
        <w:t xml:space="preserve">: </w:t>
      </w:r>
      <w:r w:rsidRPr="005B17E4">
        <w:rPr>
          <w:i/>
          <w:iCs/>
        </w:rPr>
        <w:t>VALE</w:t>
      </w:r>
      <w:r w:rsidRPr="005B17E4">
        <w:t xml:space="preserve"> and </w:t>
      </w:r>
      <w:proofErr w:type="spellStart"/>
      <w:r w:rsidRPr="005B17E4">
        <w:rPr>
          <w:i/>
          <w:iCs/>
        </w:rPr>
        <w:t>Polbud</w:t>
      </w:r>
      <w:proofErr w:type="spellEnd"/>
      <w:r w:rsidRPr="005B17E4">
        <w:t xml:space="preserve"> advance a mature framework promoting cross-border migration, contrasting with </w:t>
      </w:r>
      <w:r w:rsidRPr="005B17E4">
        <w:rPr>
          <w:i/>
          <w:iCs/>
        </w:rPr>
        <w:t>Daily Mail</w:t>
      </w:r>
      <w:r w:rsidRPr="005B17E4">
        <w:t xml:space="preserve">’s restrictive stance. </w:t>
      </w:r>
      <w:proofErr w:type="spellStart"/>
      <w:r w:rsidRPr="005B17E4">
        <w:rPr>
          <w:i/>
          <w:iCs/>
        </w:rPr>
        <w:t>Centros</w:t>
      </w:r>
      <w:proofErr w:type="spellEnd"/>
      <w:r w:rsidRPr="005B17E4">
        <w:t xml:space="preserve"> serves as a transitional case enabling later developments.</w:t>
      </w:r>
    </w:p>
    <w:p w14:paraId="53AEDB6E" w14:textId="3C04A386" w:rsidR="0041269B" w:rsidRPr="005B17E4" w:rsidRDefault="00462D4E" w:rsidP="008E2E88">
      <w:pPr>
        <w:pStyle w:val="NormalWeb"/>
        <w:rPr>
          <w:rFonts w:ascii="TimesNewRomanPS" w:hAnsi="TimesNewRomanPS"/>
          <w:b/>
          <w:bCs/>
        </w:rPr>
      </w:pPr>
      <w:r w:rsidRPr="00462D4E">
        <w:rPr>
          <w:rFonts w:ascii="TimesNewRomanPS" w:hAnsi="TimesNewRomanPS"/>
          <w:b/>
          <w:bCs/>
          <w:noProof/>
          <w14:ligatures w14:val="standardContextual"/>
        </w:rPr>
        <w:pict w14:anchorId="19022260">
          <v:rect id="_x0000_i1027" alt="" style="width:451.3pt;height:.05pt;mso-width-percent:0;mso-height-percent:0;mso-width-percent:0;mso-height-percent:0" o:hralign="center" o:hrstd="t" o:hr="t" fillcolor="#a0a0a0" stroked="f"/>
        </w:pict>
      </w:r>
    </w:p>
    <w:p w14:paraId="6D2A11C9" w14:textId="7DEBA1E5" w:rsidR="008E2E88" w:rsidRPr="005B17E4" w:rsidRDefault="008E2E88" w:rsidP="008E2E88">
      <w:pPr>
        <w:pStyle w:val="NormalWeb"/>
        <w:rPr>
          <w:rFonts w:ascii="PingFang TC" w:eastAsia="PingFang TC" w:hAnsi="PingFang TC" w:cs="PingFang TC"/>
          <w:lang w:val="en-US"/>
        </w:rPr>
      </w:pPr>
      <w:r w:rsidRPr="005B17E4">
        <w:rPr>
          <w:rFonts w:ascii="TimesNewRomanPS" w:hAnsi="TimesNewRomanPS"/>
          <w:b/>
          <w:bCs/>
        </w:rPr>
        <w:t xml:space="preserve">Problem Question: </w:t>
      </w:r>
      <w:r w:rsidR="00116B28" w:rsidRPr="005B17E4">
        <w:rPr>
          <w:rFonts w:ascii="TimesNewRomanPS" w:hAnsi="TimesNewRomanPS"/>
          <w:b/>
          <w:bCs/>
          <w:lang w:val="en-US"/>
        </w:rPr>
        <w:sym w:font="Wingdings" w:char="F0E0"/>
      </w:r>
      <w:r w:rsidR="00116B28" w:rsidRPr="005B17E4">
        <w:rPr>
          <w:rFonts w:ascii="TimesNewRomanPS" w:hAnsi="TimesNewRomanPS"/>
          <w:b/>
          <w:bCs/>
          <w:lang w:val="en-US"/>
        </w:rPr>
        <w:t xml:space="preserve"> free movement of workers </w:t>
      </w:r>
    </w:p>
    <w:p w14:paraId="01F94B67" w14:textId="77777777" w:rsidR="008E2E88" w:rsidRPr="005B17E4" w:rsidRDefault="008E2E88" w:rsidP="008E2E88">
      <w:pPr>
        <w:pStyle w:val="NormalWeb"/>
      </w:pPr>
      <w:r w:rsidRPr="005B17E4">
        <w:rPr>
          <w:rFonts w:ascii="TimesNewRomanPSMT" w:hAnsi="TimesNewRomanPSMT"/>
        </w:rPr>
        <w:t xml:space="preserve">Markus is an Austrian computer engineer. He works in the technology department of a large company in Italy. He recently heard of a vacancy at a high-tech start-up firm in the Netherlands. The job opportunity looks promising. However, it offers considerably less salary. Moreover, Markus is conscious that upon leaving his company in Italy, he will not benefit from the special subsistence payment that he is entitled to under his contract of employment if the company terminates his employment. Nevertheless, Markus goes ahead and accepts the new job in the Netherlands. However, given that he is financially worse off, </w:t>
      </w:r>
      <w:r w:rsidRPr="005B17E4">
        <w:rPr>
          <w:rFonts w:ascii="TimesNewRomanPSMT" w:hAnsi="TimesNewRomanPSMT"/>
          <w:u w:val="single"/>
        </w:rPr>
        <w:t>he decides to challenge non- payment of the special subsistence payment before the Italian courts</w:t>
      </w:r>
      <w:r w:rsidRPr="005B17E4">
        <w:rPr>
          <w:rFonts w:ascii="TimesNewRomanPSMT" w:hAnsi="TimesNewRomanPSMT"/>
        </w:rPr>
        <w:t xml:space="preserve">. Whilst the case is pending before the Italian courts, Markus moves, together with his son, Dirk, to the Netherlands to start his new job. Markus enjoys his work and Dirk is popular at school. However, after a year, Markus becomes dissatisfied with his new job. He decides to leave the start-up firm. Markus looks for a new job for over a year. But he remains unsuccessful in finding a job that matches his specialised skills in the Netherlands. Eventually, the Dutch authorities tell Markus that he and Dirk must leave the country since Markus has remained unemployed for a year. Both are upset. To make matters worse, the </w:t>
      </w:r>
      <w:r w:rsidRPr="005B17E4">
        <w:rPr>
          <w:rFonts w:ascii="TimesNewRomanPSMT" w:hAnsi="TimesNewRomanPSMT"/>
        </w:rPr>
        <w:lastRenderedPageBreak/>
        <w:t xml:space="preserve">Italian courts reject Markus’s challenge. They justify their decision by highlighting the need to maintain social cohesion in Italy. </w:t>
      </w:r>
    </w:p>
    <w:p w14:paraId="53CE59CD" w14:textId="77777777" w:rsidR="008E2E88" w:rsidRPr="005B17E4" w:rsidRDefault="008E2E88" w:rsidP="008E2E88">
      <w:pPr>
        <w:pStyle w:val="NormalWeb"/>
      </w:pPr>
      <w:r w:rsidRPr="005B17E4">
        <w:rPr>
          <w:rFonts w:ascii="TimesNewRomanPSMT" w:hAnsi="TimesNewRomanPSMT"/>
        </w:rPr>
        <w:t xml:space="preserve">Brigitte is a Belgian waitress </w:t>
      </w:r>
      <w:r w:rsidRPr="005B17E4">
        <w:rPr>
          <w:rFonts w:ascii="TimesNewRomanPSMT" w:hAnsi="TimesNewRomanPSMT"/>
          <w:u w:val="single"/>
        </w:rPr>
        <w:t>who works at the ‘Mushy Pea’ in Dublin</w:t>
      </w:r>
      <w:r w:rsidRPr="005B17E4">
        <w:rPr>
          <w:rFonts w:ascii="TimesNewRomanPSMT" w:hAnsi="TimesNewRomanPSMT"/>
        </w:rPr>
        <w:t xml:space="preserve">, a high-end restaurant. She works there once a week for a couple of hours, serving lunch to customers. The job hardly pays, but she does benefit from the collective agreement governing the catering sector. She likes the catering sector, but dreams of moving up the career ladder. She decides to leave her work in order to enrol in an evening accountancy course at the Dublin ‘Ready for Work’ Academy. However, she soon finds herself short of money. She applies for maintenance assistance, but the Irish authorities refuse to grant her maintenance assistance. They argue that students do not have access to maintenance assistance. </w:t>
      </w:r>
    </w:p>
    <w:p w14:paraId="2E57EDD6" w14:textId="77777777" w:rsidR="008E2E88" w:rsidRPr="005B17E4" w:rsidRDefault="008E2E88" w:rsidP="008E2E88">
      <w:pPr>
        <w:pStyle w:val="NormalWeb"/>
      </w:pPr>
      <w:r w:rsidRPr="005B17E4">
        <w:rPr>
          <w:rFonts w:ascii="TimesNewRomanPSMT" w:hAnsi="TimesNewRomanPSMT"/>
        </w:rPr>
        <w:t xml:space="preserve">Maria is a Spanish engineer who specialises in anti-missile technology. She applies for a fixed term job as person in charge of inter-ministerial coordination at the Polish Ministry of Defence in Warsaw. She is refused the job because she does not speak English and because she is not from a Member State that has a direct border with Poland. </w:t>
      </w:r>
    </w:p>
    <w:p w14:paraId="40AFAF79" w14:textId="7624F3EF" w:rsidR="008E2E88" w:rsidRPr="005B17E4" w:rsidRDefault="008E2E88" w:rsidP="0041269B">
      <w:pPr>
        <w:pStyle w:val="NormalWeb"/>
      </w:pPr>
      <w:r w:rsidRPr="005B17E4">
        <w:rPr>
          <w:rFonts w:ascii="TimesNewRomanPSMT" w:hAnsi="TimesNewRomanPSMT"/>
        </w:rPr>
        <w:t xml:space="preserve">Markus, Brigitte and Maria seek your advice on their legal position under EU law. </w:t>
      </w:r>
    </w:p>
    <w:p w14:paraId="49EB8C92" w14:textId="4B85BBB3" w:rsidR="00A3300C" w:rsidRPr="005B17E4" w:rsidRDefault="00A3300C" w:rsidP="00A3300C">
      <w:pPr>
        <w:spacing w:before="100" w:beforeAutospacing="1" w:after="100" w:afterAutospacing="1"/>
      </w:pPr>
      <w:r w:rsidRPr="005B17E4">
        <w:t xml:space="preserve">This </w:t>
      </w:r>
      <w:r w:rsidR="008872E8" w:rsidRPr="005B17E4">
        <w:t>essay</w:t>
      </w:r>
      <w:r w:rsidRPr="005B17E4">
        <w:t xml:space="preserve"> examines the free movement of workers under EU law. It focuses on Markus, Brigitte, and Maria’s rights under Article 45 TFEU, Directive 2004/38, Regulation 492/2011, and CJEU case law. The analysis identifies legal issues, outlines the applicable law, confirms cross-border elements and vertical/horizontal effects, applies the law to the facts, and concludes on each individual’s legal position.</w:t>
      </w:r>
    </w:p>
    <w:p w14:paraId="555E173A" w14:textId="77777777" w:rsidR="00A3300C" w:rsidRPr="005B17E4" w:rsidRDefault="00A3300C" w:rsidP="00A3300C">
      <w:pPr>
        <w:spacing w:before="100" w:beforeAutospacing="1" w:after="100" w:afterAutospacing="1"/>
        <w:outlineLvl w:val="3"/>
        <w:rPr>
          <w:b/>
          <w:bCs/>
        </w:rPr>
      </w:pPr>
      <w:r w:rsidRPr="005B17E4">
        <w:rPr>
          <w:b/>
          <w:bCs/>
        </w:rPr>
        <w:t>Cross-Border Element and Vertical/Horizontal Effect</w:t>
      </w:r>
    </w:p>
    <w:p w14:paraId="15ADEF21" w14:textId="77777777" w:rsidR="00A3300C" w:rsidRPr="005B17E4" w:rsidRDefault="00A3300C" w:rsidP="00A3300C">
      <w:pPr>
        <w:numPr>
          <w:ilvl w:val="0"/>
          <w:numId w:val="34"/>
        </w:numPr>
        <w:spacing w:before="100" w:beforeAutospacing="1" w:after="100" w:afterAutospacing="1"/>
      </w:pPr>
      <w:r w:rsidRPr="005B17E4">
        <w:rPr>
          <w:b/>
          <w:bCs/>
        </w:rPr>
        <w:t>Markus</w:t>
      </w:r>
      <w:r w:rsidRPr="005B17E4">
        <w:t xml:space="preserve">: Cross-border movement exists (Austrian, worked in Italy, moved to Netherlands). The payment challenge involves a private employer (horizontal effect; Case C-281/98 </w:t>
      </w:r>
      <w:proofErr w:type="spellStart"/>
      <w:r w:rsidRPr="005B17E4">
        <w:t>Angonese</w:t>
      </w:r>
      <w:proofErr w:type="spellEnd"/>
      <w:r w:rsidRPr="005B17E4">
        <w:t xml:space="preserve"> [2000] ECR I-4139). Deportation involves Dutch authorities (vertical effect; Case C-370/90 Singh [1992] ECR I-4265).</w:t>
      </w:r>
    </w:p>
    <w:p w14:paraId="4CBB7D69" w14:textId="77777777" w:rsidR="00A3300C" w:rsidRPr="005B17E4" w:rsidRDefault="00A3300C" w:rsidP="00A3300C">
      <w:pPr>
        <w:numPr>
          <w:ilvl w:val="0"/>
          <w:numId w:val="34"/>
        </w:numPr>
        <w:spacing w:before="100" w:beforeAutospacing="1" w:after="100" w:afterAutospacing="1"/>
      </w:pPr>
      <w:r w:rsidRPr="005B17E4">
        <w:rPr>
          <w:b/>
          <w:bCs/>
        </w:rPr>
        <w:t>Brigitte</w:t>
      </w:r>
      <w:r w:rsidRPr="005B17E4">
        <w:t>: Cross-border movement exists (Belgian in Ireland). Denial of assistance by Irish authorities is vertical (Case 48/75 Royer [1976] ECR 497).</w:t>
      </w:r>
    </w:p>
    <w:p w14:paraId="553A9E17" w14:textId="55E8C129" w:rsidR="00017250" w:rsidRPr="005B17E4" w:rsidRDefault="00A3300C" w:rsidP="00017250">
      <w:pPr>
        <w:numPr>
          <w:ilvl w:val="0"/>
          <w:numId w:val="34"/>
        </w:numPr>
        <w:spacing w:before="100" w:beforeAutospacing="1" w:after="100" w:afterAutospacing="1"/>
      </w:pPr>
      <w:r w:rsidRPr="005B17E4">
        <w:rPr>
          <w:b/>
          <w:bCs/>
        </w:rPr>
        <w:t>Maria</w:t>
      </w:r>
      <w:r w:rsidRPr="005B17E4">
        <w:t>: Cross-border movement exists (Spanish, applying in Poland). Refusal by the Polish Ministry is vertical (Case 149/79 Commission v Belgium [1980] ECR 3881).</w:t>
      </w:r>
    </w:p>
    <w:p w14:paraId="650504A3" w14:textId="77777777" w:rsidR="00017250" w:rsidRPr="005B17E4" w:rsidRDefault="00017250" w:rsidP="00017250">
      <w:pPr>
        <w:spacing w:before="100" w:beforeAutospacing="1" w:after="100" w:afterAutospacing="1"/>
        <w:outlineLvl w:val="1"/>
        <w:rPr>
          <w:b/>
          <w:bCs/>
        </w:rPr>
      </w:pPr>
      <w:r w:rsidRPr="005B17E4">
        <w:rPr>
          <w:b/>
          <w:bCs/>
        </w:rPr>
        <w:t>Markus</w:t>
      </w:r>
    </w:p>
    <w:p w14:paraId="0C8FDCC6" w14:textId="77777777" w:rsidR="00017250" w:rsidRPr="005B17E4" w:rsidRDefault="00017250" w:rsidP="00017250">
      <w:pPr>
        <w:spacing w:before="100" w:beforeAutospacing="1" w:after="100" w:afterAutospacing="1"/>
        <w:outlineLvl w:val="2"/>
        <w:rPr>
          <w:b/>
          <w:bCs/>
        </w:rPr>
      </w:pPr>
      <w:r w:rsidRPr="005B17E4">
        <w:rPr>
          <w:b/>
          <w:bCs/>
        </w:rPr>
        <w:t>1. Non-Payment of Special Subsistence Payment</w:t>
      </w:r>
    </w:p>
    <w:p w14:paraId="06155F91" w14:textId="77777777" w:rsidR="00017250" w:rsidRPr="005B17E4" w:rsidRDefault="00017250" w:rsidP="00017250">
      <w:pPr>
        <w:spacing w:before="100" w:beforeAutospacing="1" w:after="100" w:afterAutospacing="1"/>
        <w:outlineLvl w:val="3"/>
        <w:rPr>
          <w:b/>
          <w:bCs/>
        </w:rPr>
      </w:pPr>
      <w:r w:rsidRPr="005B17E4">
        <w:rPr>
          <w:b/>
          <w:bCs/>
        </w:rPr>
        <w:t>Legal Framework</w:t>
      </w:r>
    </w:p>
    <w:p w14:paraId="7CFFE3A9" w14:textId="77777777" w:rsidR="00017250" w:rsidRPr="005B17E4" w:rsidRDefault="00017250" w:rsidP="00017250">
      <w:pPr>
        <w:spacing w:before="100" w:beforeAutospacing="1" w:after="100" w:afterAutospacing="1"/>
      </w:pPr>
      <w:r w:rsidRPr="005B17E4">
        <w:rPr>
          <w:b/>
          <w:bCs/>
        </w:rPr>
        <w:t>Article 45(2) TFEU</w:t>
      </w:r>
      <w:r w:rsidRPr="005B17E4">
        <w:t xml:space="preserve"> prohibits discrimination based on nationality between workers of Member States as regards employment, remuneration, and other conditions of work and employment.</w:t>
      </w:r>
    </w:p>
    <w:p w14:paraId="7FCDCE1D" w14:textId="77777777" w:rsidR="00017250" w:rsidRPr="005B17E4" w:rsidRDefault="00017250" w:rsidP="00017250">
      <w:pPr>
        <w:spacing w:before="100" w:beforeAutospacing="1" w:after="100" w:afterAutospacing="1"/>
      </w:pPr>
      <w:r w:rsidRPr="005B17E4">
        <w:rPr>
          <w:b/>
          <w:bCs/>
        </w:rPr>
        <w:t>Article 7(1) and 7(2) of Regulation 492/2011</w:t>
      </w:r>
      <w:r w:rsidRPr="005B17E4">
        <w:t xml:space="preserve"> further prohibit discrimination concerning working conditions and confer a right to enjoy social and tax advantages. In </w:t>
      </w:r>
      <w:r w:rsidRPr="005B17E4">
        <w:rPr>
          <w:b/>
          <w:bCs/>
        </w:rPr>
        <w:t>Case 65/81 Reina</w:t>
      </w:r>
      <w:r w:rsidRPr="005B17E4">
        <w:t>, the Court confirmed that "social advantages" include benefits designed to improve living conditions, irrespective of employment status.</w:t>
      </w:r>
    </w:p>
    <w:p w14:paraId="15693B2E" w14:textId="77777777" w:rsidR="00017250" w:rsidRPr="005B17E4" w:rsidRDefault="00017250" w:rsidP="00017250">
      <w:pPr>
        <w:spacing w:before="100" w:beforeAutospacing="1" w:after="100" w:afterAutospacing="1"/>
      </w:pPr>
      <w:r w:rsidRPr="005B17E4">
        <w:lastRenderedPageBreak/>
        <w:t xml:space="preserve">The concept of </w:t>
      </w:r>
      <w:r w:rsidRPr="005B17E4">
        <w:rPr>
          <w:b/>
          <w:bCs/>
        </w:rPr>
        <w:t>indirect discrimination</w:t>
      </w:r>
      <w:r w:rsidRPr="005B17E4">
        <w:t xml:space="preserve"> was established in </w:t>
      </w:r>
      <w:r w:rsidRPr="005B17E4">
        <w:rPr>
          <w:b/>
          <w:bCs/>
        </w:rPr>
        <w:t xml:space="preserve">Case C-237/94 </w:t>
      </w:r>
      <w:proofErr w:type="spellStart"/>
      <w:r w:rsidRPr="005B17E4">
        <w:rPr>
          <w:b/>
          <w:bCs/>
        </w:rPr>
        <w:t>O'Flynn</w:t>
      </w:r>
      <w:proofErr w:type="spellEnd"/>
      <w:r w:rsidRPr="005B17E4">
        <w:t>, where the Court ruled that neutral measures disproportionately disadvantaging migrant workers are prohibited.</w:t>
      </w:r>
    </w:p>
    <w:p w14:paraId="011004F1" w14:textId="77777777" w:rsidR="00017250" w:rsidRPr="005B17E4" w:rsidRDefault="00017250" w:rsidP="00017250">
      <w:pPr>
        <w:spacing w:before="100" w:beforeAutospacing="1" w:after="100" w:afterAutospacing="1"/>
      </w:pPr>
      <w:r w:rsidRPr="005B17E4">
        <w:t xml:space="preserve">Measures hindering free movement without discriminating directly can still breach EU law under </w:t>
      </w:r>
      <w:r w:rsidRPr="005B17E4">
        <w:rPr>
          <w:b/>
          <w:bCs/>
        </w:rPr>
        <w:t>Case C-415/93 Bosman</w:t>
      </w:r>
      <w:r w:rsidRPr="005B17E4">
        <w:t>, where restrictions on movement were treated as unlawful barriers unless justified by overriding public interest and proportionate.</w:t>
      </w:r>
    </w:p>
    <w:p w14:paraId="5E9A51FD" w14:textId="77777777" w:rsidR="00017250" w:rsidRPr="005B17E4" w:rsidRDefault="00017250" w:rsidP="00017250">
      <w:pPr>
        <w:spacing w:before="100" w:beforeAutospacing="1" w:after="100" w:afterAutospacing="1"/>
      </w:pPr>
      <w:r w:rsidRPr="005B17E4">
        <w:t xml:space="preserve">Further, </w:t>
      </w:r>
      <w:r w:rsidRPr="005B17E4">
        <w:rPr>
          <w:b/>
          <w:bCs/>
        </w:rPr>
        <w:t>Case C-190/98 Graf</w:t>
      </w:r>
      <w:r w:rsidRPr="005B17E4">
        <w:t xml:space="preserve"> clarified that contractual advantages dependent on events not linked to free movement (such as voluntary resignation) may fall outside Article 45.</w:t>
      </w:r>
    </w:p>
    <w:p w14:paraId="614838D7" w14:textId="77777777" w:rsidR="00017250" w:rsidRPr="005B17E4" w:rsidRDefault="00017250" w:rsidP="00017250">
      <w:pPr>
        <w:spacing w:before="100" w:beforeAutospacing="1" w:after="100" w:afterAutospacing="1"/>
        <w:outlineLvl w:val="3"/>
        <w:rPr>
          <w:b/>
          <w:bCs/>
        </w:rPr>
      </w:pPr>
      <w:r w:rsidRPr="005B17E4">
        <w:rPr>
          <w:b/>
          <w:bCs/>
        </w:rPr>
        <w:t>Application</w:t>
      </w:r>
    </w:p>
    <w:p w14:paraId="2AB984EC" w14:textId="77777777" w:rsidR="00017250" w:rsidRPr="005B17E4" w:rsidRDefault="00017250" w:rsidP="00017250">
      <w:pPr>
        <w:spacing w:before="100" w:beforeAutospacing="1" w:after="100" w:afterAutospacing="1"/>
      </w:pPr>
      <w:r w:rsidRPr="005B17E4">
        <w:t>Markus, an Austrian national, left his job in Italy voluntarily to take up employment in the Netherlands and was denied a subsistence payment contractually reserved for cases of employer-initiated termination.</w:t>
      </w:r>
    </w:p>
    <w:p w14:paraId="2A2D0C08" w14:textId="77777777" w:rsidR="00017250" w:rsidRPr="005B17E4" w:rsidRDefault="00017250" w:rsidP="00017250">
      <w:pPr>
        <w:spacing w:before="100" w:beforeAutospacing="1" w:after="100" w:afterAutospacing="1"/>
      </w:pPr>
      <w:r w:rsidRPr="005B17E4">
        <w:t xml:space="preserve">The rule is </w:t>
      </w:r>
      <w:r w:rsidRPr="005B17E4">
        <w:rPr>
          <w:b/>
          <w:bCs/>
        </w:rPr>
        <w:t>not directly discriminatory</w:t>
      </w:r>
      <w:r w:rsidRPr="005B17E4">
        <w:t xml:space="preserve">, since it applies equally to all employees, Italian or non-Italian, aligning with </w:t>
      </w:r>
      <w:proofErr w:type="spellStart"/>
      <w:r w:rsidRPr="005B17E4">
        <w:rPr>
          <w:b/>
          <w:bCs/>
        </w:rPr>
        <w:t>Marsman</w:t>
      </w:r>
      <w:proofErr w:type="spellEnd"/>
      <w:r w:rsidRPr="005B17E4">
        <w:rPr>
          <w:b/>
          <w:bCs/>
        </w:rPr>
        <w:t xml:space="preserve"> (Case 44/72)</w:t>
      </w:r>
      <w:r w:rsidRPr="005B17E4">
        <w:t>.</w:t>
      </w:r>
    </w:p>
    <w:p w14:paraId="1D334E86" w14:textId="77777777" w:rsidR="00017250" w:rsidRPr="005B17E4" w:rsidRDefault="00017250" w:rsidP="00017250">
      <w:pPr>
        <w:spacing w:before="100" w:beforeAutospacing="1" w:after="100" w:afterAutospacing="1"/>
      </w:pPr>
      <w:r w:rsidRPr="005B17E4">
        <w:t xml:space="preserve">The issue is whether there is </w:t>
      </w:r>
      <w:r w:rsidRPr="005B17E4">
        <w:rPr>
          <w:b/>
          <w:bCs/>
        </w:rPr>
        <w:t>indirect discrimination</w:t>
      </w:r>
      <w:r w:rsidRPr="005B17E4">
        <w:t xml:space="preserve">. According to </w:t>
      </w:r>
      <w:proofErr w:type="spellStart"/>
      <w:r w:rsidRPr="005B17E4">
        <w:rPr>
          <w:b/>
          <w:bCs/>
        </w:rPr>
        <w:t>O'Flynn</w:t>
      </w:r>
      <w:proofErr w:type="spellEnd"/>
      <w:r w:rsidRPr="005B17E4">
        <w:t>, even neutral rules must be assessed for disproportionate impact. However, the loss of benefit affects any worker resigning voluntarily, not migrants uniquely. Thus, there is no disproportionate impact based on nationality.</w:t>
      </w:r>
    </w:p>
    <w:p w14:paraId="54582652" w14:textId="77777777" w:rsidR="00017250" w:rsidRPr="005B17E4" w:rsidRDefault="00017250" w:rsidP="00017250">
      <w:pPr>
        <w:spacing w:before="100" w:beforeAutospacing="1" w:after="100" w:afterAutospacing="1"/>
      </w:pPr>
      <w:r w:rsidRPr="005B17E4">
        <w:t xml:space="preserve">Nevertheless, the non-payment constitutes a </w:t>
      </w:r>
      <w:r w:rsidRPr="005B17E4">
        <w:rPr>
          <w:b/>
          <w:bCs/>
        </w:rPr>
        <w:t>restriction on free movement</w:t>
      </w:r>
      <w:r w:rsidRPr="005B17E4">
        <w:t xml:space="preserve"> because the financial disincentive may discourage workers from exercising their rights under </w:t>
      </w:r>
      <w:r w:rsidRPr="005B17E4">
        <w:rPr>
          <w:b/>
          <w:bCs/>
        </w:rPr>
        <w:t>Article 45 TFEU</w:t>
      </w:r>
      <w:r w:rsidRPr="005B17E4">
        <w:t xml:space="preserve">, consistent with </w:t>
      </w:r>
      <w:r w:rsidRPr="005B17E4">
        <w:rPr>
          <w:b/>
          <w:bCs/>
        </w:rPr>
        <w:t>Bosman</w:t>
      </w:r>
      <w:r w:rsidRPr="005B17E4">
        <w:t xml:space="preserve"> and </w:t>
      </w:r>
      <w:r w:rsidRPr="005B17E4">
        <w:rPr>
          <w:b/>
          <w:bCs/>
        </w:rPr>
        <w:t>Lehtonen (Case C-176/96)</w:t>
      </w:r>
      <w:r w:rsidRPr="005B17E4">
        <w:t>.</w:t>
      </w:r>
    </w:p>
    <w:p w14:paraId="54C3081B" w14:textId="77777777" w:rsidR="00017250" w:rsidRPr="005B17E4" w:rsidRDefault="00017250" w:rsidP="00017250">
      <w:pPr>
        <w:spacing w:before="100" w:beforeAutospacing="1" w:after="100" w:afterAutospacing="1"/>
      </w:pPr>
      <w:r w:rsidRPr="005B17E4">
        <w:t xml:space="preserve">Italy attempted to justify the restriction by citing "social cohesion." However, under </w:t>
      </w:r>
      <w:r w:rsidRPr="005B17E4">
        <w:rPr>
          <w:b/>
          <w:bCs/>
        </w:rPr>
        <w:t>Case C-114/97 Commission v Spain</w:t>
      </w:r>
      <w:r w:rsidRPr="005B17E4">
        <w:t>, economic aims such as maintaining workforce stability cannot justify restrictions on free movement. "Social cohesion" here appears vague and unsupported by evidence.</w:t>
      </w:r>
    </w:p>
    <w:p w14:paraId="591AD85C" w14:textId="77777777" w:rsidR="00017250" w:rsidRPr="005B17E4" w:rsidRDefault="00017250" w:rsidP="00017250">
      <w:pPr>
        <w:spacing w:before="100" w:beforeAutospacing="1" w:after="100" w:afterAutospacing="1"/>
      </w:pPr>
      <w:r w:rsidRPr="005B17E4">
        <w:t xml:space="preserve">Applying </w:t>
      </w:r>
      <w:r w:rsidRPr="005B17E4">
        <w:rPr>
          <w:b/>
          <w:bCs/>
        </w:rPr>
        <w:t>proportionality</w:t>
      </w:r>
      <w:r w:rsidRPr="005B17E4">
        <w:t>, the restriction must be appropriate and necessary to achieve the objective. Less restrictive means, such as prorated payment systems, could be used, but Italy did not demonstrate consideration of alternatives.</w:t>
      </w:r>
    </w:p>
    <w:p w14:paraId="75EB387B" w14:textId="77777777" w:rsidR="00017250" w:rsidRPr="005B17E4" w:rsidRDefault="00017250" w:rsidP="00017250">
      <w:pPr>
        <w:spacing w:before="100" w:beforeAutospacing="1" w:after="100" w:afterAutospacing="1"/>
      </w:pPr>
      <w:r w:rsidRPr="005B17E4">
        <w:rPr>
          <w:b/>
          <w:bCs/>
        </w:rPr>
        <w:t>Graf</w:t>
      </w:r>
      <w:r w:rsidRPr="005B17E4">
        <w:t xml:space="preserve"> teaches that if the detriment is too remote from the exercise of free movement rights, there may be no violation. Here, Markus’s movement resulted directly in loss of the payment, strengthening his claim that Article 45 is engaged.</w:t>
      </w:r>
    </w:p>
    <w:p w14:paraId="5BE2B893" w14:textId="77777777" w:rsidR="00017250" w:rsidRPr="005B17E4" w:rsidRDefault="00017250" w:rsidP="00017250">
      <w:pPr>
        <w:spacing w:before="100" w:beforeAutospacing="1" w:after="100" w:afterAutospacing="1"/>
        <w:outlineLvl w:val="3"/>
        <w:rPr>
          <w:b/>
          <w:bCs/>
        </w:rPr>
      </w:pPr>
      <w:r w:rsidRPr="005B17E4">
        <w:rPr>
          <w:b/>
          <w:bCs/>
        </w:rPr>
        <w:t>Conclusion</w:t>
      </w:r>
    </w:p>
    <w:p w14:paraId="738C4AFC" w14:textId="0EEE0B38" w:rsidR="00017250" w:rsidRPr="005B17E4" w:rsidRDefault="00017250" w:rsidP="00017250">
      <w:pPr>
        <w:spacing w:before="100" w:beforeAutospacing="1" w:after="100" w:afterAutospacing="1"/>
      </w:pPr>
      <w:r w:rsidRPr="005B17E4">
        <w:t xml:space="preserve">While no direct or indirect discrimination exists, the denial constitutes an unlawful restriction on free movement under </w:t>
      </w:r>
      <w:r w:rsidRPr="005B17E4">
        <w:rPr>
          <w:b/>
          <w:bCs/>
        </w:rPr>
        <w:t>Article 45 TFEU</w:t>
      </w:r>
      <w:r w:rsidRPr="005B17E4">
        <w:t xml:space="preserve"> and </w:t>
      </w:r>
      <w:r w:rsidRPr="005B17E4">
        <w:rPr>
          <w:b/>
          <w:bCs/>
        </w:rPr>
        <w:t>Bosman</w:t>
      </w:r>
      <w:r w:rsidRPr="005B17E4">
        <w:t xml:space="preserve"> principles. Italy failed to justify the measure, rendering it incompatible with EU law. A reference under </w:t>
      </w:r>
      <w:r w:rsidRPr="005B17E4">
        <w:rPr>
          <w:b/>
          <w:bCs/>
        </w:rPr>
        <w:t>Article 267 TFEU</w:t>
      </w:r>
      <w:r w:rsidRPr="005B17E4">
        <w:t xml:space="preserve"> would strengthen Markus’s position.</w:t>
      </w:r>
    </w:p>
    <w:p w14:paraId="68259F4E" w14:textId="77777777" w:rsidR="00017250" w:rsidRPr="005B17E4" w:rsidRDefault="00017250" w:rsidP="00017250">
      <w:pPr>
        <w:spacing w:before="100" w:beforeAutospacing="1" w:after="100" w:afterAutospacing="1"/>
        <w:outlineLvl w:val="2"/>
        <w:rPr>
          <w:b/>
          <w:bCs/>
        </w:rPr>
      </w:pPr>
      <w:r w:rsidRPr="005B17E4">
        <w:rPr>
          <w:b/>
          <w:bCs/>
        </w:rPr>
        <w:t>2. Deportation from the Netherlands</w:t>
      </w:r>
    </w:p>
    <w:p w14:paraId="065D539F" w14:textId="77777777" w:rsidR="00017250" w:rsidRPr="005B17E4" w:rsidRDefault="00017250" w:rsidP="00017250">
      <w:pPr>
        <w:spacing w:before="100" w:beforeAutospacing="1" w:after="100" w:afterAutospacing="1"/>
        <w:outlineLvl w:val="3"/>
        <w:rPr>
          <w:b/>
          <w:bCs/>
        </w:rPr>
      </w:pPr>
      <w:r w:rsidRPr="005B17E4">
        <w:rPr>
          <w:b/>
          <w:bCs/>
        </w:rPr>
        <w:lastRenderedPageBreak/>
        <w:t>Legal Framework</w:t>
      </w:r>
    </w:p>
    <w:p w14:paraId="455DBDE6" w14:textId="77777777" w:rsidR="00017250" w:rsidRPr="005B17E4" w:rsidRDefault="00017250" w:rsidP="00017250">
      <w:pPr>
        <w:spacing w:before="100" w:beforeAutospacing="1" w:after="100" w:afterAutospacing="1"/>
      </w:pPr>
      <w:r w:rsidRPr="005B17E4">
        <w:t xml:space="preserve">Under </w:t>
      </w:r>
      <w:r w:rsidRPr="005B17E4">
        <w:rPr>
          <w:b/>
          <w:bCs/>
        </w:rPr>
        <w:t>Directive 2004/38/EC</w:t>
      </w:r>
      <w:r w:rsidRPr="005B17E4">
        <w:t>, a worker retains the right of residence if actively seeking employment with a genuine chance of being engaged (</w:t>
      </w:r>
      <w:r w:rsidRPr="005B17E4">
        <w:rPr>
          <w:b/>
          <w:bCs/>
        </w:rPr>
        <w:t>Article 7(3)(b)</w:t>
      </w:r>
      <w:r w:rsidRPr="005B17E4">
        <w:t xml:space="preserve"> and </w:t>
      </w:r>
      <w:r w:rsidRPr="005B17E4">
        <w:rPr>
          <w:b/>
          <w:bCs/>
        </w:rPr>
        <w:t>Article 14(4)(b)</w:t>
      </w:r>
      <w:r w:rsidRPr="005B17E4">
        <w:t>).</w:t>
      </w:r>
    </w:p>
    <w:p w14:paraId="384AF0CE" w14:textId="77777777" w:rsidR="00017250" w:rsidRPr="005B17E4" w:rsidRDefault="00017250" w:rsidP="00017250">
      <w:pPr>
        <w:spacing w:before="100" w:beforeAutospacing="1" w:after="100" w:afterAutospacing="1"/>
      </w:pPr>
      <w:r w:rsidRPr="005B17E4">
        <w:t xml:space="preserve">The Court in </w:t>
      </w:r>
      <w:proofErr w:type="spellStart"/>
      <w:r w:rsidRPr="005B17E4">
        <w:rPr>
          <w:b/>
          <w:bCs/>
        </w:rPr>
        <w:t>Antonissen</w:t>
      </w:r>
      <w:proofErr w:type="spellEnd"/>
      <w:r w:rsidRPr="005B17E4">
        <w:rPr>
          <w:b/>
          <w:bCs/>
        </w:rPr>
        <w:t xml:space="preserve"> (Case C-292/89)</w:t>
      </w:r>
      <w:r w:rsidRPr="005B17E4">
        <w:t xml:space="preserve"> recognised that a reasonable period must be granted to seek work.</w:t>
      </w:r>
    </w:p>
    <w:p w14:paraId="2E04D6EB" w14:textId="77777777" w:rsidR="00017250" w:rsidRPr="005B17E4" w:rsidRDefault="00017250" w:rsidP="00017250">
      <w:pPr>
        <w:spacing w:before="100" w:beforeAutospacing="1" w:after="100" w:afterAutospacing="1"/>
      </w:pPr>
      <w:r w:rsidRPr="005B17E4">
        <w:t xml:space="preserve">Furthermore, </w:t>
      </w:r>
      <w:r w:rsidRPr="005B17E4">
        <w:rPr>
          <w:b/>
          <w:bCs/>
        </w:rPr>
        <w:t>Regulation 492/2011, Article 10</w:t>
      </w:r>
      <w:r w:rsidRPr="005B17E4">
        <w:t xml:space="preserve"> and </w:t>
      </w:r>
      <w:proofErr w:type="spellStart"/>
      <w:r w:rsidRPr="005B17E4">
        <w:rPr>
          <w:b/>
          <w:bCs/>
        </w:rPr>
        <w:t>Baumbast</w:t>
      </w:r>
      <w:proofErr w:type="spellEnd"/>
      <w:r w:rsidRPr="005B17E4">
        <w:rPr>
          <w:b/>
          <w:bCs/>
        </w:rPr>
        <w:t xml:space="preserve"> (Case C-413/99)</w:t>
      </w:r>
      <w:r w:rsidRPr="005B17E4">
        <w:t xml:space="preserve"> protect the educational rights of migrant workers' children, granting derivative residence rights to their parents.</w:t>
      </w:r>
    </w:p>
    <w:p w14:paraId="0AB5C52C" w14:textId="77777777" w:rsidR="00017250" w:rsidRPr="005B17E4" w:rsidRDefault="00017250" w:rsidP="00017250">
      <w:pPr>
        <w:spacing w:before="100" w:beforeAutospacing="1" w:after="100" w:afterAutospacing="1"/>
      </w:pPr>
      <w:r w:rsidRPr="005B17E4">
        <w:rPr>
          <w:b/>
          <w:bCs/>
        </w:rPr>
        <w:t>Article 27 Directive 2004/38</w:t>
      </w:r>
      <w:r w:rsidRPr="005B17E4">
        <w:t xml:space="preserve"> allows expulsion only on grounds of public policy, public security or public health, and must satisfy proportionality requirements (</w:t>
      </w:r>
      <w:proofErr w:type="spellStart"/>
      <w:r w:rsidRPr="005B17E4">
        <w:rPr>
          <w:b/>
          <w:bCs/>
        </w:rPr>
        <w:t>Bouchereau</w:t>
      </w:r>
      <w:proofErr w:type="spellEnd"/>
      <w:r w:rsidRPr="005B17E4">
        <w:rPr>
          <w:b/>
          <w:bCs/>
        </w:rPr>
        <w:t xml:space="preserve"> (Case 30/77)</w:t>
      </w:r>
      <w:r w:rsidRPr="005B17E4">
        <w:t>).</w:t>
      </w:r>
    </w:p>
    <w:p w14:paraId="7A59ED9E" w14:textId="77777777" w:rsidR="00017250" w:rsidRPr="005B17E4" w:rsidRDefault="00017250" w:rsidP="00017250">
      <w:pPr>
        <w:spacing w:before="100" w:beforeAutospacing="1" w:after="100" w:afterAutospacing="1"/>
        <w:outlineLvl w:val="3"/>
        <w:rPr>
          <w:b/>
          <w:bCs/>
        </w:rPr>
      </w:pPr>
      <w:r w:rsidRPr="005B17E4">
        <w:rPr>
          <w:b/>
          <w:bCs/>
        </w:rPr>
        <w:t>Application</w:t>
      </w:r>
    </w:p>
    <w:p w14:paraId="66FDAEEC" w14:textId="77777777" w:rsidR="00017250" w:rsidRPr="005B17E4" w:rsidRDefault="00017250" w:rsidP="00017250">
      <w:pPr>
        <w:spacing w:before="100" w:beforeAutospacing="1" w:after="100" w:afterAutospacing="1"/>
      </w:pPr>
      <w:r w:rsidRPr="005B17E4">
        <w:t xml:space="preserve">Markus worked for one year before becoming unemployed. His initial retention of worker status under </w:t>
      </w:r>
      <w:r w:rsidRPr="005B17E4">
        <w:rPr>
          <w:b/>
          <w:bCs/>
        </w:rPr>
        <w:t>Article 7(3)(b)</w:t>
      </w:r>
      <w:r w:rsidRPr="005B17E4">
        <w:t xml:space="preserve"> was justified. However, after over a year of unemployment, the Netherlands assessed that he no longer had "genuine prospects."</w:t>
      </w:r>
    </w:p>
    <w:p w14:paraId="2D2C7C8F" w14:textId="77777777" w:rsidR="00017250" w:rsidRPr="005B17E4" w:rsidRDefault="00017250" w:rsidP="00017250">
      <w:pPr>
        <w:spacing w:before="100" w:beforeAutospacing="1" w:after="100" w:afterAutospacing="1"/>
      </w:pPr>
      <w:r w:rsidRPr="005B17E4">
        <w:t xml:space="preserve">According to </w:t>
      </w:r>
      <w:proofErr w:type="spellStart"/>
      <w:r w:rsidRPr="005B17E4">
        <w:rPr>
          <w:b/>
          <w:bCs/>
        </w:rPr>
        <w:t>Antonissen</w:t>
      </w:r>
      <w:proofErr w:type="spellEnd"/>
      <w:r w:rsidRPr="005B17E4">
        <w:t>, jobseekers must be given sufficient time, but Markus’s extended unemployment suggests that the Dutch authorities may validly determine the absence of genuine prospects, thus ending his rights under Article 7(3)(b).</w:t>
      </w:r>
    </w:p>
    <w:p w14:paraId="1EB35836" w14:textId="77777777" w:rsidR="00017250" w:rsidRPr="005B17E4" w:rsidRDefault="00017250" w:rsidP="00017250">
      <w:pPr>
        <w:spacing w:before="100" w:beforeAutospacing="1" w:after="100" w:afterAutospacing="1"/>
      </w:pPr>
      <w:r w:rsidRPr="005B17E4">
        <w:t xml:space="preserve">If Markus were no longer a worker, he would have to rely on </w:t>
      </w:r>
      <w:r w:rsidRPr="005B17E4">
        <w:rPr>
          <w:b/>
          <w:bCs/>
        </w:rPr>
        <w:t>Article 7(1)(c)</w:t>
      </w:r>
      <w:r w:rsidRPr="005B17E4">
        <w:t xml:space="preserve">, which requires sufficient resources to avoid becoming a burden. Following </w:t>
      </w:r>
      <w:proofErr w:type="spellStart"/>
      <w:r w:rsidRPr="005B17E4">
        <w:rPr>
          <w:b/>
          <w:bCs/>
        </w:rPr>
        <w:t>Dano</w:t>
      </w:r>
      <w:proofErr w:type="spellEnd"/>
      <w:r w:rsidRPr="005B17E4">
        <w:rPr>
          <w:b/>
          <w:bCs/>
        </w:rPr>
        <w:t xml:space="preserve"> (Case C-333/13)</w:t>
      </w:r>
      <w:r w:rsidRPr="005B17E4">
        <w:t xml:space="preserve"> and </w:t>
      </w:r>
      <w:proofErr w:type="spellStart"/>
      <w:r w:rsidRPr="005B17E4">
        <w:rPr>
          <w:b/>
          <w:bCs/>
        </w:rPr>
        <w:t>Alimanovic</w:t>
      </w:r>
      <w:proofErr w:type="spellEnd"/>
      <w:r w:rsidRPr="005B17E4">
        <w:rPr>
          <w:b/>
          <w:bCs/>
        </w:rPr>
        <w:t xml:space="preserve"> (Case C-67/14)</w:t>
      </w:r>
      <w:r w:rsidRPr="005B17E4">
        <w:t>, the Netherlands could lawfully expel a person becoming an unreasonable burden.</w:t>
      </w:r>
    </w:p>
    <w:p w14:paraId="614BD66C" w14:textId="77777777" w:rsidR="00017250" w:rsidRPr="005B17E4" w:rsidRDefault="00017250" w:rsidP="00017250">
      <w:pPr>
        <w:spacing w:before="100" w:beforeAutospacing="1" w:after="100" w:afterAutospacing="1"/>
      </w:pPr>
      <w:r w:rsidRPr="005B17E4">
        <w:t xml:space="preserve">However, Dirk’s situation invokes </w:t>
      </w:r>
      <w:proofErr w:type="spellStart"/>
      <w:r w:rsidRPr="005B17E4">
        <w:rPr>
          <w:b/>
          <w:bCs/>
        </w:rPr>
        <w:t>Baumbast</w:t>
      </w:r>
      <w:proofErr w:type="spellEnd"/>
      <w:r w:rsidRPr="005B17E4">
        <w:t xml:space="preserve"> and </w:t>
      </w:r>
      <w:r w:rsidRPr="005B17E4">
        <w:rPr>
          <w:b/>
          <w:bCs/>
        </w:rPr>
        <w:t>Teixeira (Case C-480/08)</w:t>
      </w:r>
      <w:r w:rsidRPr="005B17E4">
        <w:t xml:space="preserve">: a child of a migrant worker retains educational rights even if the parent ceases to be a worker. Under </w:t>
      </w:r>
      <w:r w:rsidRPr="005B17E4">
        <w:rPr>
          <w:b/>
          <w:bCs/>
        </w:rPr>
        <w:t>Article 10 of Regulation 492/2011</w:t>
      </w:r>
      <w:r w:rsidRPr="005B17E4">
        <w:t>, Dirk is entitled to continue schooling, and Markus retains derived residence rights to care for him.</w:t>
      </w:r>
    </w:p>
    <w:p w14:paraId="356DE007" w14:textId="77777777" w:rsidR="00017250" w:rsidRPr="005B17E4" w:rsidRDefault="00017250" w:rsidP="00017250">
      <w:pPr>
        <w:spacing w:before="100" w:beforeAutospacing="1" w:after="100" w:afterAutospacing="1"/>
      </w:pPr>
      <w:r w:rsidRPr="005B17E4">
        <w:t xml:space="preserve">Moreover, </w:t>
      </w:r>
      <w:r w:rsidRPr="005B17E4">
        <w:rPr>
          <w:b/>
          <w:bCs/>
        </w:rPr>
        <w:t>Article 8 ECHR</w:t>
      </w:r>
      <w:r w:rsidRPr="005B17E4">
        <w:t xml:space="preserve"> requires that decisions affecting children’s schooling and family life must respect proportionality, as confirmed in </w:t>
      </w:r>
      <w:r w:rsidRPr="005B17E4">
        <w:rPr>
          <w:b/>
          <w:bCs/>
        </w:rPr>
        <w:t>Case C-540/03 Parliament v Council</w:t>
      </w:r>
      <w:r w:rsidRPr="005B17E4">
        <w:t>.</w:t>
      </w:r>
    </w:p>
    <w:p w14:paraId="53382A82" w14:textId="77777777" w:rsidR="00017250" w:rsidRPr="005B17E4" w:rsidRDefault="00017250" w:rsidP="00017250">
      <w:pPr>
        <w:spacing w:before="100" w:beforeAutospacing="1" w:after="100" w:afterAutospacing="1"/>
        <w:outlineLvl w:val="3"/>
        <w:rPr>
          <w:b/>
          <w:bCs/>
        </w:rPr>
      </w:pPr>
      <w:r w:rsidRPr="005B17E4">
        <w:rPr>
          <w:b/>
          <w:bCs/>
        </w:rPr>
        <w:t>Conclusion</w:t>
      </w:r>
    </w:p>
    <w:p w14:paraId="2CC39F62" w14:textId="77777777" w:rsidR="00017250" w:rsidRPr="005B17E4" w:rsidRDefault="00017250" w:rsidP="00017250">
      <w:pPr>
        <w:spacing w:before="100" w:beforeAutospacing="1" w:after="100" w:afterAutospacing="1"/>
      </w:pPr>
      <w:r w:rsidRPr="005B17E4">
        <w:t xml:space="preserve">Although Markus’s personal right to reside may have ceased, Dirk’s educational rights under </w:t>
      </w:r>
      <w:proofErr w:type="spellStart"/>
      <w:r w:rsidRPr="005B17E4">
        <w:rPr>
          <w:b/>
          <w:bCs/>
        </w:rPr>
        <w:t>Baumbast</w:t>
      </w:r>
      <w:proofErr w:type="spellEnd"/>
      <w:r w:rsidRPr="005B17E4">
        <w:t xml:space="preserve"> and </w:t>
      </w:r>
      <w:r w:rsidRPr="005B17E4">
        <w:rPr>
          <w:b/>
          <w:bCs/>
        </w:rPr>
        <w:t>Regulation 492/2011</w:t>
      </w:r>
      <w:r w:rsidRPr="005B17E4">
        <w:t xml:space="preserve"> mean that Markus and Dirk should be permitted to remain in the Netherlands. Deportation would violate EU law and fundamental rights principles.</w:t>
      </w:r>
    </w:p>
    <w:p w14:paraId="67C64A7E" w14:textId="77777777" w:rsidR="00017250" w:rsidRPr="005B17E4" w:rsidRDefault="00462D4E" w:rsidP="00017250">
      <w:r>
        <w:rPr>
          <w:rFonts w:ascii="Arial" w:hAnsi="Arial"/>
          <w:lang w:val="en-GB"/>
        </w:rPr>
      </w:r>
      <w:r>
        <w:rPr>
          <w:rFonts w:ascii="Arial" w:hAnsi="Arial"/>
          <w:lang w:val="en-GB"/>
        </w:rPr>
        <w:pict w14:anchorId="71A6BADE">
          <v:rect id="Horizontal Line 1"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24A016" w14:textId="77777777" w:rsidR="00017250" w:rsidRPr="005B17E4" w:rsidRDefault="00017250" w:rsidP="00017250">
      <w:pPr>
        <w:spacing w:before="100" w:beforeAutospacing="1" w:after="100" w:afterAutospacing="1"/>
        <w:outlineLvl w:val="1"/>
        <w:rPr>
          <w:b/>
          <w:bCs/>
        </w:rPr>
      </w:pPr>
      <w:r w:rsidRPr="005B17E4">
        <w:rPr>
          <w:b/>
          <w:bCs/>
        </w:rPr>
        <w:t>Brigitte</w:t>
      </w:r>
    </w:p>
    <w:p w14:paraId="411E3D71" w14:textId="77777777" w:rsidR="00017250" w:rsidRPr="005B17E4" w:rsidRDefault="00017250" w:rsidP="00017250">
      <w:pPr>
        <w:spacing w:before="100" w:beforeAutospacing="1" w:after="100" w:afterAutospacing="1"/>
        <w:outlineLvl w:val="2"/>
        <w:rPr>
          <w:b/>
          <w:bCs/>
        </w:rPr>
      </w:pPr>
      <w:r w:rsidRPr="005B17E4">
        <w:rPr>
          <w:b/>
          <w:bCs/>
        </w:rPr>
        <w:lastRenderedPageBreak/>
        <w:t>Refusal of Maintenance Assistance in Ireland</w:t>
      </w:r>
    </w:p>
    <w:p w14:paraId="4027DC89" w14:textId="77777777" w:rsidR="00017250" w:rsidRPr="005B17E4" w:rsidRDefault="00017250" w:rsidP="00017250">
      <w:pPr>
        <w:spacing w:before="100" w:beforeAutospacing="1" w:after="100" w:afterAutospacing="1"/>
        <w:outlineLvl w:val="3"/>
        <w:rPr>
          <w:b/>
          <w:bCs/>
        </w:rPr>
      </w:pPr>
      <w:r w:rsidRPr="005B17E4">
        <w:rPr>
          <w:b/>
          <w:bCs/>
        </w:rPr>
        <w:t>Legal Framework</w:t>
      </w:r>
    </w:p>
    <w:p w14:paraId="54444E5B" w14:textId="77777777" w:rsidR="00017250" w:rsidRPr="005B17E4" w:rsidRDefault="00017250" w:rsidP="00017250">
      <w:pPr>
        <w:spacing w:before="100" w:beforeAutospacing="1" w:after="100" w:afterAutospacing="1"/>
      </w:pPr>
      <w:r w:rsidRPr="005B17E4">
        <w:t xml:space="preserve">A person engaging in effective and genuine work qualifies as a "worker" under </w:t>
      </w:r>
      <w:r w:rsidRPr="005B17E4">
        <w:rPr>
          <w:b/>
          <w:bCs/>
        </w:rPr>
        <w:t>Article 45 TFEU</w:t>
      </w:r>
      <w:r w:rsidRPr="005B17E4">
        <w:t>, even if part-time and low-paid (</w:t>
      </w:r>
      <w:r w:rsidRPr="005B17E4">
        <w:rPr>
          <w:b/>
          <w:bCs/>
        </w:rPr>
        <w:t>Levin (Case 53/81)</w:t>
      </w:r>
      <w:r w:rsidRPr="005B17E4">
        <w:t xml:space="preserve">, </w:t>
      </w:r>
      <w:proofErr w:type="spellStart"/>
      <w:r w:rsidRPr="005B17E4">
        <w:rPr>
          <w:b/>
          <w:bCs/>
        </w:rPr>
        <w:t>Kempf</w:t>
      </w:r>
      <w:proofErr w:type="spellEnd"/>
      <w:r w:rsidRPr="005B17E4">
        <w:rPr>
          <w:b/>
          <w:bCs/>
        </w:rPr>
        <w:t xml:space="preserve"> (Case 139/85)</w:t>
      </w:r>
      <w:r w:rsidRPr="005B17E4">
        <w:t xml:space="preserve">, </w:t>
      </w:r>
      <w:proofErr w:type="spellStart"/>
      <w:r w:rsidRPr="005B17E4">
        <w:rPr>
          <w:b/>
          <w:bCs/>
        </w:rPr>
        <w:t>Raulin</w:t>
      </w:r>
      <w:proofErr w:type="spellEnd"/>
      <w:r w:rsidRPr="005B17E4">
        <w:rPr>
          <w:b/>
          <w:bCs/>
        </w:rPr>
        <w:t xml:space="preserve"> (Case C-357/89)</w:t>
      </w:r>
      <w:r w:rsidRPr="005B17E4">
        <w:t>).</w:t>
      </w:r>
    </w:p>
    <w:p w14:paraId="5B7EEA0D" w14:textId="77777777" w:rsidR="00017250" w:rsidRPr="005B17E4" w:rsidRDefault="00017250" w:rsidP="00017250">
      <w:pPr>
        <w:spacing w:before="100" w:beforeAutospacing="1" w:after="100" w:afterAutospacing="1"/>
      </w:pPr>
      <w:r w:rsidRPr="005B17E4">
        <w:rPr>
          <w:b/>
          <w:bCs/>
        </w:rPr>
        <w:t>Article 7(2) of Regulation 492/2011</w:t>
      </w:r>
      <w:r w:rsidRPr="005B17E4">
        <w:t xml:space="preserve"> guarantees workers access to social advantages without discrimination.</w:t>
      </w:r>
    </w:p>
    <w:p w14:paraId="2EE5CB44" w14:textId="77777777" w:rsidR="00017250" w:rsidRPr="005B17E4" w:rsidRDefault="00017250" w:rsidP="00017250">
      <w:pPr>
        <w:spacing w:before="100" w:beforeAutospacing="1" w:after="100" w:afterAutospacing="1"/>
      </w:pPr>
      <w:r w:rsidRPr="005B17E4">
        <w:rPr>
          <w:b/>
          <w:bCs/>
        </w:rPr>
        <w:t>Directive 2004/38/EC, Article 7(3)(d)</w:t>
      </w:r>
      <w:r w:rsidRPr="005B17E4">
        <w:t xml:space="preserve"> protects workers who pursue vocational training related to previous employment, maintaining their status.</w:t>
      </w:r>
    </w:p>
    <w:p w14:paraId="40B3C1AD" w14:textId="77777777" w:rsidR="00017250" w:rsidRPr="005B17E4" w:rsidRDefault="00017250" w:rsidP="00017250">
      <w:pPr>
        <w:spacing w:before="100" w:beforeAutospacing="1" w:after="100" w:afterAutospacing="1"/>
      </w:pPr>
      <w:r w:rsidRPr="005B17E4">
        <w:t xml:space="preserve">In </w:t>
      </w:r>
      <w:r w:rsidRPr="005B17E4">
        <w:rPr>
          <w:b/>
          <w:bCs/>
        </w:rPr>
        <w:t>Lair (Case 39/86)</w:t>
      </w:r>
      <w:r w:rsidRPr="005B17E4">
        <w:t xml:space="preserve"> and </w:t>
      </w:r>
      <w:r w:rsidRPr="005B17E4">
        <w:rPr>
          <w:b/>
          <w:bCs/>
        </w:rPr>
        <w:t>Brown (Case 197/86)</w:t>
      </w:r>
      <w:r w:rsidRPr="005B17E4">
        <w:t>, the CJEU distinguished between vocational training related to previous employment (covered) and unrelated studies (not covered).</w:t>
      </w:r>
    </w:p>
    <w:p w14:paraId="4B19D8BF" w14:textId="77777777" w:rsidR="00017250" w:rsidRPr="005B17E4" w:rsidRDefault="00017250" w:rsidP="00017250">
      <w:pPr>
        <w:spacing w:before="100" w:beforeAutospacing="1" w:after="100" w:afterAutospacing="1"/>
      </w:pPr>
      <w:proofErr w:type="spellStart"/>
      <w:r w:rsidRPr="005B17E4">
        <w:rPr>
          <w:b/>
          <w:bCs/>
        </w:rPr>
        <w:t>Vatsouras</w:t>
      </w:r>
      <w:proofErr w:type="spellEnd"/>
      <w:r w:rsidRPr="005B17E4">
        <w:rPr>
          <w:b/>
          <w:bCs/>
        </w:rPr>
        <w:t xml:space="preserve"> (Cases C-22/08 and C-23/08)</w:t>
      </w:r>
      <w:r w:rsidRPr="005B17E4">
        <w:t xml:space="preserve"> held that benefits facilitating labour market integration cannot be denied under Article 24(2) of Directive 2004/38.</w:t>
      </w:r>
    </w:p>
    <w:p w14:paraId="399CFB7E" w14:textId="77777777" w:rsidR="00017250" w:rsidRPr="005B17E4" w:rsidRDefault="00017250" w:rsidP="00017250">
      <w:pPr>
        <w:spacing w:before="100" w:beforeAutospacing="1" w:after="100" w:afterAutospacing="1"/>
        <w:outlineLvl w:val="3"/>
        <w:rPr>
          <w:b/>
          <w:bCs/>
        </w:rPr>
      </w:pPr>
      <w:r w:rsidRPr="005B17E4">
        <w:rPr>
          <w:b/>
          <w:bCs/>
        </w:rPr>
        <w:t>Application</w:t>
      </w:r>
    </w:p>
    <w:p w14:paraId="5668DE06" w14:textId="77777777" w:rsidR="00017250" w:rsidRPr="005B17E4" w:rsidRDefault="00017250" w:rsidP="00017250">
      <w:pPr>
        <w:spacing w:before="100" w:beforeAutospacing="1" w:after="100" w:afterAutospacing="1"/>
      </w:pPr>
      <w:r w:rsidRPr="005B17E4">
        <w:t xml:space="preserve">Brigitte, a Belgian national, worked part-time in Ireland, which satisfies the effective and genuine work criterion under </w:t>
      </w:r>
      <w:r w:rsidRPr="005B17E4">
        <w:rPr>
          <w:b/>
          <w:bCs/>
        </w:rPr>
        <w:t>Levin</w:t>
      </w:r>
      <w:r w:rsidRPr="005B17E4">
        <w:t xml:space="preserve"> and </w:t>
      </w:r>
      <w:proofErr w:type="spellStart"/>
      <w:r w:rsidRPr="005B17E4">
        <w:rPr>
          <w:b/>
          <w:bCs/>
        </w:rPr>
        <w:t>Kempf</w:t>
      </w:r>
      <w:proofErr w:type="spellEnd"/>
      <w:r w:rsidRPr="005B17E4">
        <w:t>.</w:t>
      </w:r>
    </w:p>
    <w:p w14:paraId="101A7070" w14:textId="77777777" w:rsidR="00017250" w:rsidRPr="005B17E4" w:rsidRDefault="00017250" w:rsidP="00017250">
      <w:pPr>
        <w:spacing w:before="100" w:beforeAutospacing="1" w:after="100" w:afterAutospacing="1"/>
      </w:pPr>
      <w:r w:rsidRPr="005B17E4">
        <w:t xml:space="preserve">Upon ceasing work to study accountancy, she may retain worker status under </w:t>
      </w:r>
      <w:r w:rsidRPr="005B17E4">
        <w:rPr>
          <w:b/>
          <w:bCs/>
        </w:rPr>
        <w:t>Article 7(3)(d)</w:t>
      </w:r>
      <w:r w:rsidRPr="005B17E4">
        <w:t xml:space="preserve"> if the training is linked to her previous occupation. Although catering and accountancy differ, financial management is sufficiently connected to business operations that a broad interpretation under </w:t>
      </w:r>
      <w:r w:rsidRPr="005B17E4">
        <w:rPr>
          <w:b/>
          <w:bCs/>
        </w:rPr>
        <w:t>Jessy Saint Prix (Case C-507/12)</w:t>
      </w:r>
      <w:r w:rsidRPr="005B17E4">
        <w:t xml:space="preserve"> would likely preserve her status.</w:t>
      </w:r>
    </w:p>
    <w:p w14:paraId="61582D83" w14:textId="77777777" w:rsidR="00017250" w:rsidRPr="005B17E4" w:rsidRDefault="00017250" w:rsidP="00017250">
      <w:pPr>
        <w:spacing w:before="100" w:beforeAutospacing="1" w:after="100" w:afterAutospacing="1"/>
      </w:pPr>
      <w:r w:rsidRPr="005B17E4">
        <w:t xml:space="preserve">Alternatively, as a jobseeker under </w:t>
      </w:r>
      <w:proofErr w:type="spellStart"/>
      <w:r w:rsidRPr="005B17E4">
        <w:rPr>
          <w:b/>
          <w:bCs/>
        </w:rPr>
        <w:t>Antonissen</w:t>
      </w:r>
      <w:proofErr w:type="spellEnd"/>
      <w:r w:rsidRPr="005B17E4">
        <w:t>, Brigitte would still benefit from non-discriminatory access to benefits aiding labour market integration (</w:t>
      </w:r>
      <w:proofErr w:type="spellStart"/>
      <w:r w:rsidRPr="005B17E4">
        <w:rPr>
          <w:b/>
          <w:bCs/>
        </w:rPr>
        <w:t>Vatsouras</w:t>
      </w:r>
      <w:proofErr w:type="spellEnd"/>
      <w:r w:rsidRPr="005B17E4">
        <w:t>).</w:t>
      </w:r>
    </w:p>
    <w:p w14:paraId="0ED6D69B" w14:textId="77777777" w:rsidR="00017250" w:rsidRPr="005B17E4" w:rsidRDefault="00017250" w:rsidP="00017250">
      <w:pPr>
        <w:spacing w:before="100" w:beforeAutospacing="1" w:after="100" w:afterAutospacing="1"/>
      </w:pPr>
      <w:r w:rsidRPr="005B17E4">
        <w:t xml:space="preserve">Maintenance assistance is a "social advantage" within </w:t>
      </w:r>
      <w:r w:rsidRPr="005B17E4">
        <w:rPr>
          <w:b/>
          <w:bCs/>
        </w:rPr>
        <w:t>Article 7(2) Regulation 492/2011</w:t>
      </w:r>
      <w:r w:rsidRPr="005B17E4">
        <w:t xml:space="preserve">, as recognised in </w:t>
      </w:r>
      <w:r w:rsidRPr="005B17E4">
        <w:rPr>
          <w:b/>
          <w:bCs/>
        </w:rPr>
        <w:t>Reina</w:t>
      </w:r>
      <w:r w:rsidRPr="005B17E4">
        <w:t xml:space="preserve"> and </w:t>
      </w:r>
      <w:r w:rsidRPr="005B17E4">
        <w:rPr>
          <w:b/>
          <w:bCs/>
        </w:rPr>
        <w:t>Collins (Case C-138/02)</w:t>
      </w:r>
      <w:r w:rsidRPr="005B17E4">
        <w:t>.</w:t>
      </w:r>
    </w:p>
    <w:p w14:paraId="62F3ADE1" w14:textId="77777777" w:rsidR="00017250" w:rsidRPr="005B17E4" w:rsidRDefault="00017250" w:rsidP="00017250">
      <w:pPr>
        <w:spacing w:before="100" w:beforeAutospacing="1" w:after="100" w:afterAutospacing="1"/>
      </w:pPr>
      <w:r w:rsidRPr="005B17E4">
        <w:t xml:space="preserve">Ireland’s blanket exclusion of students, without assessing prior worker status or integration, constitutes indirect discrimination breaching </w:t>
      </w:r>
      <w:r w:rsidRPr="005B17E4">
        <w:rPr>
          <w:b/>
          <w:bCs/>
        </w:rPr>
        <w:t>Article 45 TFEU</w:t>
      </w:r>
      <w:r w:rsidRPr="005B17E4">
        <w:t xml:space="preserve"> and </w:t>
      </w:r>
      <w:r w:rsidRPr="005B17E4">
        <w:rPr>
          <w:b/>
          <w:bCs/>
        </w:rPr>
        <w:t>Regulation 492/2011</w:t>
      </w:r>
      <w:r w:rsidRPr="005B17E4">
        <w:t xml:space="preserve">. As confirmed in </w:t>
      </w:r>
      <w:r w:rsidRPr="005B17E4">
        <w:rPr>
          <w:b/>
          <w:bCs/>
        </w:rPr>
        <w:t>Bidar (Case C-209/03)</w:t>
      </w:r>
      <w:r w:rsidRPr="005B17E4">
        <w:t>, sufficient integration removes justification for denying education-related support.</w:t>
      </w:r>
    </w:p>
    <w:p w14:paraId="39628C12" w14:textId="77777777" w:rsidR="00017250" w:rsidRPr="005B17E4" w:rsidRDefault="00017250" w:rsidP="00017250">
      <w:pPr>
        <w:spacing w:before="100" w:beforeAutospacing="1" w:after="100" w:afterAutospacing="1"/>
      </w:pPr>
      <w:r w:rsidRPr="005B17E4">
        <w:t xml:space="preserve">Although </w:t>
      </w:r>
      <w:proofErr w:type="spellStart"/>
      <w:r w:rsidRPr="005B17E4">
        <w:rPr>
          <w:b/>
          <w:bCs/>
        </w:rPr>
        <w:t>Förster</w:t>
      </w:r>
      <w:proofErr w:type="spellEnd"/>
      <w:r w:rsidRPr="005B17E4">
        <w:rPr>
          <w:b/>
          <w:bCs/>
        </w:rPr>
        <w:t xml:space="preserve"> (Case C-158/07)</w:t>
      </w:r>
      <w:r w:rsidRPr="005B17E4">
        <w:t xml:space="preserve"> imposed a five-year residence requirement for purely inactive citizens, Brigitte, as a former worker, falls outside its scope.</w:t>
      </w:r>
    </w:p>
    <w:p w14:paraId="14A467A2" w14:textId="77777777" w:rsidR="00017250" w:rsidRPr="005B17E4" w:rsidRDefault="00017250" w:rsidP="00017250">
      <w:pPr>
        <w:spacing w:before="100" w:beforeAutospacing="1" w:after="100" w:afterAutospacing="1"/>
        <w:outlineLvl w:val="3"/>
        <w:rPr>
          <w:b/>
          <w:bCs/>
        </w:rPr>
      </w:pPr>
      <w:r w:rsidRPr="005B17E4">
        <w:rPr>
          <w:b/>
          <w:bCs/>
        </w:rPr>
        <w:t>Conclusion</w:t>
      </w:r>
    </w:p>
    <w:p w14:paraId="02286435" w14:textId="77777777" w:rsidR="00017250" w:rsidRPr="005B17E4" w:rsidRDefault="00017250" w:rsidP="00017250">
      <w:pPr>
        <w:spacing w:before="100" w:beforeAutospacing="1" w:after="100" w:afterAutospacing="1"/>
      </w:pPr>
      <w:r w:rsidRPr="005B17E4">
        <w:t xml:space="preserve">Brigitte retains her worker status and is entitled to maintenance assistance under </w:t>
      </w:r>
      <w:r w:rsidRPr="005B17E4">
        <w:rPr>
          <w:b/>
          <w:bCs/>
        </w:rPr>
        <w:t>Article 45 TFEU</w:t>
      </w:r>
      <w:r w:rsidRPr="005B17E4">
        <w:t xml:space="preserve"> and </w:t>
      </w:r>
      <w:r w:rsidRPr="005B17E4">
        <w:rPr>
          <w:b/>
          <w:bCs/>
        </w:rPr>
        <w:t>Regulation 492/2011</w:t>
      </w:r>
      <w:r w:rsidRPr="005B17E4">
        <w:t xml:space="preserve">. Ireland’s refusal breaches EU law principles, and a reference under </w:t>
      </w:r>
      <w:r w:rsidRPr="005B17E4">
        <w:rPr>
          <w:b/>
          <w:bCs/>
        </w:rPr>
        <w:t>Article 267 TFEU</w:t>
      </w:r>
      <w:r w:rsidRPr="005B17E4">
        <w:t xml:space="preserve"> is advisable if necessary.</w:t>
      </w:r>
    </w:p>
    <w:p w14:paraId="6298FB20" w14:textId="77777777" w:rsidR="00017250" w:rsidRPr="005B17E4" w:rsidRDefault="00462D4E" w:rsidP="00017250">
      <w:r>
        <w:rPr>
          <w:rFonts w:ascii="Arial" w:hAnsi="Arial"/>
          <w:lang w:val="en-GB"/>
        </w:rPr>
      </w:r>
      <w:r>
        <w:rPr>
          <w:rFonts w:ascii="Arial" w:hAnsi="Arial"/>
          <w:lang w:val="en-GB"/>
        </w:rPr>
        <w:pict w14:anchorId="2E989967">
          <v:rect id="Horizontal Line 2"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E6EB79" w14:textId="77777777" w:rsidR="00017250" w:rsidRPr="005B17E4" w:rsidRDefault="00017250" w:rsidP="00017250">
      <w:pPr>
        <w:spacing w:before="100" w:beforeAutospacing="1" w:after="100" w:afterAutospacing="1"/>
        <w:outlineLvl w:val="1"/>
        <w:rPr>
          <w:b/>
          <w:bCs/>
        </w:rPr>
      </w:pPr>
      <w:r w:rsidRPr="005B17E4">
        <w:rPr>
          <w:b/>
          <w:bCs/>
        </w:rPr>
        <w:t>Maria</w:t>
      </w:r>
    </w:p>
    <w:p w14:paraId="32E43A34" w14:textId="77777777" w:rsidR="00017250" w:rsidRPr="005B17E4" w:rsidRDefault="00017250" w:rsidP="00017250">
      <w:pPr>
        <w:spacing w:before="100" w:beforeAutospacing="1" w:after="100" w:afterAutospacing="1"/>
        <w:outlineLvl w:val="2"/>
        <w:rPr>
          <w:b/>
          <w:bCs/>
        </w:rPr>
      </w:pPr>
      <w:r w:rsidRPr="005B17E4">
        <w:rPr>
          <w:b/>
          <w:bCs/>
        </w:rPr>
        <w:t>Refusal of Employment in Poland</w:t>
      </w:r>
    </w:p>
    <w:p w14:paraId="7899AE09" w14:textId="77777777" w:rsidR="00017250" w:rsidRPr="005B17E4" w:rsidRDefault="00017250" w:rsidP="00017250">
      <w:pPr>
        <w:spacing w:before="100" w:beforeAutospacing="1" w:after="100" w:afterAutospacing="1"/>
        <w:outlineLvl w:val="3"/>
        <w:rPr>
          <w:b/>
          <w:bCs/>
        </w:rPr>
      </w:pPr>
      <w:r w:rsidRPr="005B17E4">
        <w:rPr>
          <w:b/>
          <w:bCs/>
        </w:rPr>
        <w:t>Legal Framework</w:t>
      </w:r>
    </w:p>
    <w:p w14:paraId="3AB6849C" w14:textId="77777777" w:rsidR="00017250" w:rsidRPr="005B17E4" w:rsidRDefault="00017250" w:rsidP="00017250">
      <w:pPr>
        <w:spacing w:before="100" w:beforeAutospacing="1" w:after="100" w:afterAutospacing="1"/>
      </w:pPr>
      <w:r w:rsidRPr="005B17E4">
        <w:rPr>
          <w:b/>
          <w:bCs/>
        </w:rPr>
        <w:t>Article 45 TFEU</w:t>
      </w:r>
      <w:r w:rsidRPr="005B17E4">
        <w:t xml:space="preserve"> protects jobseekers against discrimination based on nationality, as recognised in </w:t>
      </w:r>
      <w:proofErr w:type="spellStart"/>
      <w:r w:rsidRPr="005B17E4">
        <w:rPr>
          <w:b/>
          <w:bCs/>
        </w:rPr>
        <w:t>Antonissen</w:t>
      </w:r>
      <w:proofErr w:type="spellEnd"/>
      <w:r w:rsidRPr="005B17E4">
        <w:t>.</w:t>
      </w:r>
    </w:p>
    <w:p w14:paraId="070A1963" w14:textId="77777777" w:rsidR="00017250" w:rsidRPr="005B17E4" w:rsidRDefault="00017250" w:rsidP="00017250">
      <w:pPr>
        <w:spacing w:before="100" w:beforeAutospacing="1" w:after="100" w:afterAutospacing="1"/>
      </w:pPr>
      <w:r w:rsidRPr="005B17E4">
        <w:rPr>
          <w:b/>
          <w:bCs/>
        </w:rPr>
        <w:t>Direct discrimination</w:t>
      </w:r>
      <w:r w:rsidRPr="005B17E4">
        <w:t xml:space="preserve"> is unlawful unless justified under </w:t>
      </w:r>
      <w:r w:rsidRPr="005B17E4">
        <w:rPr>
          <w:b/>
          <w:bCs/>
        </w:rPr>
        <w:t>Article 45(3)</w:t>
      </w:r>
      <w:r w:rsidRPr="005B17E4">
        <w:t xml:space="preserve"> (public policy/security/health) or the narrowly interpreted </w:t>
      </w:r>
      <w:r w:rsidRPr="005B17E4">
        <w:rPr>
          <w:b/>
          <w:bCs/>
        </w:rPr>
        <w:t>Article 45(4)</w:t>
      </w:r>
      <w:r w:rsidRPr="005B17E4">
        <w:t xml:space="preserve"> public service exemption.</w:t>
      </w:r>
    </w:p>
    <w:p w14:paraId="297C8DBC" w14:textId="77777777" w:rsidR="00017250" w:rsidRPr="005B17E4" w:rsidRDefault="00017250" w:rsidP="00017250">
      <w:pPr>
        <w:spacing w:before="100" w:beforeAutospacing="1" w:after="100" w:afterAutospacing="1"/>
      </w:pPr>
      <w:r w:rsidRPr="005B17E4">
        <w:t xml:space="preserve">In </w:t>
      </w:r>
      <w:r w:rsidRPr="005B17E4">
        <w:rPr>
          <w:b/>
          <w:bCs/>
        </w:rPr>
        <w:t>Commission v Belgium (Case 149/79)</w:t>
      </w:r>
      <w:r w:rsidRPr="005B17E4">
        <w:t xml:space="preserve"> and </w:t>
      </w:r>
      <w:r w:rsidRPr="005B17E4">
        <w:rPr>
          <w:b/>
          <w:bCs/>
        </w:rPr>
        <w:t>Case 225/85 Commission v Italy</w:t>
      </w:r>
      <w:r w:rsidRPr="005B17E4">
        <w:t>, the Court stressed that only posts involving genuine exercise of public authority justify national restrictions.</w:t>
      </w:r>
    </w:p>
    <w:p w14:paraId="2A562390" w14:textId="77777777" w:rsidR="00017250" w:rsidRPr="005B17E4" w:rsidRDefault="00017250" w:rsidP="00017250">
      <w:pPr>
        <w:spacing w:before="100" w:beforeAutospacing="1" w:after="100" w:afterAutospacing="1"/>
      </w:pPr>
      <w:r w:rsidRPr="005B17E4">
        <w:t>Language requirements must comply with the proportionality principle (</w:t>
      </w:r>
      <w:r w:rsidRPr="005B17E4">
        <w:rPr>
          <w:b/>
          <w:bCs/>
        </w:rPr>
        <w:t>Groener (Case 379/87)</w:t>
      </w:r>
      <w:r w:rsidRPr="005B17E4">
        <w:t>).</w:t>
      </w:r>
    </w:p>
    <w:p w14:paraId="459F22FB" w14:textId="77777777" w:rsidR="00017250" w:rsidRPr="005B17E4" w:rsidRDefault="00017250" w:rsidP="00017250">
      <w:pPr>
        <w:spacing w:before="100" w:beforeAutospacing="1" w:after="100" w:afterAutospacing="1"/>
        <w:outlineLvl w:val="3"/>
        <w:rPr>
          <w:b/>
          <w:bCs/>
        </w:rPr>
      </w:pPr>
      <w:r w:rsidRPr="005B17E4">
        <w:rPr>
          <w:b/>
          <w:bCs/>
        </w:rPr>
        <w:t>Application</w:t>
      </w:r>
    </w:p>
    <w:p w14:paraId="050DBE98" w14:textId="77777777" w:rsidR="00017250" w:rsidRPr="005B17E4" w:rsidRDefault="00017250" w:rsidP="00017250">
      <w:pPr>
        <w:spacing w:before="100" w:beforeAutospacing="1" w:after="100" w:afterAutospacing="1"/>
      </w:pPr>
      <w:r w:rsidRPr="005B17E4">
        <w:t>Maria was refused a fixed-term post in the Polish Ministry of Defence for two reasons: nationality (Spain does not border Poland) and lack of English proficiency.</w:t>
      </w:r>
    </w:p>
    <w:p w14:paraId="7B5584AA" w14:textId="77777777" w:rsidR="00017250" w:rsidRPr="005B17E4" w:rsidRDefault="00017250" w:rsidP="00017250">
      <w:pPr>
        <w:spacing w:before="100" w:beforeAutospacing="1" w:after="100" w:afterAutospacing="1"/>
      </w:pPr>
      <w:r w:rsidRPr="005B17E4">
        <w:t xml:space="preserve">The nationality requirement is </w:t>
      </w:r>
      <w:r w:rsidRPr="005B17E4">
        <w:rPr>
          <w:b/>
          <w:bCs/>
        </w:rPr>
        <w:t>direct discrimination</w:t>
      </w:r>
      <w:r w:rsidRPr="005B17E4">
        <w:t xml:space="preserve"> prohibited by </w:t>
      </w:r>
      <w:r w:rsidRPr="005B17E4">
        <w:rPr>
          <w:b/>
          <w:bCs/>
        </w:rPr>
        <w:t>Article 45(2)</w:t>
      </w:r>
      <w:r w:rsidRPr="005B17E4">
        <w:t xml:space="preserve">. Unless the role genuinely involves exercising public authority, the public service exemption under </w:t>
      </w:r>
      <w:r w:rsidRPr="005B17E4">
        <w:rPr>
          <w:b/>
          <w:bCs/>
        </w:rPr>
        <w:t>Article 45(4)</w:t>
      </w:r>
      <w:r w:rsidRPr="005B17E4">
        <w:t xml:space="preserve"> does not apply. The role appears administrative, not involving the exercise of coercive power, falling outside </w:t>
      </w:r>
      <w:r w:rsidRPr="005B17E4">
        <w:rPr>
          <w:b/>
          <w:bCs/>
        </w:rPr>
        <w:t>Commission v Belgium</w:t>
      </w:r>
      <w:r w:rsidRPr="005B17E4">
        <w:t xml:space="preserve"> criteria.</w:t>
      </w:r>
    </w:p>
    <w:p w14:paraId="1ACF577C" w14:textId="77777777" w:rsidR="00017250" w:rsidRPr="005B17E4" w:rsidRDefault="00017250" w:rsidP="00017250">
      <w:pPr>
        <w:spacing w:before="100" w:beforeAutospacing="1" w:after="100" w:afterAutospacing="1"/>
      </w:pPr>
      <w:r w:rsidRPr="005B17E4">
        <w:t xml:space="preserve">The English language requirement may constitute </w:t>
      </w:r>
      <w:r w:rsidRPr="005B17E4">
        <w:rPr>
          <w:b/>
          <w:bCs/>
        </w:rPr>
        <w:t>indirect discrimination</w:t>
      </w:r>
      <w:r w:rsidRPr="005B17E4">
        <w:t xml:space="preserve">, but could be justified under </w:t>
      </w:r>
      <w:r w:rsidRPr="005B17E4">
        <w:rPr>
          <w:b/>
          <w:bCs/>
        </w:rPr>
        <w:t>Groener</w:t>
      </w:r>
      <w:r w:rsidRPr="005B17E4">
        <w:t xml:space="preserve"> if necessary for operational reasons. However, no evidence suggests English proficiency is indispensable, especially where the working language of the Polish Ministry is Polish.</w:t>
      </w:r>
    </w:p>
    <w:p w14:paraId="1F5BEEEA" w14:textId="77777777" w:rsidR="00017250" w:rsidRPr="005B17E4" w:rsidRDefault="00017250" w:rsidP="00017250">
      <w:pPr>
        <w:spacing w:before="100" w:beforeAutospacing="1" w:after="100" w:afterAutospacing="1"/>
        <w:outlineLvl w:val="3"/>
        <w:rPr>
          <w:b/>
          <w:bCs/>
        </w:rPr>
      </w:pPr>
      <w:r w:rsidRPr="005B17E4">
        <w:rPr>
          <w:b/>
          <w:bCs/>
        </w:rPr>
        <w:t>Conclusion</w:t>
      </w:r>
    </w:p>
    <w:p w14:paraId="24E949B2" w14:textId="77777777" w:rsidR="00017250" w:rsidRPr="005B17E4" w:rsidRDefault="00017250" w:rsidP="00017250">
      <w:pPr>
        <w:spacing w:before="100" w:beforeAutospacing="1" w:after="100" w:afterAutospacing="1"/>
      </w:pPr>
      <w:r w:rsidRPr="005B17E4">
        <w:t>The bordering-state requirement constitutes unlawful discrimination. The English-language requirement could only be justified if strictly necessary and proportionate, which appears unlikely. Maria has strong grounds to challenge the refusal.</w:t>
      </w:r>
    </w:p>
    <w:p w14:paraId="5BBCBD66" w14:textId="5C5C2C3F" w:rsidR="00017250" w:rsidRPr="005B17E4" w:rsidRDefault="00017250" w:rsidP="00017250">
      <w:pPr>
        <w:rPr>
          <w:b/>
          <w:bCs/>
        </w:rPr>
      </w:pPr>
      <w:r w:rsidRPr="005B17E4">
        <w:rPr>
          <w:b/>
          <w:bCs/>
        </w:rPr>
        <w:t>Summary: Legal Position</w:t>
      </w:r>
    </w:p>
    <w:p w14:paraId="72BAE72A" w14:textId="4D78DC75" w:rsidR="00017250" w:rsidRPr="005B17E4" w:rsidRDefault="00017250" w:rsidP="00017250">
      <w:r w:rsidRPr="005B17E4">
        <w:t>Markus: Denial of subsistence payment constitutes unlawful restriction; deportation unjustified due to Dirk’s educational rights.</w:t>
      </w:r>
    </w:p>
    <w:p w14:paraId="074332CB" w14:textId="157BFEA9" w:rsidR="00017250" w:rsidRPr="005B17E4" w:rsidRDefault="00017250" w:rsidP="00017250">
      <w:r w:rsidRPr="005B17E4">
        <w:t>Brigitte: Retains worker status; entitled to maintenance assistance; refusal is unlawful.</w:t>
      </w:r>
    </w:p>
    <w:p w14:paraId="017AFC0B" w14:textId="6CDE3F59" w:rsidR="00017250" w:rsidRPr="005B17E4" w:rsidRDefault="00017250" w:rsidP="00017250">
      <w:r w:rsidRPr="005B17E4">
        <w:t>Maria: Bordering-state rule is direct discrimination; language requirement unlikely justified; refusal breaches Article 45 TFEU.</w:t>
      </w:r>
    </w:p>
    <w:sectPr w:rsidR="00017250" w:rsidRPr="005B1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
    <w:altName w:val="Times New Roman"/>
    <w:panose1 w:val="020B0604020202020204"/>
    <w:charset w:val="00"/>
    <w:family w:val="roman"/>
    <w:pitch w:val="default"/>
  </w:font>
  <w:font w:name="PingFang TC">
    <w:panose1 w:val="020B0400000000000000"/>
    <w:charset w:val="88"/>
    <w:family w:val="swiss"/>
    <w:pitch w:val="variable"/>
    <w:sig w:usb0="A00002FF" w:usb1="7ACFFDFB" w:usb2="00000017" w:usb3="00000000" w:csb0="00100001" w:csb1="00000000"/>
  </w:font>
  <w:font w:name="TimesNewRomanPSMT">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469C"/>
    <w:multiLevelType w:val="multilevel"/>
    <w:tmpl w:val="2B84D5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AB00C7"/>
    <w:multiLevelType w:val="multilevel"/>
    <w:tmpl w:val="181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627E"/>
    <w:multiLevelType w:val="multilevel"/>
    <w:tmpl w:val="76B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AB5"/>
    <w:multiLevelType w:val="multilevel"/>
    <w:tmpl w:val="F41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9E9"/>
    <w:multiLevelType w:val="multilevel"/>
    <w:tmpl w:val="5F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25C00"/>
    <w:multiLevelType w:val="multilevel"/>
    <w:tmpl w:val="543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F7F"/>
    <w:multiLevelType w:val="multilevel"/>
    <w:tmpl w:val="5A6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34D38"/>
    <w:multiLevelType w:val="multilevel"/>
    <w:tmpl w:val="28B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47D9E"/>
    <w:multiLevelType w:val="multilevel"/>
    <w:tmpl w:val="F06C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C2DA2"/>
    <w:multiLevelType w:val="multilevel"/>
    <w:tmpl w:val="B60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9378F"/>
    <w:multiLevelType w:val="multilevel"/>
    <w:tmpl w:val="65A268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7E02DD9"/>
    <w:multiLevelType w:val="multilevel"/>
    <w:tmpl w:val="3EB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F7964"/>
    <w:multiLevelType w:val="multilevel"/>
    <w:tmpl w:val="88A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97856"/>
    <w:multiLevelType w:val="multilevel"/>
    <w:tmpl w:val="8E76B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AAB3707"/>
    <w:multiLevelType w:val="multilevel"/>
    <w:tmpl w:val="9AC893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AD3556E"/>
    <w:multiLevelType w:val="multilevel"/>
    <w:tmpl w:val="58E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71D86"/>
    <w:multiLevelType w:val="multilevel"/>
    <w:tmpl w:val="B51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1551D"/>
    <w:multiLevelType w:val="multilevel"/>
    <w:tmpl w:val="0D4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76900"/>
    <w:multiLevelType w:val="multilevel"/>
    <w:tmpl w:val="E09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209A1"/>
    <w:multiLevelType w:val="multilevel"/>
    <w:tmpl w:val="078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51B4D"/>
    <w:multiLevelType w:val="multilevel"/>
    <w:tmpl w:val="05EA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1" w15:restartNumberingAfterBreak="0">
    <w:nsid w:val="236933FD"/>
    <w:multiLevelType w:val="multilevel"/>
    <w:tmpl w:val="6F580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3745ABE"/>
    <w:multiLevelType w:val="multilevel"/>
    <w:tmpl w:val="C53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14E39"/>
    <w:multiLevelType w:val="multilevel"/>
    <w:tmpl w:val="379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26F7C"/>
    <w:multiLevelType w:val="multilevel"/>
    <w:tmpl w:val="707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8202D"/>
    <w:multiLevelType w:val="multilevel"/>
    <w:tmpl w:val="3EA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E3B9D"/>
    <w:multiLevelType w:val="multilevel"/>
    <w:tmpl w:val="48A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3568F"/>
    <w:multiLevelType w:val="multilevel"/>
    <w:tmpl w:val="F4E0F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99750B8"/>
    <w:multiLevelType w:val="multilevel"/>
    <w:tmpl w:val="F52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C056E"/>
    <w:multiLevelType w:val="multilevel"/>
    <w:tmpl w:val="DFD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25832"/>
    <w:multiLevelType w:val="multilevel"/>
    <w:tmpl w:val="99FCD4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A534A2"/>
    <w:multiLevelType w:val="multilevel"/>
    <w:tmpl w:val="B58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E7AE6"/>
    <w:multiLevelType w:val="multilevel"/>
    <w:tmpl w:val="28A6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41367"/>
    <w:multiLevelType w:val="multilevel"/>
    <w:tmpl w:val="229C02E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01A07D8"/>
    <w:multiLevelType w:val="multilevel"/>
    <w:tmpl w:val="19B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41617"/>
    <w:multiLevelType w:val="multilevel"/>
    <w:tmpl w:val="294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F3222"/>
    <w:multiLevelType w:val="multilevel"/>
    <w:tmpl w:val="E5E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460F0"/>
    <w:multiLevelType w:val="multilevel"/>
    <w:tmpl w:val="389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732F0"/>
    <w:multiLevelType w:val="multilevel"/>
    <w:tmpl w:val="E22C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77298"/>
    <w:multiLevelType w:val="multilevel"/>
    <w:tmpl w:val="062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07CCD"/>
    <w:multiLevelType w:val="multilevel"/>
    <w:tmpl w:val="287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211D4"/>
    <w:multiLevelType w:val="multilevel"/>
    <w:tmpl w:val="35D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A7CDD"/>
    <w:multiLevelType w:val="multilevel"/>
    <w:tmpl w:val="003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25405B"/>
    <w:multiLevelType w:val="multilevel"/>
    <w:tmpl w:val="49F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F42E4"/>
    <w:multiLevelType w:val="multilevel"/>
    <w:tmpl w:val="EDCC3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9D0148A"/>
    <w:multiLevelType w:val="multilevel"/>
    <w:tmpl w:val="289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136499"/>
    <w:multiLevelType w:val="multilevel"/>
    <w:tmpl w:val="240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5C5C1E"/>
    <w:multiLevelType w:val="multilevel"/>
    <w:tmpl w:val="4956C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DF34DDC"/>
    <w:multiLevelType w:val="multilevel"/>
    <w:tmpl w:val="619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425401"/>
    <w:multiLevelType w:val="multilevel"/>
    <w:tmpl w:val="E90AC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19819E8"/>
    <w:multiLevelType w:val="multilevel"/>
    <w:tmpl w:val="3CB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B1D0E"/>
    <w:multiLevelType w:val="multilevel"/>
    <w:tmpl w:val="8F2E69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4CA2C78"/>
    <w:multiLevelType w:val="multilevel"/>
    <w:tmpl w:val="76AE8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4F829EA"/>
    <w:multiLevelType w:val="multilevel"/>
    <w:tmpl w:val="3D0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34ECF"/>
    <w:multiLevelType w:val="multilevel"/>
    <w:tmpl w:val="244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43C24"/>
    <w:multiLevelType w:val="multilevel"/>
    <w:tmpl w:val="F29E5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8261088"/>
    <w:multiLevelType w:val="multilevel"/>
    <w:tmpl w:val="B352D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82912A5"/>
    <w:multiLevelType w:val="multilevel"/>
    <w:tmpl w:val="01CEAA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A5156E4"/>
    <w:multiLevelType w:val="multilevel"/>
    <w:tmpl w:val="7820BD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4BFF498C"/>
    <w:multiLevelType w:val="multilevel"/>
    <w:tmpl w:val="8D9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1D44E3"/>
    <w:multiLevelType w:val="multilevel"/>
    <w:tmpl w:val="1092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851C6D"/>
    <w:multiLevelType w:val="multilevel"/>
    <w:tmpl w:val="7F0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E92630"/>
    <w:multiLevelType w:val="multilevel"/>
    <w:tmpl w:val="5CE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0A364A"/>
    <w:multiLevelType w:val="multilevel"/>
    <w:tmpl w:val="F68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E08B2"/>
    <w:multiLevelType w:val="multilevel"/>
    <w:tmpl w:val="961AFD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8A320B7"/>
    <w:multiLevelType w:val="multilevel"/>
    <w:tmpl w:val="A79211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A3E4484"/>
    <w:multiLevelType w:val="multilevel"/>
    <w:tmpl w:val="957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F8725F"/>
    <w:multiLevelType w:val="multilevel"/>
    <w:tmpl w:val="FC7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B937D3"/>
    <w:multiLevelType w:val="multilevel"/>
    <w:tmpl w:val="BD0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F59E5"/>
    <w:multiLevelType w:val="multilevel"/>
    <w:tmpl w:val="CDD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50320"/>
    <w:multiLevelType w:val="multilevel"/>
    <w:tmpl w:val="05F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1A535A"/>
    <w:multiLevelType w:val="multilevel"/>
    <w:tmpl w:val="CFF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8008CE"/>
    <w:multiLevelType w:val="multilevel"/>
    <w:tmpl w:val="FA68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6271E3"/>
    <w:multiLevelType w:val="multilevel"/>
    <w:tmpl w:val="C31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152F8C"/>
    <w:multiLevelType w:val="multilevel"/>
    <w:tmpl w:val="AA9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0B4FA0"/>
    <w:multiLevelType w:val="multilevel"/>
    <w:tmpl w:val="FAC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3A02EC"/>
    <w:multiLevelType w:val="multilevel"/>
    <w:tmpl w:val="93F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893284"/>
    <w:multiLevelType w:val="multilevel"/>
    <w:tmpl w:val="442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52C89"/>
    <w:multiLevelType w:val="multilevel"/>
    <w:tmpl w:val="A3FCAC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6CF36A28"/>
    <w:multiLevelType w:val="multilevel"/>
    <w:tmpl w:val="A0B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1B5697"/>
    <w:multiLevelType w:val="multilevel"/>
    <w:tmpl w:val="6DE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397FA9"/>
    <w:multiLevelType w:val="multilevel"/>
    <w:tmpl w:val="ACE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57DE1"/>
    <w:multiLevelType w:val="multilevel"/>
    <w:tmpl w:val="0508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C01257"/>
    <w:multiLevelType w:val="multilevel"/>
    <w:tmpl w:val="6ED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2A73F3"/>
    <w:multiLevelType w:val="multilevel"/>
    <w:tmpl w:val="EF540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3BB3046"/>
    <w:multiLevelType w:val="multilevel"/>
    <w:tmpl w:val="3C10B4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745409B1"/>
    <w:multiLevelType w:val="multilevel"/>
    <w:tmpl w:val="1A3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32623"/>
    <w:multiLevelType w:val="multilevel"/>
    <w:tmpl w:val="71C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D323D"/>
    <w:multiLevelType w:val="multilevel"/>
    <w:tmpl w:val="103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2D7715"/>
    <w:multiLevelType w:val="multilevel"/>
    <w:tmpl w:val="60365BF6"/>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1931DD"/>
    <w:multiLevelType w:val="multilevel"/>
    <w:tmpl w:val="746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354B7B"/>
    <w:multiLevelType w:val="multilevel"/>
    <w:tmpl w:val="00B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B73FB6"/>
    <w:multiLevelType w:val="multilevel"/>
    <w:tmpl w:val="F9D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CC536D"/>
    <w:multiLevelType w:val="multilevel"/>
    <w:tmpl w:val="AD3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24B59"/>
    <w:multiLevelType w:val="multilevel"/>
    <w:tmpl w:val="B68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171111">
    <w:abstractNumId w:val="33"/>
  </w:num>
  <w:num w:numId="2" w16cid:durableId="558636201">
    <w:abstractNumId w:val="25"/>
  </w:num>
  <w:num w:numId="3" w16cid:durableId="454104126">
    <w:abstractNumId w:val="37"/>
  </w:num>
  <w:num w:numId="4" w16cid:durableId="296298176">
    <w:abstractNumId w:val="38"/>
  </w:num>
  <w:num w:numId="5" w16cid:durableId="766972425">
    <w:abstractNumId w:val="62"/>
  </w:num>
  <w:num w:numId="6" w16cid:durableId="283198658">
    <w:abstractNumId w:val="16"/>
  </w:num>
  <w:num w:numId="7" w16cid:durableId="1733656303">
    <w:abstractNumId w:val="3"/>
  </w:num>
  <w:num w:numId="8" w16cid:durableId="603657507">
    <w:abstractNumId w:val="86"/>
  </w:num>
  <w:num w:numId="9" w16cid:durableId="1575312722">
    <w:abstractNumId w:val="15"/>
  </w:num>
  <w:num w:numId="10" w16cid:durableId="1836414811">
    <w:abstractNumId w:val="69"/>
  </w:num>
  <w:num w:numId="11" w16cid:durableId="738016163">
    <w:abstractNumId w:val="50"/>
  </w:num>
  <w:num w:numId="12" w16cid:durableId="1348754261">
    <w:abstractNumId w:val="28"/>
  </w:num>
  <w:num w:numId="13" w16cid:durableId="793792322">
    <w:abstractNumId w:val="23"/>
  </w:num>
  <w:num w:numId="14" w16cid:durableId="1861115862">
    <w:abstractNumId w:val="63"/>
  </w:num>
  <w:num w:numId="15" w16cid:durableId="1634939273">
    <w:abstractNumId w:val="77"/>
  </w:num>
  <w:num w:numId="16" w16cid:durableId="1698579414">
    <w:abstractNumId w:val="19"/>
  </w:num>
  <w:num w:numId="17" w16cid:durableId="633875086">
    <w:abstractNumId w:val="78"/>
  </w:num>
  <w:num w:numId="18" w16cid:durableId="178811622">
    <w:abstractNumId w:val="56"/>
  </w:num>
  <w:num w:numId="19" w16cid:durableId="2104257649">
    <w:abstractNumId w:val="51"/>
  </w:num>
  <w:num w:numId="20" w16cid:durableId="1421102383">
    <w:abstractNumId w:val="5"/>
  </w:num>
  <w:num w:numId="21" w16cid:durableId="571160198">
    <w:abstractNumId w:val="53"/>
  </w:num>
  <w:num w:numId="22" w16cid:durableId="926380194">
    <w:abstractNumId w:val="80"/>
  </w:num>
  <w:num w:numId="23" w16cid:durableId="1568414800">
    <w:abstractNumId w:val="49"/>
  </w:num>
  <w:num w:numId="24" w16cid:durableId="803040305">
    <w:abstractNumId w:val="32"/>
  </w:num>
  <w:num w:numId="25" w16cid:durableId="952710213">
    <w:abstractNumId w:val="73"/>
  </w:num>
  <w:num w:numId="26" w16cid:durableId="323244023">
    <w:abstractNumId w:val="88"/>
  </w:num>
  <w:num w:numId="27" w16cid:durableId="935212014">
    <w:abstractNumId w:val="1"/>
  </w:num>
  <w:num w:numId="28" w16cid:durableId="1981616348">
    <w:abstractNumId w:val="94"/>
  </w:num>
  <w:num w:numId="29" w16cid:durableId="1506088808">
    <w:abstractNumId w:val="4"/>
  </w:num>
  <w:num w:numId="30" w16cid:durableId="1532455629">
    <w:abstractNumId w:val="43"/>
  </w:num>
  <w:num w:numId="31" w16cid:durableId="2144032381">
    <w:abstractNumId w:val="11"/>
  </w:num>
  <w:num w:numId="32" w16cid:durableId="28650171">
    <w:abstractNumId w:val="72"/>
  </w:num>
  <w:num w:numId="33" w16cid:durableId="1616716943">
    <w:abstractNumId w:val="0"/>
  </w:num>
  <w:num w:numId="34" w16cid:durableId="1590115941">
    <w:abstractNumId w:val="27"/>
  </w:num>
  <w:num w:numId="35" w16cid:durableId="1215236529">
    <w:abstractNumId w:val="79"/>
  </w:num>
  <w:num w:numId="36" w16cid:durableId="2078480728">
    <w:abstractNumId w:val="93"/>
  </w:num>
  <w:num w:numId="37" w16cid:durableId="1693991297">
    <w:abstractNumId w:val="81"/>
  </w:num>
  <w:num w:numId="38" w16cid:durableId="253130907">
    <w:abstractNumId w:val="54"/>
  </w:num>
  <w:num w:numId="39" w16cid:durableId="891116887">
    <w:abstractNumId w:val="35"/>
  </w:num>
  <w:num w:numId="40" w16cid:durableId="252589991">
    <w:abstractNumId w:val="30"/>
  </w:num>
  <w:num w:numId="41" w16cid:durableId="992022002">
    <w:abstractNumId w:val="55"/>
  </w:num>
  <w:num w:numId="42" w16cid:durableId="740829775">
    <w:abstractNumId w:val="47"/>
  </w:num>
  <w:num w:numId="43" w16cid:durableId="1185090607">
    <w:abstractNumId w:val="64"/>
  </w:num>
  <w:num w:numId="44" w16cid:durableId="2556920">
    <w:abstractNumId w:val="20"/>
  </w:num>
  <w:num w:numId="45" w16cid:durableId="858158526">
    <w:abstractNumId w:val="84"/>
  </w:num>
  <w:num w:numId="46" w16cid:durableId="971986182">
    <w:abstractNumId w:val="52"/>
  </w:num>
  <w:num w:numId="47" w16cid:durableId="47187047">
    <w:abstractNumId w:val="13"/>
  </w:num>
  <w:num w:numId="48" w16cid:durableId="1630239747">
    <w:abstractNumId w:val="21"/>
  </w:num>
  <w:num w:numId="49" w16cid:durableId="47922610">
    <w:abstractNumId w:val="58"/>
  </w:num>
  <w:num w:numId="50" w16cid:durableId="1193037333">
    <w:abstractNumId w:val="59"/>
  </w:num>
  <w:num w:numId="51" w16cid:durableId="1711686082">
    <w:abstractNumId w:val="57"/>
  </w:num>
  <w:num w:numId="52" w16cid:durableId="1457290446">
    <w:abstractNumId w:val="85"/>
  </w:num>
  <w:num w:numId="53" w16cid:durableId="1307130337">
    <w:abstractNumId w:val="48"/>
  </w:num>
  <w:num w:numId="54" w16cid:durableId="339353700">
    <w:abstractNumId w:val="46"/>
  </w:num>
  <w:num w:numId="55" w16cid:durableId="1628461836">
    <w:abstractNumId w:val="65"/>
  </w:num>
  <w:num w:numId="56" w16cid:durableId="1702172720">
    <w:abstractNumId w:val="10"/>
  </w:num>
  <w:num w:numId="57" w16cid:durableId="48385732">
    <w:abstractNumId w:val="14"/>
  </w:num>
  <w:num w:numId="58" w16cid:durableId="596134643">
    <w:abstractNumId w:val="6"/>
  </w:num>
  <w:num w:numId="59" w16cid:durableId="1119447027">
    <w:abstractNumId w:val="2"/>
  </w:num>
  <w:num w:numId="60" w16cid:durableId="1804418696">
    <w:abstractNumId w:val="12"/>
  </w:num>
  <w:num w:numId="61" w16cid:durableId="1908607235">
    <w:abstractNumId w:val="34"/>
  </w:num>
  <w:num w:numId="62" w16cid:durableId="242690422">
    <w:abstractNumId w:val="76"/>
  </w:num>
  <w:num w:numId="63" w16cid:durableId="1140925696">
    <w:abstractNumId w:val="61"/>
  </w:num>
  <w:num w:numId="64" w16cid:durableId="2036036366">
    <w:abstractNumId w:val="24"/>
  </w:num>
  <w:num w:numId="65" w16cid:durableId="1307394137">
    <w:abstractNumId w:val="40"/>
  </w:num>
  <w:num w:numId="66" w16cid:durableId="796218497">
    <w:abstractNumId w:val="68"/>
  </w:num>
  <w:num w:numId="67" w16cid:durableId="371272997">
    <w:abstractNumId w:val="18"/>
  </w:num>
  <w:num w:numId="68" w16cid:durableId="1321272561">
    <w:abstractNumId w:val="29"/>
  </w:num>
  <w:num w:numId="69" w16cid:durableId="1920825563">
    <w:abstractNumId w:val="31"/>
  </w:num>
  <w:num w:numId="70" w16cid:durableId="1991666164">
    <w:abstractNumId w:val="45"/>
  </w:num>
  <w:num w:numId="71" w16cid:durableId="1017777001">
    <w:abstractNumId w:val="8"/>
  </w:num>
  <w:num w:numId="72" w16cid:durableId="1965695549">
    <w:abstractNumId w:val="70"/>
  </w:num>
  <w:num w:numId="73" w16cid:durableId="66073257">
    <w:abstractNumId w:val="44"/>
  </w:num>
  <w:num w:numId="74" w16cid:durableId="168715668">
    <w:abstractNumId w:val="36"/>
  </w:num>
  <w:num w:numId="75" w16cid:durableId="762453952">
    <w:abstractNumId w:val="22"/>
  </w:num>
  <w:num w:numId="76" w16cid:durableId="949968561">
    <w:abstractNumId w:val="42"/>
  </w:num>
  <w:num w:numId="77" w16cid:durableId="698552124">
    <w:abstractNumId w:val="75"/>
  </w:num>
  <w:num w:numId="78" w16cid:durableId="825243254">
    <w:abstractNumId w:val="87"/>
  </w:num>
  <w:num w:numId="79" w16cid:durableId="895051398">
    <w:abstractNumId w:val="7"/>
  </w:num>
  <w:num w:numId="80" w16cid:durableId="1183131216">
    <w:abstractNumId w:val="91"/>
  </w:num>
  <w:num w:numId="81" w16cid:durableId="1595476280">
    <w:abstractNumId w:val="83"/>
  </w:num>
  <w:num w:numId="82" w16cid:durableId="784274776">
    <w:abstractNumId w:val="66"/>
  </w:num>
  <w:num w:numId="83" w16cid:durableId="1147818588">
    <w:abstractNumId w:val="90"/>
  </w:num>
  <w:num w:numId="84" w16cid:durableId="429618865">
    <w:abstractNumId w:val="71"/>
  </w:num>
  <w:num w:numId="85" w16cid:durableId="608247086">
    <w:abstractNumId w:val="39"/>
  </w:num>
  <w:num w:numId="86" w16cid:durableId="1156993193">
    <w:abstractNumId w:val="41"/>
  </w:num>
  <w:num w:numId="87" w16cid:durableId="1972587965">
    <w:abstractNumId w:val="26"/>
  </w:num>
  <w:num w:numId="88" w16cid:durableId="994798440">
    <w:abstractNumId w:val="17"/>
  </w:num>
  <w:num w:numId="89" w16cid:durableId="1077628583">
    <w:abstractNumId w:val="60"/>
  </w:num>
  <w:num w:numId="90" w16cid:durableId="765224148">
    <w:abstractNumId w:val="89"/>
  </w:num>
  <w:num w:numId="91" w16cid:durableId="554779097">
    <w:abstractNumId w:val="74"/>
  </w:num>
  <w:num w:numId="92" w16cid:durableId="8022767">
    <w:abstractNumId w:val="82"/>
  </w:num>
  <w:num w:numId="93" w16cid:durableId="1620793125">
    <w:abstractNumId w:val="9"/>
  </w:num>
  <w:num w:numId="94" w16cid:durableId="444692964">
    <w:abstractNumId w:val="67"/>
  </w:num>
  <w:num w:numId="95" w16cid:durableId="236870151">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1B"/>
    <w:rsid w:val="000046A5"/>
    <w:rsid w:val="0001136E"/>
    <w:rsid w:val="00012117"/>
    <w:rsid w:val="000147A9"/>
    <w:rsid w:val="00017250"/>
    <w:rsid w:val="000215F4"/>
    <w:rsid w:val="00042755"/>
    <w:rsid w:val="000516FC"/>
    <w:rsid w:val="0006107D"/>
    <w:rsid w:val="000623A3"/>
    <w:rsid w:val="00066D1D"/>
    <w:rsid w:val="000719DA"/>
    <w:rsid w:val="00094D65"/>
    <w:rsid w:val="000A2074"/>
    <w:rsid w:val="000A3F4D"/>
    <w:rsid w:val="000A64DA"/>
    <w:rsid w:val="000C4ABC"/>
    <w:rsid w:val="000C58D7"/>
    <w:rsid w:val="000E15ED"/>
    <w:rsid w:val="000F3F73"/>
    <w:rsid w:val="000F5868"/>
    <w:rsid w:val="000F6FA9"/>
    <w:rsid w:val="00101CCF"/>
    <w:rsid w:val="00105088"/>
    <w:rsid w:val="0011328F"/>
    <w:rsid w:val="00116B28"/>
    <w:rsid w:val="00121A80"/>
    <w:rsid w:val="001372F7"/>
    <w:rsid w:val="0017535F"/>
    <w:rsid w:val="00175AB8"/>
    <w:rsid w:val="0019260C"/>
    <w:rsid w:val="001A41D2"/>
    <w:rsid w:val="001B0E31"/>
    <w:rsid w:val="001D360C"/>
    <w:rsid w:val="001E2584"/>
    <w:rsid w:val="001F3868"/>
    <w:rsid w:val="002033A2"/>
    <w:rsid w:val="00204B6E"/>
    <w:rsid w:val="00223837"/>
    <w:rsid w:val="00243CED"/>
    <w:rsid w:val="00247BCC"/>
    <w:rsid w:val="00257540"/>
    <w:rsid w:val="0026510F"/>
    <w:rsid w:val="0028028D"/>
    <w:rsid w:val="0028222B"/>
    <w:rsid w:val="00291F37"/>
    <w:rsid w:val="0029568E"/>
    <w:rsid w:val="00297C6E"/>
    <w:rsid w:val="002A3133"/>
    <w:rsid w:val="002B3377"/>
    <w:rsid w:val="002C38C0"/>
    <w:rsid w:val="002C6D8B"/>
    <w:rsid w:val="002D2BF1"/>
    <w:rsid w:val="002D62C6"/>
    <w:rsid w:val="002D715D"/>
    <w:rsid w:val="002E3864"/>
    <w:rsid w:val="002E46F2"/>
    <w:rsid w:val="002F06DE"/>
    <w:rsid w:val="002F1DB1"/>
    <w:rsid w:val="002F20B2"/>
    <w:rsid w:val="002F53C9"/>
    <w:rsid w:val="00300FD7"/>
    <w:rsid w:val="003048A0"/>
    <w:rsid w:val="0031138E"/>
    <w:rsid w:val="0031474F"/>
    <w:rsid w:val="00315815"/>
    <w:rsid w:val="0032656E"/>
    <w:rsid w:val="003278F5"/>
    <w:rsid w:val="00330665"/>
    <w:rsid w:val="00330E9C"/>
    <w:rsid w:val="00335249"/>
    <w:rsid w:val="0033658B"/>
    <w:rsid w:val="00341960"/>
    <w:rsid w:val="00342A18"/>
    <w:rsid w:val="003435C9"/>
    <w:rsid w:val="00354C0D"/>
    <w:rsid w:val="00357561"/>
    <w:rsid w:val="00361344"/>
    <w:rsid w:val="0036177C"/>
    <w:rsid w:val="00361975"/>
    <w:rsid w:val="00371F58"/>
    <w:rsid w:val="00376E23"/>
    <w:rsid w:val="0039416B"/>
    <w:rsid w:val="00397A13"/>
    <w:rsid w:val="003A1271"/>
    <w:rsid w:val="003A5DF7"/>
    <w:rsid w:val="003B3510"/>
    <w:rsid w:val="003C116C"/>
    <w:rsid w:val="003C54E7"/>
    <w:rsid w:val="003D0CDD"/>
    <w:rsid w:val="003D710F"/>
    <w:rsid w:val="003E1CAA"/>
    <w:rsid w:val="003F66C5"/>
    <w:rsid w:val="0040210F"/>
    <w:rsid w:val="0041269B"/>
    <w:rsid w:val="00412F9B"/>
    <w:rsid w:val="0042186C"/>
    <w:rsid w:val="004222FD"/>
    <w:rsid w:val="004302B1"/>
    <w:rsid w:val="004319FA"/>
    <w:rsid w:val="00442F56"/>
    <w:rsid w:val="0044616D"/>
    <w:rsid w:val="00460BF8"/>
    <w:rsid w:val="00462D4E"/>
    <w:rsid w:val="0046612E"/>
    <w:rsid w:val="00474DD1"/>
    <w:rsid w:val="004751B5"/>
    <w:rsid w:val="0048097D"/>
    <w:rsid w:val="004816F7"/>
    <w:rsid w:val="0048175B"/>
    <w:rsid w:val="004829F2"/>
    <w:rsid w:val="004845CE"/>
    <w:rsid w:val="0049450A"/>
    <w:rsid w:val="004A553E"/>
    <w:rsid w:val="004B0B8B"/>
    <w:rsid w:val="004B1048"/>
    <w:rsid w:val="004B134B"/>
    <w:rsid w:val="004D01FE"/>
    <w:rsid w:val="004D19F6"/>
    <w:rsid w:val="004D582C"/>
    <w:rsid w:val="004D5B1A"/>
    <w:rsid w:val="004E1930"/>
    <w:rsid w:val="004E458E"/>
    <w:rsid w:val="004E671A"/>
    <w:rsid w:val="004F0E12"/>
    <w:rsid w:val="004F43CC"/>
    <w:rsid w:val="004F5A36"/>
    <w:rsid w:val="004F67E4"/>
    <w:rsid w:val="00505437"/>
    <w:rsid w:val="005120A1"/>
    <w:rsid w:val="005364AA"/>
    <w:rsid w:val="00542B57"/>
    <w:rsid w:val="00545764"/>
    <w:rsid w:val="005525C9"/>
    <w:rsid w:val="00557B52"/>
    <w:rsid w:val="005743EA"/>
    <w:rsid w:val="005770A9"/>
    <w:rsid w:val="0058416B"/>
    <w:rsid w:val="0058425D"/>
    <w:rsid w:val="00591130"/>
    <w:rsid w:val="00595357"/>
    <w:rsid w:val="005A1930"/>
    <w:rsid w:val="005A3C9C"/>
    <w:rsid w:val="005A6EEA"/>
    <w:rsid w:val="005B17E4"/>
    <w:rsid w:val="005B34ED"/>
    <w:rsid w:val="005B61CD"/>
    <w:rsid w:val="005B74C5"/>
    <w:rsid w:val="005C4FF3"/>
    <w:rsid w:val="005C50B3"/>
    <w:rsid w:val="005C6B83"/>
    <w:rsid w:val="005C7AAA"/>
    <w:rsid w:val="005D57DA"/>
    <w:rsid w:val="005E7702"/>
    <w:rsid w:val="005E7DD7"/>
    <w:rsid w:val="005F33FC"/>
    <w:rsid w:val="00605F8E"/>
    <w:rsid w:val="00613954"/>
    <w:rsid w:val="006159E0"/>
    <w:rsid w:val="00622488"/>
    <w:rsid w:val="006350B8"/>
    <w:rsid w:val="006415E8"/>
    <w:rsid w:val="006425BE"/>
    <w:rsid w:val="00650543"/>
    <w:rsid w:val="00654D8B"/>
    <w:rsid w:val="00661136"/>
    <w:rsid w:val="00663181"/>
    <w:rsid w:val="00672197"/>
    <w:rsid w:val="0068027B"/>
    <w:rsid w:val="006B7BA3"/>
    <w:rsid w:val="006C42B8"/>
    <w:rsid w:val="006C50C7"/>
    <w:rsid w:val="006D1612"/>
    <w:rsid w:val="006E7826"/>
    <w:rsid w:val="006F6576"/>
    <w:rsid w:val="00713291"/>
    <w:rsid w:val="00713CA9"/>
    <w:rsid w:val="007162F0"/>
    <w:rsid w:val="00726229"/>
    <w:rsid w:val="007455C6"/>
    <w:rsid w:val="007475C7"/>
    <w:rsid w:val="0075265A"/>
    <w:rsid w:val="0075498E"/>
    <w:rsid w:val="00757BE5"/>
    <w:rsid w:val="00760E46"/>
    <w:rsid w:val="007643D2"/>
    <w:rsid w:val="00766D82"/>
    <w:rsid w:val="007678B2"/>
    <w:rsid w:val="0077624A"/>
    <w:rsid w:val="00782575"/>
    <w:rsid w:val="0078776B"/>
    <w:rsid w:val="00794DE5"/>
    <w:rsid w:val="00796A93"/>
    <w:rsid w:val="007975B6"/>
    <w:rsid w:val="007B48C2"/>
    <w:rsid w:val="007C1A90"/>
    <w:rsid w:val="007C231D"/>
    <w:rsid w:val="007D07AB"/>
    <w:rsid w:val="007D68F0"/>
    <w:rsid w:val="007E1559"/>
    <w:rsid w:val="007E2E80"/>
    <w:rsid w:val="007E4AE6"/>
    <w:rsid w:val="007F776E"/>
    <w:rsid w:val="00816563"/>
    <w:rsid w:val="00830C88"/>
    <w:rsid w:val="00845A72"/>
    <w:rsid w:val="00845AB5"/>
    <w:rsid w:val="00850813"/>
    <w:rsid w:val="00861B11"/>
    <w:rsid w:val="00863659"/>
    <w:rsid w:val="00871FC4"/>
    <w:rsid w:val="008829C2"/>
    <w:rsid w:val="0088570A"/>
    <w:rsid w:val="008872E8"/>
    <w:rsid w:val="008A54BE"/>
    <w:rsid w:val="008B2AB5"/>
    <w:rsid w:val="008B34DE"/>
    <w:rsid w:val="008C7B0A"/>
    <w:rsid w:val="008D0642"/>
    <w:rsid w:val="008E2E88"/>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91B23"/>
    <w:rsid w:val="009A48B0"/>
    <w:rsid w:val="009A7C00"/>
    <w:rsid w:val="009B24D6"/>
    <w:rsid w:val="009B2F21"/>
    <w:rsid w:val="009B3EF4"/>
    <w:rsid w:val="009C6498"/>
    <w:rsid w:val="009E62AF"/>
    <w:rsid w:val="009F726A"/>
    <w:rsid w:val="009F73E1"/>
    <w:rsid w:val="00A017EE"/>
    <w:rsid w:val="00A03BBD"/>
    <w:rsid w:val="00A21254"/>
    <w:rsid w:val="00A220B7"/>
    <w:rsid w:val="00A25E98"/>
    <w:rsid w:val="00A2728B"/>
    <w:rsid w:val="00A3300C"/>
    <w:rsid w:val="00A3793B"/>
    <w:rsid w:val="00A37AB0"/>
    <w:rsid w:val="00A4085F"/>
    <w:rsid w:val="00A4114F"/>
    <w:rsid w:val="00A45953"/>
    <w:rsid w:val="00A61CD9"/>
    <w:rsid w:val="00A93FBA"/>
    <w:rsid w:val="00A95C7E"/>
    <w:rsid w:val="00AB609D"/>
    <w:rsid w:val="00AC3AB8"/>
    <w:rsid w:val="00AE378A"/>
    <w:rsid w:val="00AE4348"/>
    <w:rsid w:val="00AE4BAF"/>
    <w:rsid w:val="00AE71E4"/>
    <w:rsid w:val="00B03D5A"/>
    <w:rsid w:val="00B200EB"/>
    <w:rsid w:val="00B23297"/>
    <w:rsid w:val="00B360EE"/>
    <w:rsid w:val="00B53B6F"/>
    <w:rsid w:val="00B60A3B"/>
    <w:rsid w:val="00B651D9"/>
    <w:rsid w:val="00B67231"/>
    <w:rsid w:val="00B73742"/>
    <w:rsid w:val="00B75306"/>
    <w:rsid w:val="00B8622A"/>
    <w:rsid w:val="00B914E6"/>
    <w:rsid w:val="00B95747"/>
    <w:rsid w:val="00BC4186"/>
    <w:rsid w:val="00BC5F25"/>
    <w:rsid w:val="00BD1450"/>
    <w:rsid w:val="00BD7300"/>
    <w:rsid w:val="00BD7714"/>
    <w:rsid w:val="00BD7C9B"/>
    <w:rsid w:val="00BE07C8"/>
    <w:rsid w:val="00BE3076"/>
    <w:rsid w:val="00C072F8"/>
    <w:rsid w:val="00C163D7"/>
    <w:rsid w:val="00C17D79"/>
    <w:rsid w:val="00C24A8A"/>
    <w:rsid w:val="00C27321"/>
    <w:rsid w:val="00C36588"/>
    <w:rsid w:val="00C44474"/>
    <w:rsid w:val="00C44EB3"/>
    <w:rsid w:val="00C45839"/>
    <w:rsid w:val="00C54722"/>
    <w:rsid w:val="00C616D7"/>
    <w:rsid w:val="00C65F70"/>
    <w:rsid w:val="00C73167"/>
    <w:rsid w:val="00C76196"/>
    <w:rsid w:val="00C941C4"/>
    <w:rsid w:val="00C96A36"/>
    <w:rsid w:val="00C9722D"/>
    <w:rsid w:val="00CA350B"/>
    <w:rsid w:val="00CA3F60"/>
    <w:rsid w:val="00CC1DA8"/>
    <w:rsid w:val="00CC2EFF"/>
    <w:rsid w:val="00CC4FEF"/>
    <w:rsid w:val="00CD39F1"/>
    <w:rsid w:val="00CE1439"/>
    <w:rsid w:val="00CE2394"/>
    <w:rsid w:val="00CE7B86"/>
    <w:rsid w:val="00CF74EF"/>
    <w:rsid w:val="00D01E71"/>
    <w:rsid w:val="00D02AC8"/>
    <w:rsid w:val="00D0623C"/>
    <w:rsid w:val="00D07271"/>
    <w:rsid w:val="00D16917"/>
    <w:rsid w:val="00D21E82"/>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2E9E"/>
    <w:rsid w:val="00DE6C87"/>
    <w:rsid w:val="00DF0F11"/>
    <w:rsid w:val="00E06E11"/>
    <w:rsid w:val="00E14A1A"/>
    <w:rsid w:val="00E14E1F"/>
    <w:rsid w:val="00E21363"/>
    <w:rsid w:val="00E2730E"/>
    <w:rsid w:val="00E4366A"/>
    <w:rsid w:val="00E438AC"/>
    <w:rsid w:val="00E51987"/>
    <w:rsid w:val="00E53FD2"/>
    <w:rsid w:val="00E5689E"/>
    <w:rsid w:val="00E60DF5"/>
    <w:rsid w:val="00E64DD3"/>
    <w:rsid w:val="00E80D33"/>
    <w:rsid w:val="00E9484C"/>
    <w:rsid w:val="00E95D59"/>
    <w:rsid w:val="00E95D8D"/>
    <w:rsid w:val="00E97DD1"/>
    <w:rsid w:val="00EA6ED5"/>
    <w:rsid w:val="00EB7051"/>
    <w:rsid w:val="00EC051B"/>
    <w:rsid w:val="00EC57C4"/>
    <w:rsid w:val="00EC67FC"/>
    <w:rsid w:val="00EC68EB"/>
    <w:rsid w:val="00EC7C43"/>
    <w:rsid w:val="00ED6BC3"/>
    <w:rsid w:val="00EE0191"/>
    <w:rsid w:val="00EE4F6A"/>
    <w:rsid w:val="00EF3EF4"/>
    <w:rsid w:val="00F012E4"/>
    <w:rsid w:val="00F0631B"/>
    <w:rsid w:val="00F248D2"/>
    <w:rsid w:val="00F27F00"/>
    <w:rsid w:val="00F33570"/>
    <w:rsid w:val="00F655F4"/>
    <w:rsid w:val="00F71153"/>
    <w:rsid w:val="00F81EB6"/>
    <w:rsid w:val="00F858D4"/>
    <w:rsid w:val="00F93645"/>
    <w:rsid w:val="00FA0450"/>
    <w:rsid w:val="00FA4E8A"/>
    <w:rsid w:val="00FB2653"/>
    <w:rsid w:val="00FB5C49"/>
    <w:rsid w:val="00FB79E0"/>
    <w:rsid w:val="00FC280B"/>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48BC182"/>
  <w15:chartTrackingRefBased/>
  <w15:docId w15:val="{8FB7C923-E129-E341-A245-0B719984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E9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0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0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051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05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EC05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05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5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5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5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51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EC051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C051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C051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EC051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C051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C051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C051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C051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C05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51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C05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51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C05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51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C051B"/>
    <w:pPr>
      <w:ind w:left="720"/>
      <w:contextualSpacing/>
    </w:pPr>
  </w:style>
  <w:style w:type="character" w:styleId="IntenseEmphasis">
    <w:name w:val="Intense Emphasis"/>
    <w:basedOn w:val="DefaultParagraphFont"/>
    <w:uiPriority w:val="21"/>
    <w:qFormat/>
    <w:rsid w:val="00EC051B"/>
    <w:rPr>
      <w:i/>
      <w:iCs/>
      <w:color w:val="2F5496" w:themeColor="accent1" w:themeShade="BF"/>
    </w:rPr>
  </w:style>
  <w:style w:type="paragraph" w:styleId="IntenseQuote">
    <w:name w:val="Intense Quote"/>
    <w:basedOn w:val="Normal"/>
    <w:next w:val="Normal"/>
    <w:link w:val="IntenseQuoteChar"/>
    <w:uiPriority w:val="30"/>
    <w:qFormat/>
    <w:rsid w:val="00EC0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51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C051B"/>
    <w:rPr>
      <w:b/>
      <w:bCs/>
      <w:smallCaps/>
      <w:color w:val="2F5496" w:themeColor="accent1" w:themeShade="BF"/>
      <w:spacing w:val="5"/>
    </w:rPr>
  </w:style>
  <w:style w:type="paragraph" w:styleId="NormalWeb">
    <w:name w:val="Normal (Web)"/>
    <w:basedOn w:val="Normal"/>
    <w:uiPriority w:val="99"/>
    <w:unhideWhenUsed/>
    <w:rsid w:val="009A7C00"/>
    <w:pPr>
      <w:spacing w:before="100" w:beforeAutospacing="1" w:after="100" w:afterAutospacing="1"/>
    </w:pPr>
  </w:style>
  <w:style w:type="paragraph" w:customStyle="1" w:styleId="break-words">
    <w:name w:val="break-words"/>
    <w:basedOn w:val="Normal"/>
    <w:rsid w:val="009A7C00"/>
    <w:pPr>
      <w:spacing w:before="100" w:beforeAutospacing="1" w:after="100" w:afterAutospacing="1"/>
    </w:pPr>
  </w:style>
  <w:style w:type="character" w:styleId="Strong">
    <w:name w:val="Strong"/>
    <w:basedOn w:val="DefaultParagraphFont"/>
    <w:uiPriority w:val="22"/>
    <w:qFormat/>
    <w:rsid w:val="009A7C00"/>
    <w:rPr>
      <w:b/>
      <w:bCs/>
    </w:rPr>
  </w:style>
  <w:style w:type="character" w:styleId="Emphasis">
    <w:name w:val="Emphasis"/>
    <w:basedOn w:val="DefaultParagraphFont"/>
    <w:uiPriority w:val="20"/>
    <w:qFormat/>
    <w:rsid w:val="009A7C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22292">
      <w:bodyDiv w:val="1"/>
      <w:marLeft w:val="0"/>
      <w:marRight w:val="0"/>
      <w:marTop w:val="0"/>
      <w:marBottom w:val="0"/>
      <w:divBdr>
        <w:top w:val="none" w:sz="0" w:space="0" w:color="auto"/>
        <w:left w:val="none" w:sz="0" w:space="0" w:color="auto"/>
        <w:bottom w:val="none" w:sz="0" w:space="0" w:color="auto"/>
        <w:right w:val="none" w:sz="0" w:space="0" w:color="auto"/>
      </w:divBdr>
    </w:div>
    <w:div w:id="192380403">
      <w:bodyDiv w:val="1"/>
      <w:marLeft w:val="0"/>
      <w:marRight w:val="0"/>
      <w:marTop w:val="0"/>
      <w:marBottom w:val="0"/>
      <w:divBdr>
        <w:top w:val="none" w:sz="0" w:space="0" w:color="auto"/>
        <w:left w:val="none" w:sz="0" w:space="0" w:color="auto"/>
        <w:bottom w:val="none" w:sz="0" w:space="0" w:color="auto"/>
        <w:right w:val="none" w:sz="0" w:space="0" w:color="auto"/>
      </w:divBdr>
      <w:divsChild>
        <w:div w:id="697970188">
          <w:marLeft w:val="0"/>
          <w:marRight w:val="0"/>
          <w:marTop w:val="0"/>
          <w:marBottom w:val="0"/>
          <w:divBdr>
            <w:top w:val="none" w:sz="0" w:space="0" w:color="auto"/>
            <w:left w:val="none" w:sz="0" w:space="0" w:color="auto"/>
            <w:bottom w:val="none" w:sz="0" w:space="0" w:color="auto"/>
            <w:right w:val="none" w:sz="0" w:space="0" w:color="auto"/>
          </w:divBdr>
        </w:div>
      </w:divsChild>
    </w:div>
    <w:div w:id="198933221">
      <w:bodyDiv w:val="1"/>
      <w:marLeft w:val="0"/>
      <w:marRight w:val="0"/>
      <w:marTop w:val="0"/>
      <w:marBottom w:val="0"/>
      <w:divBdr>
        <w:top w:val="none" w:sz="0" w:space="0" w:color="auto"/>
        <w:left w:val="none" w:sz="0" w:space="0" w:color="auto"/>
        <w:bottom w:val="none" w:sz="0" w:space="0" w:color="auto"/>
        <w:right w:val="none" w:sz="0" w:space="0" w:color="auto"/>
      </w:divBdr>
      <w:divsChild>
        <w:div w:id="587229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70181">
      <w:bodyDiv w:val="1"/>
      <w:marLeft w:val="0"/>
      <w:marRight w:val="0"/>
      <w:marTop w:val="0"/>
      <w:marBottom w:val="0"/>
      <w:divBdr>
        <w:top w:val="none" w:sz="0" w:space="0" w:color="auto"/>
        <w:left w:val="none" w:sz="0" w:space="0" w:color="auto"/>
        <w:bottom w:val="none" w:sz="0" w:space="0" w:color="auto"/>
        <w:right w:val="none" w:sz="0" w:space="0" w:color="auto"/>
      </w:divBdr>
    </w:div>
    <w:div w:id="293607254">
      <w:bodyDiv w:val="1"/>
      <w:marLeft w:val="0"/>
      <w:marRight w:val="0"/>
      <w:marTop w:val="0"/>
      <w:marBottom w:val="0"/>
      <w:divBdr>
        <w:top w:val="none" w:sz="0" w:space="0" w:color="auto"/>
        <w:left w:val="none" w:sz="0" w:space="0" w:color="auto"/>
        <w:bottom w:val="none" w:sz="0" w:space="0" w:color="auto"/>
        <w:right w:val="none" w:sz="0" w:space="0" w:color="auto"/>
      </w:divBdr>
      <w:divsChild>
        <w:div w:id="1637711428">
          <w:marLeft w:val="0"/>
          <w:marRight w:val="0"/>
          <w:marTop w:val="0"/>
          <w:marBottom w:val="0"/>
          <w:divBdr>
            <w:top w:val="none" w:sz="0" w:space="0" w:color="auto"/>
            <w:left w:val="none" w:sz="0" w:space="0" w:color="auto"/>
            <w:bottom w:val="none" w:sz="0" w:space="0" w:color="auto"/>
            <w:right w:val="none" w:sz="0" w:space="0" w:color="auto"/>
          </w:divBdr>
        </w:div>
      </w:divsChild>
    </w:div>
    <w:div w:id="294259478">
      <w:bodyDiv w:val="1"/>
      <w:marLeft w:val="0"/>
      <w:marRight w:val="0"/>
      <w:marTop w:val="0"/>
      <w:marBottom w:val="0"/>
      <w:divBdr>
        <w:top w:val="none" w:sz="0" w:space="0" w:color="auto"/>
        <w:left w:val="none" w:sz="0" w:space="0" w:color="auto"/>
        <w:bottom w:val="none" w:sz="0" w:space="0" w:color="auto"/>
        <w:right w:val="none" w:sz="0" w:space="0" w:color="auto"/>
      </w:divBdr>
      <w:divsChild>
        <w:div w:id="1074548555">
          <w:marLeft w:val="0"/>
          <w:marRight w:val="0"/>
          <w:marTop w:val="0"/>
          <w:marBottom w:val="0"/>
          <w:divBdr>
            <w:top w:val="none" w:sz="0" w:space="0" w:color="auto"/>
            <w:left w:val="none" w:sz="0" w:space="0" w:color="auto"/>
            <w:bottom w:val="none" w:sz="0" w:space="0" w:color="auto"/>
            <w:right w:val="none" w:sz="0" w:space="0" w:color="auto"/>
          </w:divBdr>
        </w:div>
      </w:divsChild>
    </w:div>
    <w:div w:id="297226079">
      <w:bodyDiv w:val="1"/>
      <w:marLeft w:val="0"/>
      <w:marRight w:val="0"/>
      <w:marTop w:val="0"/>
      <w:marBottom w:val="0"/>
      <w:divBdr>
        <w:top w:val="none" w:sz="0" w:space="0" w:color="auto"/>
        <w:left w:val="none" w:sz="0" w:space="0" w:color="auto"/>
        <w:bottom w:val="none" w:sz="0" w:space="0" w:color="auto"/>
        <w:right w:val="none" w:sz="0" w:space="0" w:color="auto"/>
      </w:divBdr>
      <w:divsChild>
        <w:div w:id="902833265">
          <w:marLeft w:val="0"/>
          <w:marRight w:val="0"/>
          <w:marTop w:val="0"/>
          <w:marBottom w:val="0"/>
          <w:divBdr>
            <w:top w:val="none" w:sz="0" w:space="0" w:color="auto"/>
            <w:left w:val="none" w:sz="0" w:space="0" w:color="auto"/>
            <w:bottom w:val="none" w:sz="0" w:space="0" w:color="auto"/>
            <w:right w:val="none" w:sz="0" w:space="0" w:color="auto"/>
          </w:divBdr>
          <w:divsChild>
            <w:div w:id="20322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6113">
      <w:bodyDiv w:val="1"/>
      <w:marLeft w:val="0"/>
      <w:marRight w:val="0"/>
      <w:marTop w:val="0"/>
      <w:marBottom w:val="0"/>
      <w:divBdr>
        <w:top w:val="none" w:sz="0" w:space="0" w:color="auto"/>
        <w:left w:val="none" w:sz="0" w:space="0" w:color="auto"/>
        <w:bottom w:val="none" w:sz="0" w:space="0" w:color="auto"/>
        <w:right w:val="none" w:sz="0" w:space="0" w:color="auto"/>
      </w:divBdr>
    </w:div>
    <w:div w:id="681250746">
      <w:bodyDiv w:val="1"/>
      <w:marLeft w:val="0"/>
      <w:marRight w:val="0"/>
      <w:marTop w:val="0"/>
      <w:marBottom w:val="0"/>
      <w:divBdr>
        <w:top w:val="none" w:sz="0" w:space="0" w:color="auto"/>
        <w:left w:val="none" w:sz="0" w:space="0" w:color="auto"/>
        <w:bottom w:val="none" w:sz="0" w:space="0" w:color="auto"/>
        <w:right w:val="none" w:sz="0" w:space="0" w:color="auto"/>
      </w:divBdr>
    </w:div>
    <w:div w:id="739592778">
      <w:bodyDiv w:val="1"/>
      <w:marLeft w:val="0"/>
      <w:marRight w:val="0"/>
      <w:marTop w:val="0"/>
      <w:marBottom w:val="0"/>
      <w:divBdr>
        <w:top w:val="none" w:sz="0" w:space="0" w:color="auto"/>
        <w:left w:val="none" w:sz="0" w:space="0" w:color="auto"/>
        <w:bottom w:val="none" w:sz="0" w:space="0" w:color="auto"/>
        <w:right w:val="none" w:sz="0" w:space="0" w:color="auto"/>
      </w:divBdr>
    </w:div>
    <w:div w:id="793712845">
      <w:bodyDiv w:val="1"/>
      <w:marLeft w:val="0"/>
      <w:marRight w:val="0"/>
      <w:marTop w:val="0"/>
      <w:marBottom w:val="0"/>
      <w:divBdr>
        <w:top w:val="none" w:sz="0" w:space="0" w:color="auto"/>
        <w:left w:val="none" w:sz="0" w:space="0" w:color="auto"/>
        <w:bottom w:val="none" w:sz="0" w:space="0" w:color="auto"/>
        <w:right w:val="none" w:sz="0" w:space="0" w:color="auto"/>
      </w:divBdr>
    </w:div>
    <w:div w:id="811563558">
      <w:bodyDiv w:val="1"/>
      <w:marLeft w:val="0"/>
      <w:marRight w:val="0"/>
      <w:marTop w:val="0"/>
      <w:marBottom w:val="0"/>
      <w:divBdr>
        <w:top w:val="none" w:sz="0" w:space="0" w:color="auto"/>
        <w:left w:val="none" w:sz="0" w:space="0" w:color="auto"/>
        <w:bottom w:val="none" w:sz="0" w:space="0" w:color="auto"/>
        <w:right w:val="none" w:sz="0" w:space="0" w:color="auto"/>
      </w:divBdr>
      <w:divsChild>
        <w:div w:id="825634250">
          <w:marLeft w:val="0"/>
          <w:marRight w:val="0"/>
          <w:marTop w:val="0"/>
          <w:marBottom w:val="0"/>
          <w:divBdr>
            <w:top w:val="none" w:sz="0" w:space="0" w:color="auto"/>
            <w:left w:val="none" w:sz="0" w:space="0" w:color="auto"/>
            <w:bottom w:val="none" w:sz="0" w:space="0" w:color="auto"/>
            <w:right w:val="none" w:sz="0" w:space="0" w:color="auto"/>
          </w:divBdr>
          <w:divsChild>
            <w:div w:id="18458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3080">
      <w:bodyDiv w:val="1"/>
      <w:marLeft w:val="0"/>
      <w:marRight w:val="0"/>
      <w:marTop w:val="0"/>
      <w:marBottom w:val="0"/>
      <w:divBdr>
        <w:top w:val="none" w:sz="0" w:space="0" w:color="auto"/>
        <w:left w:val="none" w:sz="0" w:space="0" w:color="auto"/>
        <w:bottom w:val="none" w:sz="0" w:space="0" w:color="auto"/>
        <w:right w:val="none" w:sz="0" w:space="0" w:color="auto"/>
      </w:divBdr>
    </w:div>
    <w:div w:id="1296909499">
      <w:bodyDiv w:val="1"/>
      <w:marLeft w:val="0"/>
      <w:marRight w:val="0"/>
      <w:marTop w:val="0"/>
      <w:marBottom w:val="0"/>
      <w:divBdr>
        <w:top w:val="none" w:sz="0" w:space="0" w:color="auto"/>
        <w:left w:val="none" w:sz="0" w:space="0" w:color="auto"/>
        <w:bottom w:val="none" w:sz="0" w:space="0" w:color="auto"/>
        <w:right w:val="none" w:sz="0" w:space="0" w:color="auto"/>
      </w:divBdr>
    </w:div>
    <w:div w:id="1369911400">
      <w:bodyDiv w:val="1"/>
      <w:marLeft w:val="0"/>
      <w:marRight w:val="0"/>
      <w:marTop w:val="0"/>
      <w:marBottom w:val="0"/>
      <w:divBdr>
        <w:top w:val="none" w:sz="0" w:space="0" w:color="auto"/>
        <w:left w:val="none" w:sz="0" w:space="0" w:color="auto"/>
        <w:bottom w:val="none" w:sz="0" w:space="0" w:color="auto"/>
        <w:right w:val="none" w:sz="0" w:space="0" w:color="auto"/>
      </w:divBdr>
    </w:div>
    <w:div w:id="1599682004">
      <w:bodyDiv w:val="1"/>
      <w:marLeft w:val="0"/>
      <w:marRight w:val="0"/>
      <w:marTop w:val="0"/>
      <w:marBottom w:val="0"/>
      <w:divBdr>
        <w:top w:val="none" w:sz="0" w:space="0" w:color="auto"/>
        <w:left w:val="none" w:sz="0" w:space="0" w:color="auto"/>
        <w:bottom w:val="none" w:sz="0" w:space="0" w:color="auto"/>
        <w:right w:val="none" w:sz="0" w:space="0" w:color="auto"/>
      </w:divBdr>
      <w:divsChild>
        <w:div w:id="212741399">
          <w:marLeft w:val="0"/>
          <w:marRight w:val="0"/>
          <w:marTop w:val="0"/>
          <w:marBottom w:val="0"/>
          <w:divBdr>
            <w:top w:val="none" w:sz="0" w:space="0" w:color="auto"/>
            <w:left w:val="none" w:sz="0" w:space="0" w:color="auto"/>
            <w:bottom w:val="none" w:sz="0" w:space="0" w:color="auto"/>
            <w:right w:val="none" w:sz="0" w:space="0" w:color="auto"/>
          </w:divBdr>
        </w:div>
      </w:divsChild>
    </w:div>
    <w:div w:id="1904561733">
      <w:bodyDiv w:val="1"/>
      <w:marLeft w:val="0"/>
      <w:marRight w:val="0"/>
      <w:marTop w:val="0"/>
      <w:marBottom w:val="0"/>
      <w:divBdr>
        <w:top w:val="none" w:sz="0" w:space="0" w:color="auto"/>
        <w:left w:val="none" w:sz="0" w:space="0" w:color="auto"/>
        <w:bottom w:val="none" w:sz="0" w:space="0" w:color="auto"/>
        <w:right w:val="none" w:sz="0" w:space="0" w:color="auto"/>
      </w:divBdr>
      <w:divsChild>
        <w:div w:id="521436298">
          <w:marLeft w:val="0"/>
          <w:marRight w:val="0"/>
          <w:marTop w:val="0"/>
          <w:marBottom w:val="0"/>
          <w:divBdr>
            <w:top w:val="none" w:sz="0" w:space="0" w:color="auto"/>
            <w:left w:val="none" w:sz="0" w:space="0" w:color="auto"/>
            <w:bottom w:val="none" w:sz="0" w:space="0" w:color="auto"/>
            <w:right w:val="none" w:sz="0" w:space="0" w:color="auto"/>
          </w:divBdr>
        </w:div>
      </w:divsChild>
    </w:div>
    <w:div w:id="2105222701">
      <w:bodyDiv w:val="1"/>
      <w:marLeft w:val="0"/>
      <w:marRight w:val="0"/>
      <w:marTop w:val="0"/>
      <w:marBottom w:val="0"/>
      <w:divBdr>
        <w:top w:val="none" w:sz="0" w:space="0" w:color="auto"/>
        <w:left w:val="none" w:sz="0" w:space="0" w:color="auto"/>
        <w:bottom w:val="none" w:sz="0" w:space="0" w:color="auto"/>
        <w:right w:val="none" w:sz="0" w:space="0" w:color="auto"/>
      </w:divBdr>
      <w:divsChild>
        <w:div w:id="1602761815">
          <w:marLeft w:val="0"/>
          <w:marRight w:val="0"/>
          <w:marTop w:val="0"/>
          <w:marBottom w:val="0"/>
          <w:divBdr>
            <w:top w:val="none" w:sz="0" w:space="0" w:color="auto"/>
            <w:left w:val="none" w:sz="0" w:space="0" w:color="auto"/>
            <w:bottom w:val="none" w:sz="0" w:space="0" w:color="auto"/>
            <w:right w:val="none" w:sz="0" w:space="0" w:color="auto"/>
          </w:divBdr>
        </w:div>
      </w:divsChild>
    </w:div>
    <w:div w:id="211393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5861</Words>
  <Characters>33412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16</cp:revision>
  <dcterms:created xsi:type="dcterms:W3CDTF">2025-04-28T09:25:00Z</dcterms:created>
  <dcterms:modified xsi:type="dcterms:W3CDTF">2025-04-30T18:08:00Z</dcterms:modified>
</cp:coreProperties>
</file>