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345AC78" w14:textId="77777777" w:rsidR="00794072" w:rsidRPr="00C341F2" w:rsidRDefault="00794072" w:rsidP="00794072">
      <w:pPr>
        <w:pStyle w:val="NormalWeb"/>
        <w:numPr>
          <w:ilvl w:val="0"/>
          <w:numId w:val="1"/>
        </w:numPr>
      </w:pPr>
      <w:r w:rsidRPr="00C341F2">
        <w:t xml:space="preserve">Discuss the strengths and drawbacks of the following concepts: </w:t>
      </w:r>
    </w:p>
    <w:p w14:paraId="02F67122" w14:textId="77777777" w:rsidR="00794072" w:rsidRPr="00C341F2" w:rsidRDefault="00794072" w:rsidP="00794072">
      <w:pPr>
        <w:pStyle w:val="NormalWeb"/>
        <w:numPr>
          <w:ilvl w:val="1"/>
          <w:numId w:val="1"/>
        </w:numPr>
      </w:pPr>
      <w:r w:rsidRPr="00C341F2">
        <w:t xml:space="preserve">Direct discrimination </w:t>
      </w:r>
    </w:p>
    <w:p w14:paraId="435ECA4B" w14:textId="77777777" w:rsidR="00794072" w:rsidRPr="00C341F2" w:rsidRDefault="00794072" w:rsidP="00794072">
      <w:pPr>
        <w:pStyle w:val="NormalWeb"/>
        <w:numPr>
          <w:ilvl w:val="1"/>
          <w:numId w:val="1"/>
        </w:numPr>
      </w:pPr>
      <w:r w:rsidRPr="00C341F2">
        <w:t xml:space="preserve">Indirect discrimination </w:t>
      </w:r>
    </w:p>
    <w:p w14:paraId="268367C8" w14:textId="77777777" w:rsidR="00794072" w:rsidRPr="00C341F2" w:rsidRDefault="00794072" w:rsidP="00794072">
      <w:pPr>
        <w:pStyle w:val="NormalWeb"/>
        <w:numPr>
          <w:ilvl w:val="1"/>
          <w:numId w:val="1"/>
        </w:numPr>
      </w:pPr>
      <w:r w:rsidRPr="00C341F2">
        <w:t xml:space="preserve">Product requirement </w:t>
      </w:r>
    </w:p>
    <w:p w14:paraId="1A31278B" w14:textId="77777777" w:rsidR="00794072" w:rsidRPr="00C341F2" w:rsidRDefault="00794072" w:rsidP="00794072">
      <w:pPr>
        <w:pStyle w:val="NormalWeb"/>
        <w:numPr>
          <w:ilvl w:val="1"/>
          <w:numId w:val="1"/>
        </w:numPr>
      </w:pPr>
      <w:r w:rsidRPr="00C341F2">
        <w:t xml:space="preserve">Selling arrangement </w:t>
      </w:r>
    </w:p>
    <w:p w14:paraId="6AC6C8B3" w14:textId="77777777" w:rsidR="00794072" w:rsidRPr="00C341F2" w:rsidRDefault="00794072" w:rsidP="00794072">
      <w:pPr>
        <w:pStyle w:val="NormalWeb"/>
        <w:numPr>
          <w:ilvl w:val="1"/>
          <w:numId w:val="1"/>
        </w:numPr>
      </w:pPr>
      <w:r w:rsidRPr="00C341F2">
        <w:t xml:space="preserve">Market access </w:t>
      </w:r>
    </w:p>
    <w:p w14:paraId="1B1E984D" w14:textId="77777777" w:rsidR="0027707D" w:rsidRPr="0027707D" w:rsidRDefault="0027707D" w:rsidP="0027707D">
      <w:pPr>
        <w:spacing w:before="100" w:beforeAutospacing="1" w:after="100" w:afterAutospacing="1"/>
        <w:outlineLvl w:val="3"/>
        <w:rPr>
          <w:b/>
          <w:bCs/>
        </w:rPr>
      </w:pPr>
      <w:r w:rsidRPr="0027707D">
        <w:rPr>
          <w:b/>
          <w:bCs/>
        </w:rPr>
        <w:t>Direct Discrimination</w:t>
      </w:r>
    </w:p>
    <w:p w14:paraId="7FC591EB" w14:textId="63A78B3C" w:rsidR="0027707D" w:rsidRPr="0027707D" w:rsidRDefault="0027707D" w:rsidP="0027707D">
      <w:pPr>
        <w:spacing w:before="100" w:beforeAutospacing="1" w:after="100" w:afterAutospacing="1"/>
      </w:pPr>
      <w:r w:rsidRPr="0027707D">
        <w:rPr>
          <w:b/>
          <w:bCs/>
        </w:rPr>
        <w:t>Definition</w:t>
      </w:r>
      <w:r w:rsidRPr="0027707D">
        <w:t>: Direct discrimination, or distinctly applicable measures, occurs when a national measure explicitly treats imported goods differently from domestic goods based on origin. For instance, a tax applied only to imported goods (</w:t>
      </w:r>
      <w:proofErr w:type="spellStart"/>
      <w:r w:rsidRPr="0027707D">
        <w:rPr>
          <w:i/>
          <w:iCs/>
        </w:rPr>
        <w:t>Lütticke</w:t>
      </w:r>
      <w:proofErr w:type="spellEnd"/>
      <w:r w:rsidRPr="0027707D">
        <w:rPr>
          <w:i/>
          <w:iCs/>
        </w:rPr>
        <w:t xml:space="preserve"> v </w:t>
      </w:r>
      <w:proofErr w:type="spellStart"/>
      <w:r w:rsidRPr="0027707D">
        <w:rPr>
          <w:i/>
          <w:iCs/>
        </w:rPr>
        <w:t>Hauptzollamt</w:t>
      </w:r>
      <w:proofErr w:type="spellEnd"/>
      <w:r w:rsidRPr="0027707D">
        <w:rPr>
          <w:i/>
          <w:iCs/>
        </w:rPr>
        <w:t xml:space="preserve"> </w:t>
      </w:r>
      <w:proofErr w:type="spellStart"/>
      <w:r w:rsidRPr="0027707D">
        <w:rPr>
          <w:i/>
          <w:iCs/>
        </w:rPr>
        <w:t>Saarlouis</w:t>
      </w:r>
      <w:proofErr w:type="spellEnd"/>
      <w:r w:rsidRPr="0027707D">
        <w:t>, Case 57/65) or inspections required solely for imports (</w:t>
      </w:r>
      <w:proofErr w:type="spellStart"/>
      <w:r w:rsidRPr="0027707D">
        <w:rPr>
          <w:i/>
          <w:iCs/>
        </w:rPr>
        <w:t>Rewe-Zentralfinanz</w:t>
      </w:r>
      <w:proofErr w:type="spellEnd"/>
      <w:r w:rsidRPr="0027707D">
        <w:rPr>
          <w:i/>
          <w:iCs/>
        </w:rPr>
        <w:t xml:space="preserve"> v </w:t>
      </w:r>
      <w:proofErr w:type="spellStart"/>
      <w:r w:rsidRPr="0027707D">
        <w:rPr>
          <w:i/>
          <w:iCs/>
        </w:rPr>
        <w:t>Landwirtschaftskammer</w:t>
      </w:r>
      <w:proofErr w:type="spellEnd"/>
      <w:r w:rsidRPr="0027707D">
        <w:rPr>
          <w:i/>
          <w:iCs/>
        </w:rPr>
        <w:t xml:space="preserve"> Bonn (San Jose Scale)</w:t>
      </w:r>
      <w:r w:rsidRPr="0027707D">
        <w:t>, Case 4/75).</w:t>
      </w:r>
    </w:p>
    <w:p w14:paraId="597BDD4E" w14:textId="77777777" w:rsidR="0027707D" w:rsidRPr="0027707D" w:rsidRDefault="0027707D" w:rsidP="0027707D">
      <w:pPr>
        <w:spacing w:before="100" w:beforeAutospacing="1" w:after="100" w:afterAutospacing="1"/>
      </w:pPr>
      <w:r w:rsidRPr="0027707D">
        <w:rPr>
          <w:b/>
          <w:bCs/>
        </w:rPr>
        <w:t>Strengths</w:t>
      </w:r>
      <w:r w:rsidRPr="0027707D">
        <w:t>:</w:t>
      </w:r>
    </w:p>
    <w:p w14:paraId="7FE5D99D" w14:textId="77777777" w:rsidR="0027707D" w:rsidRPr="0027707D" w:rsidRDefault="0027707D" w:rsidP="0027707D">
      <w:pPr>
        <w:numPr>
          <w:ilvl w:val="0"/>
          <w:numId w:val="89"/>
        </w:numPr>
        <w:spacing w:before="100" w:beforeAutospacing="1" w:after="100" w:afterAutospacing="1"/>
      </w:pPr>
      <w:r w:rsidRPr="0027707D">
        <w:rPr>
          <w:b/>
          <w:bCs/>
        </w:rPr>
        <w:t>Clear Identification</w:t>
      </w:r>
      <w:r w:rsidRPr="0027707D">
        <w:t>: Direct discrimination is straightforward to identify due to its explicit distinction based on nationality or origin (</w:t>
      </w:r>
      <w:r w:rsidRPr="0027707D">
        <w:rPr>
          <w:i/>
          <w:iCs/>
        </w:rPr>
        <w:t>EU Law Concentrate</w:t>
      </w:r>
      <w:r w:rsidRPr="0027707D">
        <w:t xml:space="preserve">, p. 97). In </w:t>
      </w:r>
      <w:proofErr w:type="spellStart"/>
      <w:r w:rsidRPr="0027707D">
        <w:rPr>
          <w:i/>
          <w:iCs/>
        </w:rPr>
        <w:t>Lütticke</w:t>
      </w:r>
      <w:proofErr w:type="spellEnd"/>
      <w:r w:rsidRPr="0027707D">
        <w:t>, Germany’s tax on imported powdered milk, but not domestic equivalents, was an obvious breach of Article 110 TFEU, enabling swift judicial intervention (</w:t>
      </w:r>
      <w:proofErr w:type="spellStart"/>
      <w:r w:rsidRPr="0027707D">
        <w:rPr>
          <w:i/>
          <w:iCs/>
        </w:rPr>
        <w:t>Lütticke</w:t>
      </w:r>
      <w:proofErr w:type="spellEnd"/>
      <w:r w:rsidRPr="0027707D">
        <w:rPr>
          <w:i/>
          <w:iCs/>
        </w:rPr>
        <w:t xml:space="preserve"> v </w:t>
      </w:r>
      <w:proofErr w:type="spellStart"/>
      <w:r w:rsidRPr="0027707D">
        <w:rPr>
          <w:i/>
          <w:iCs/>
        </w:rPr>
        <w:t>Hauptzollamt</w:t>
      </w:r>
      <w:proofErr w:type="spellEnd"/>
      <w:r w:rsidRPr="0027707D">
        <w:rPr>
          <w:i/>
          <w:iCs/>
        </w:rPr>
        <w:t xml:space="preserve"> </w:t>
      </w:r>
      <w:proofErr w:type="spellStart"/>
      <w:r w:rsidRPr="0027707D">
        <w:rPr>
          <w:i/>
          <w:iCs/>
        </w:rPr>
        <w:t>Saarlouis</w:t>
      </w:r>
      <w:proofErr w:type="spellEnd"/>
      <w:r w:rsidRPr="0027707D">
        <w:t>, Case 57/65). This clarity reduces legal uncertainty, as courts can consistently apply the prohibition.</w:t>
      </w:r>
    </w:p>
    <w:p w14:paraId="2FDA6BE6" w14:textId="77777777" w:rsidR="0027707D" w:rsidRPr="0027707D" w:rsidRDefault="0027707D" w:rsidP="0027707D">
      <w:pPr>
        <w:numPr>
          <w:ilvl w:val="0"/>
          <w:numId w:val="89"/>
        </w:numPr>
        <w:spacing w:before="100" w:beforeAutospacing="1" w:after="100" w:afterAutospacing="1"/>
      </w:pPr>
      <w:r w:rsidRPr="0027707D">
        <w:rPr>
          <w:b/>
          <w:bCs/>
        </w:rPr>
        <w:t>Robust Anti-Protectionism</w:t>
      </w:r>
      <w:r w:rsidRPr="0027707D">
        <w:t>: The concept effectively targets overt protectionist measures, reinforcing the internal market (</w:t>
      </w:r>
      <w:r w:rsidRPr="0027707D">
        <w:rPr>
          <w:i/>
          <w:iCs/>
        </w:rPr>
        <w:t>Handout</w:t>
      </w:r>
      <w:r w:rsidRPr="0027707D">
        <w:t xml:space="preserve">, p. 20). In </w:t>
      </w:r>
      <w:r w:rsidRPr="0027707D">
        <w:rPr>
          <w:i/>
          <w:iCs/>
        </w:rPr>
        <w:t>Commission v Ireland (‘Buy Irish’ Campaign)</w:t>
      </w:r>
      <w:r w:rsidRPr="0027707D">
        <w:t>, Case 249/81, the campaign promoting only Irish products was ruled a measure equivalent to a quantitative restriction (MEQR) under Article 34 TFEU, ensuring fair competition (</w:t>
      </w:r>
      <w:r w:rsidRPr="0027707D">
        <w:rPr>
          <w:i/>
          <w:iCs/>
        </w:rPr>
        <w:t>Commission v Ireland (‘Buy Irish’ Campaign)</w:t>
      </w:r>
      <w:r w:rsidRPr="0027707D">
        <w:t>, Case 249/81).</w:t>
      </w:r>
    </w:p>
    <w:p w14:paraId="696A26CD" w14:textId="77777777" w:rsidR="0027707D" w:rsidRPr="0027707D" w:rsidRDefault="0027707D" w:rsidP="0027707D">
      <w:pPr>
        <w:numPr>
          <w:ilvl w:val="0"/>
          <w:numId w:val="89"/>
        </w:numPr>
        <w:spacing w:before="100" w:beforeAutospacing="1" w:after="100" w:afterAutospacing="1"/>
      </w:pPr>
      <w:r w:rsidRPr="0027707D">
        <w:rPr>
          <w:b/>
          <w:bCs/>
        </w:rPr>
        <w:t>Absolute Prohibition for Taxes</w:t>
      </w:r>
      <w:r w:rsidRPr="0027707D">
        <w:t>: Under Article 110 TFEU, direct discrimination cannot be justified, guaranteeing strict enforcement (</w:t>
      </w:r>
      <w:r w:rsidRPr="0027707D">
        <w:rPr>
          <w:i/>
          <w:iCs/>
        </w:rPr>
        <w:t>EU Law Concentrate</w:t>
      </w:r>
      <w:r w:rsidRPr="0027707D">
        <w:t xml:space="preserve">, p. 99; </w:t>
      </w:r>
      <w:proofErr w:type="spellStart"/>
      <w:r w:rsidRPr="0027707D">
        <w:rPr>
          <w:i/>
          <w:iCs/>
        </w:rPr>
        <w:t>Chemial</w:t>
      </w:r>
      <w:proofErr w:type="spellEnd"/>
      <w:r w:rsidRPr="0027707D">
        <w:rPr>
          <w:i/>
          <w:iCs/>
        </w:rPr>
        <w:t xml:space="preserve"> </w:t>
      </w:r>
      <w:proofErr w:type="spellStart"/>
      <w:r w:rsidRPr="0027707D">
        <w:rPr>
          <w:i/>
          <w:iCs/>
        </w:rPr>
        <w:t>Farmaceutici</w:t>
      </w:r>
      <w:proofErr w:type="spellEnd"/>
      <w:r w:rsidRPr="0027707D">
        <w:rPr>
          <w:i/>
          <w:iCs/>
        </w:rPr>
        <w:t xml:space="preserve"> </w:t>
      </w:r>
      <w:proofErr w:type="spellStart"/>
      <w:r w:rsidRPr="0027707D">
        <w:rPr>
          <w:i/>
          <w:iCs/>
        </w:rPr>
        <w:t>SpA</w:t>
      </w:r>
      <w:proofErr w:type="spellEnd"/>
      <w:r w:rsidRPr="0027707D">
        <w:rPr>
          <w:i/>
          <w:iCs/>
        </w:rPr>
        <w:t xml:space="preserve"> v DAF </w:t>
      </w:r>
      <w:proofErr w:type="spellStart"/>
      <w:r w:rsidRPr="0027707D">
        <w:rPr>
          <w:i/>
          <w:iCs/>
        </w:rPr>
        <w:t>SpA</w:t>
      </w:r>
      <w:proofErr w:type="spellEnd"/>
      <w:r w:rsidRPr="0027707D">
        <w:t xml:space="preserve">, Case 140/79). This rigidity prevents Member States from using fiscal measures to </w:t>
      </w:r>
      <w:proofErr w:type="spellStart"/>
      <w:r w:rsidRPr="0027707D">
        <w:t>favor</w:t>
      </w:r>
      <w:proofErr w:type="spellEnd"/>
      <w:r w:rsidRPr="0027707D">
        <w:t xml:space="preserve"> domestic goods, as seen in </w:t>
      </w:r>
      <w:proofErr w:type="spellStart"/>
      <w:r w:rsidRPr="0027707D">
        <w:rPr>
          <w:i/>
          <w:iCs/>
        </w:rPr>
        <w:t>Lütticke</w:t>
      </w:r>
      <w:proofErr w:type="spellEnd"/>
      <w:r w:rsidRPr="0027707D">
        <w:t>.</w:t>
      </w:r>
    </w:p>
    <w:p w14:paraId="285F74EB" w14:textId="77777777" w:rsidR="0027707D" w:rsidRPr="0027707D" w:rsidRDefault="0027707D" w:rsidP="0027707D">
      <w:pPr>
        <w:spacing w:before="100" w:beforeAutospacing="1" w:after="100" w:afterAutospacing="1"/>
      </w:pPr>
      <w:r w:rsidRPr="0027707D">
        <w:rPr>
          <w:b/>
          <w:bCs/>
        </w:rPr>
        <w:t>Drawbacks</w:t>
      </w:r>
      <w:r w:rsidRPr="0027707D">
        <w:t>:</w:t>
      </w:r>
    </w:p>
    <w:p w14:paraId="71152B2B" w14:textId="77777777" w:rsidR="0027707D" w:rsidRPr="0027707D" w:rsidRDefault="0027707D" w:rsidP="0027707D">
      <w:pPr>
        <w:numPr>
          <w:ilvl w:val="0"/>
          <w:numId w:val="90"/>
        </w:numPr>
        <w:spacing w:before="100" w:beforeAutospacing="1" w:after="100" w:afterAutospacing="1"/>
      </w:pPr>
      <w:r w:rsidRPr="0027707D">
        <w:rPr>
          <w:b/>
          <w:bCs/>
        </w:rPr>
        <w:t>Rare Occurrence</w:t>
      </w:r>
      <w:r w:rsidRPr="0027707D">
        <w:t>: Direct discrimination is increasingly uncommon, as Member States avoid overtly discriminatory measures due to their clear illegality (</w:t>
      </w:r>
      <w:r w:rsidRPr="0027707D">
        <w:rPr>
          <w:i/>
          <w:iCs/>
        </w:rPr>
        <w:t>EU Law Concentrate</w:t>
      </w:r>
      <w:r w:rsidRPr="0027707D">
        <w:t xml:space="preserve">, p. 97). Cases like </w:t>
      </w:r>
      <w:proofErr w:type="spellStart"/>
      <w:r w:rsidRPr="0027707D">
        <w:rPr>
          <w:i/>
          <w:iCs/>
        </w:rPr>
        <w:t>Lütticke</w:t>
      </w:r>
      <w:proofErr w:type="spellEnd"/>
      <w:r w:rsidRPr="0027707D">
        <w:t xml:space="preserve"> are outdated, reducing the concept’s practical relevance compared to indirect discrimination (</w:t>
      </w:r>
      <w:proofErr w:type="spellStart"/>
      <w:r w:rsidRPr="0027707D">
        <w:rPr>
          <w:i/>
          <w:iCs/>
        </w:rPr>
        <w:t>Lütticke</w:t>
      </w:r>
      <w:proofErr w:type="spellEnd"/>
      <w:r w:rsidRPr="0027707D">
        <w:rPr>
          <w:i/>
          <w:iCs/>
        </w:rPr>
        <w:t xml:space="preserve"> v </w:t>
      </w:r>
      <w:proofErr w:type="spellStart"/>
      <w:r w:rsidRPr="0027707D">
        <w:rPr>
          <w:i/>
          <w:iCs/>
        </w:rPr>
        <w:t>Hauptzollamt</w:t>
      </w:r>
      <w:proofErr w:type="spellEnd"/>
      <w:r w:rsidRPr="0027707D">
        <w:rPr>
          <w:i/>
          <w:iCs/>
        </w:rPr>
        <w:t xml:space="preserve"> </w:t>
      </w:r>
      <w:proofErr w:type="spellStart"/>
      <w:r w:rsidRPr="0027707D">
        <w:rPr>
          <w:i/>
          <w:iCs/>
        </w:rPr>
        <w:t>Saarlouis</w:t>
      </w:r>
      <w:proofErr w:type="spellEnd"/>
      <w:r w:rsidRPr="0027707D">
        <w:t>, Case 57/65). This rarity limits its utility in modern litigation.</w:t>
      </w:r>
    </w:p>
    <w:p w14:paraId="5425FB9E" w14:textId="77777777" w:rsidR="0027707D" w:rsidRPr="0027707D" w:rsidRDefault="0027707D" w:rsidP="0027707D">
      <w:pPr>
        <w:numPr>
          <w:ilvl w:val="0"/>
          <w:numId w:val="90"/>
        </w:numPr>
        <w:spacing w:before="100" w:beforeAutospacing="1" w:after="100" w:afterAutospacing="1"/>
      </w:pPr>
      <w:r w:rsidRPr="0027707D">
        <w:rPr>
          <w:b/>
          <w:bCs/>
        </w:rPr>
        <w:t>Inflexibility</w:t>
      </w:r>
      <w:r w:rsidRPr="0027707D">
        <w:t>: The inability to justify direct discrimination under Article 110 TFEU restricts legitimate policy objectives (</w:t>
      </w:r>
      <w:r w:rsidRPr="0027707D">
        <w:rPr>
          <w:i/>
          <w:iCs/>
        </w:rPr>
        <w:t>Handout</w:t>
      </w:r>
      <w:r w:rsidRPr="0027707D">
        <w:t>, p. 22). For Article 34 TFEU, only Article 36 TFEU derogations apply, which are exhaustive and narrowly construed (</w:t>
      </w:r>
      <w:r w:rsidRPr="0027707D">
        <w:rPr>
          <w:i/>
          <w:iCs/>
        </w:rPr>
        <w:t>Commission v Ireland (Restrictions on Importation of Souvenirs)</w:t>
      </w:r>
      <w:r w:rsidRPr="0027707D">
        <w:t xml:space="preserve">, Case 113/80). In </w:t>
      </w:r>
      <w:r w:rsidRPr="0027707D">
        <w:rPr>
          <w:i/>
          <w:iCs/>
        </w:rPr>
        <w:t>Commission v Ireland (Souvenirs)</w:t>
      </w:r>
      <w:r w:rsidRPr="0027707D">
        <w:t>, consumer protection was rejected as a justification, potentially stifling valid regulations.</w:t>
      </w:r>
    </w:p>
    <w:p w14:paraId="5032C4EC" w14:textId="77777777" w:rsidR="0027707D" w:rsidRPr="0027707D" w:rsidRDefault="0027707D" w:rsidP="0027707D">
      <w:pPr>
        <w:numPr>
          <w:ilvl w:val="0"/>
          <w:numId w:val="90"/>
        </w:numPr>
        <w:spacing w:before="100" w:beforeAutospacing="1" w:after="100" w:afterAutospacing="1"/>
      </w:pPr>
      <w:r w:rsidRPr="0027707D">
        <w:rPr>
          <w:b/>
          <w:bCs/>
        </w:rPr>
        <w:t>Unpredictability in Scope</w:t>
      </w:r>
      <w:r w:rsidRPr="0027707D">
        <w:t>: Applying direct discrimination to state-controlled private parties creates uncertainty (</w:t>
      </w:r>
      <w:r w:rsidRPr="0027707D">
        <w:rPr>
          <w:i/>
          <w:iCs/>
        </w:rPr>
        <w:t>Handout</w:t>
      </w:r>
      <w:r w:rsidRPr="0027707D">
        <w:t xml:space="preserve">, p. 21). In </w:t>
      </w:r>
      <w:r w:rsidRPr="0027707D">
        <w:rPr>
          <w:i/>
          <w:iCs/>
        </w:rPr>
        <w:t>Commission v Ireland (‘Buy Irish’ Campaign)</w:t>
      </w:r>
      <w:r w:rsidRPr="0027707D">
        <w:t xml:space="preserve">, state-backed private actions were caught, but in </w:t>
      </w:r>
      <w:r w:rsidRPr="0027707D">
        <w:rPr>
          <w:i/>
          <w:iCs/>
        </w:rPr>
        <w:t>Fra.bo</w:t>
      </w:r>
      <w:r w:rsidRPr="0027707D">
        <w:t xml:space="preserve">, Case C-171/11, a </w:t>
      </w:r>
      <w:r w:rsidRPr="0027707D">
        <w:lastRenderedPageBreak/>
        <w:t>private certification body’s actions were deemed state-like, blurring vertical and horizontal effect boundaries (</w:t>
      </w:r>
      <w:r w:rsidRPr="0027707D">
        <w:rPr>
          <w:i/>
          <w:iCs/>
        </w:rPr>
        <w:t>Fra.bo</w:t>
      </w:r>
      <w:r w:rsidRPr="0027707D">
        <w:t>, Case C-171/11). This inconsistency risks unpredictable rulings, as courts struggle to define “state involvement.”</w:t>
      </w:r>
    </w:p>
    <w:p w14:paraId="46B97A7C" w14:textId="77777777" w:rsidR="0027707D" w:rsidRPr="0027707D" w:rsidRDefault="0027707D" w:rsidP="0027707D">
      <w:pPr>
        <w:spacing w:before="100" w:beforeAutospacing="1" w:after="100" w:afterAutospacing="1"/>
        <w:outlineLvl w:val="3"/>
        <w:rPr>
          <w:b/>
          <w:bCs/>
        </w:rPr>
      </w:pPr>
      <w:r w:rsidRPr="0027707D">
        <w:rPr>
          <w:b/>
          <w:bCs/>
        </w:rPr>
        <w:t>Indirect Discrimination</w:t>
      </w:r>
    </w:p>
    <w:p w14:paraId="549CBE56" w14:textId="59932A0F" w:rsidR="0027707D" w:rsidRPr="0027707D" w:rsidRDefault="0027707D" w:rsidP="0027707D">
      <w:pPr>
        <w:spacing w:before="100" w:beforeAutospacing="1" w:after="100" w:afterAutospacing="1"/>
      </w:pPr>
      <w:r w:rsidRPr="0027707D">
        <w:rPr>
          <w:b/>
          <w:bCs/>
        </w:rPr>
        <w:t>Definition</w:t>
      </w:r>
      <w:r w:rsidRPr="0027707D">
        <w:t xml:space="preserve">: Indirect discrimination, or indistinctly applicable measures, involves rules that appear neutral but disproportionately disadvantage imported goods. For example, a tax structure </w:t>
      </w:r>
      <w:proofErr w:type="spellStart"/>
      <w:r w:rsidRPr="0027707D">
        <w:t>favoring</w:t>
      </w:r>
      <w:proofErr w:type="spellEnd"/>
      <w:r w:rsidRPr="0027707D">
        <w:t xml:space="preserve"> domestically produced goods (</w:t>
      </w:r>
      <w:proofErr w:type="spellStart"/>
      <w:r w:rsidRPr="0027707D">
        <w:rPr>
          <w:i/>
          <w:iCs/>
        </w:rPr>
        <w:t>Humblot</w:t>
      </w:r>
      <w:proofErr w:type="spellEnd"/>
      <w:r w:rsidRPr="0027707D">
        <w:rPr>
          <w:i/>
          <w:iCs/>
        </w:rPr>
        <w:t xml:space="preserve"> v Directeur des Services </w:t>
      </w:r>
      <w:proofErr w:type="spellStart"/>
      <w:r w:rsidRPr="0027707D">
        <w:rPr>
          <w:i/>
          <w:iCs/>
        </w:rPr>
        <w:t>Fiscaux</w:t>
      </w:r>
      <w:proofErr w:type="spellEnd"/>
      <w:r w:rsidRPr="0027707D">
        <w:t>, Case 112/84).</w:t>
      </w:r>
    </w:p>
    <w:p w14:paraId="1C3EDA89" w14:textId="77777777" w:rsidR="0027707D" w:rsidRPr="0027707D" w:rsidRDefault="0027707D" w:rsidP="0027707D">
      <w:pPr>
        <w:spacing w:before="100" w:beforeAutospacing="1" w:after="100" w:afterAutospacing="1"/>
      </w:pPr>
      <w:r w:rsidRPr="0027707D">
        <w:rPr>
          <w:b/>
          <w:bCs/>
        </w:rPr>
        <w:t>Strengths</w:t>
      </w:r>
      <w:r w:rsidRPr="0027707D">
        <w:t>:</w:t>
      </w:r>
    </w:p>
    <w:p w14:paraId="325285D3" w14:textId="77777777" w:rsidR="0027707D" w:rsidRPr="0027707D" w:rsidRDefault="0027707D" w:rsidP="0027707D">
      <w:pPr>
        <w:numPr>
          <w:ilvl w:val="0"/>
          <w:numId w:val="91"/>
        </w:numPr>
        <w:spacing w:before="100" w:beforeAutospacing="1" w:after="100" w:afterAutospacing="1"/>
      </w:pPr>
      <w:r w:rsidRPr="0027707D">
        <w:rPr>
          <w:b/>
          <w:bCs/>
        </w:rPr>
        <w:t>Broad Reach</w:t>
      </w:r>
      <w:r w:rsidRPr="0027707D">
        <w:t>: Indirect discrimination captures subtle protectionism, enhancing market integration (</w:t>
      </w:r>
      <w:r w:rsidRPr="0027707D">
        <w:rPr>
          <w:i/>
          <w:iCs/>
        </w:rPr>
        <w:t>EU Law Concentrate</w:t>
      </w:r>
      <w:r w:rsidRPr="0027707D">
        <w:t xml:space="preserve">, p. 98). In </w:t>
      </w:r>
      <w:proofErr w:type="spellStart"/>
      <w:r w:rsidRPr="0027707D">
        <w:rPr>
          <w:i/>
          <w:iCs/>
        </w:rPr>
        <w:t>Humblot</w:t>
      </w:r>
      <w:proofErr w:type="spellEnd"/>
      <w:r w:rsidRPr="0027707D">
        <w:t xml:space="preserve">, France’s car tax </w:t>
      </w:r>
      <w:proofErr w:type="spellStart"/>
      <w:r w:rsidRPr="0027707D">
        <w:t>favored</w:t>
      </w:r>
      <w:proofErr w:type="spellEnd"/>
      <w:r w:rsidRPr="0027707D">
        <w:t xml:space="preserve"> low-power domestic cars, breaching Article 110 TFEU by indirectly disadvantaging imports (</w:t>
      </w:r>
      <w:proofErr w:type="spellStart"/>
      <w:r w:rsidRPr="0027707D">
        <w:rPr>
          <w:i/>
          <w:iCs/>
        </w:rPr>
        <w:t>Humblot</w:t>
      </w:r>
      <w:proofErr w:type="spellEnd"/>
      <w:r w:rsidRPr="0027707D">
        <w:rPr>
          <w:i/>
          <w:iCs/>
        </w:rPr>
        <w:t xml:space="preserve"> v Directeur des Services </w:t>
      </w:r>
      <w:proofErr w:type="spellStart"/>
      <w:r w:rsidRPr="0027707D">
        <w:rPr>
          <w:i/>
          <w:iCs/>
        </w:rPr>
        <w:t>Fiscaux</w:t>
      </w:r>
      <w:proofErr w:type="spellEnd"/>
      <w:r w:rsidRPr="0027707D">
        <w:t>, Case 112/84). This ensures fairness in competitive markets.</w:t>
      </w:r>
    </w:p>
    <w:p w14:paraId="22E4B124" w14:textId="77777777" w:rsidR="0027707D" w:rsidRPr="0027707D" w:rsidRDefault="0027707D" w:rsidP="0027707D">
      <w:pPr>
        <w:numPr>
          <w:ilvl w:val="0"/>
          <w:numId w:val="91"/>
        </w:numPr>
        <w:spacing w:before="100" w:beforeAutospacing="1" w:after="100" w:afterAutospacing="1"/>
      </w:pPr>
      <w:r w:rsidRPr="0027707D">
        <w:rPr>
          <w:b/>
          <w:bCs/>
        </w:rPr>
        <w:t>Flexible Justification</w:t>
      </w:r>
      <w:r w:rsidRPr="0027707D">
        <w:t>: Indirect discrimination under Article 110 TFEU can be justified by objective policy goals (</w:t>
      </w:r>
      <w:proofErr w:type="spellStart"/>
      <w:r w:rsidRPr="0027707D">
        <w:rPr>
          <w:i/>
          <w:iCs/>
        </w:rPr>
        <w:t>Chemial</w:t>
      </w:r>
      <w:proofErr w:type="spellEnd"/>
      <w:r w:rsidRPr="0027707D">
        <w:rPr>
          <w:i/>
          <w:iCs/>
        </w:rPr>
        <w:t xml:space="preserve"> </w:t>
      </w:r>
      <w:proofErr w:type="spellStart"/>
      <w:r w:rsidRPr="0027707D">
        <w:rPr>
          <w:i/>
          <w:iCs/>
        </w:rPr>
        <w:t>Farmaceutici</w:t>
      </w:r>
      <w:proofErr w:type="spellEnd"/>
      <w:r w:rsidRPr="0027707D">
        <w:rPr>
          <w:i/>
          <w:iCs/>
        </w:rPr>
        <w:t xml:space="preserve"> </w:t>
      </w:r>
      <w:proofErr w:type="spellStart"/>
      <w:r w:rsidRPr="0027707D">
        <w:rPr>
          <w:i/>
          <w:iCs/>
        </w:rPr>
        <w:t>SpA</w:t>
      </w:r>
      <w:proofErr w:type="spellEnd"/>
      <w:r w:rsidRPr="0027707D">
        <w:rPr>
          <w:i/>
          <w:iCs/>
        </w:rPr>
        <w:t xml:space="preserve"> v DAF </w:t>
      </w:r>
      <w:proofErr w:type="spellStart"/>
      <w:r w:rsidRPr="0027707D">
        <w:rPr>
          <w:i/>
          <w:iCs/>
        </w:rPr>
        <w:t>SpA</w:t>
      </w:r>
      <w:proofErr w:type="spellEnd"/>
      <w:r w:rsidRPr="0027707D">
        <w:t>, Case 140/79), and under Article 34 TFEU, by mandatory requirements or Article 36 derogations (</w:t>
      </w:r>
      <w:proofErr w:type="spellStart"/>
      <w:r w:rsidRPr="0027707D">
        <w:rPr>
          <w:i/>
          <w:iCs/>
        </w:rPr>
        <w:t>Rewe-Zentral</w:t>
      </w:r>
      <w:proofErr w:type="spellEnd"/>
      <w:r w:rsidRPr="0027707D">
        <w:rPr>
          <w:i/>
          <w:iCs/>
        </w:rPr>
        <w:t xml:space="preserve"> AG v </w:t>
      </w:r>
      <w:proofErr w:type="spellStart"/>
      <w:r w:rsidRPr="0027707D">
        <w:rPr>
          <w:i/>
          <w:iCs/>
        </w:rPr>
        <w:t>Bundesmonopolverwaltung</w:t>
      </w:r>
      <w:proofErr w:type="spellEnd"/>
      <w:r w:rsidRPr="0027707D">
        <w:rPr>
          <w:i/>
          <w:iCs/>
        </w:rPr>
        <w:t xml:space="preserve"> für </w:t>
      </w:r>
      <w:proofErr w:type="spellStart"/>
      <w:r w:rsidRPr="0027707D">
        <w:rPr>
          <w:i/>
          <w:iCs/>
        </w:rPr>
        <w:t>Branntwein</w:t>
      </w:r>
      <w:proofErr w:type="spellEnd"/>
      <w:r w:rsidRPr="0027707D">
        <w:rPr>
          <w:i/>
          <w:iCs/>
        </w:rPr>
        <w:t xml:space="preserve"> (Cassis de Dijon)</w:t>
      </w:r>
      <w:r w:rsidRPr="0027707D">
        <w:t xml:space="preserve">, Case 120/78; </w:t>
      </w:r>
      <w:r w:rsidRPr="0027707D">
        <w:rPr>
          <w:i/>
          <w:iCs/>
        </w:rPr>
        <w:t>EU Law Concentrate</w:t>
      </w:r>
      <w:r w:rsidRPr="0027707D">
        <w:t xml:space="preserve">, p. 99; Handout, p. 24). In </w:t>
      </w:r>
      <w:proofErr w:type="spellStart"/>
      <w:r w:rsidRPr="0027707D">
        <w:rPr>
          <w:i/>
          <w:iCs/>
        </w:rPr>
        <w:t>Chemial</w:t>
      </w:r>
      <w:proofErr w:type="spellEnd"/>
      <w:r w:rsidRPr="0027707D">
        <w:rPr>
          <w:i/>
          <w:iCs/>
        </w:rPr>
        <w:t xml:space="preserve"> </w:t>
      </w:r>
      <w:proofErr w:type="spellStart"/>
      <w:r w:rsidRPr="0027707D">
        <w:rPr>
          <w:i/>
          <w:iCs/>
        </w:rPr>
        <w:t>Farmaceutici</w:t>
      </w:r>
      <w:proofErr w:type="spellEnd"/>
      <w:r w:rsidRPr="0027707D">
        <w:t>, Italy’s tax differentiation was upheld for economic policy reasons, balancing trade and public interest.</w:t>
      </w:r>
    </w:p>
    <w:p w14:paraId="3A6C827A" w14:textId="77777777" w:rsidR="0027707D" w:rsidRPr="0027707D" w:rsidRDefault="0027707D" w:rsidP="0027707D">
      <w:pPr>
        <w:numPr>
          <w:ilvl w:val="0"/>
          <w:numId w:val="91"/>
        </w:numPr>
        <w:spacing w:before="100" w:beforeAutospacing="1" w:after="100" w:afterAutospacing="1"/>
      </w:pPr>
      <w:r w:rsidRPr="0027707D">
        <w:rPr>
          <w:b/>
          <w:bCs/>
        </w:rPr>
        <w:t>Versatility</w:t>
      </w:r>
      <w:r w:rsidRPr="0027707D">
        <w:t>: The concept applies to diverse measures, such as tax collection methods (</w:t>
      </w:r>
      <w:r w:rsidRPr="0027707D">
        <w:rPr>
          <w:i/>
          <w:iCs/>
        </w:rPr>
        <w:t>Commission v Ireland (Excise Payments)</w:t>
      </w:r>
      <w:r w:rsidRPr="0027707D">
        <w:t>, Case 55/79) or product standards (</w:t>
      </w:r>
      <w:r w:rsidRPr="0027707D">
        <w:rPr>
          <w:i/>
          <w:iCs/>
        </w:rPr>
        <w:t xml:space="preserve">Walter Rau </w:t>
      </w:r>
      <w:proofErr w:type="spellStart"/>
      <w:r w:rsidRPr="0027707D">
        <w:rPr>
          <w:i/>
          <w:iCs/>
        </w:rPr>
        <w:t>Lebensmittelwerke</w:t>
      </w:r>
      <w:proofErr w:type="spellEnd"/>
      <w:r w:rsidRPr="0027707D">
        <w:rPr>
          <w:i/>
          <w:iCs/>
        </w:rPr>
        <w:t xml:space="preserve"> v de </w:t>
      </w:r>
      <w:proofErr w:type="spellStart"/>
      <w:r w:rsidRPr="0027707D">
        <w:rPr>
          <w:i/>
          <w:iCs/>
        </w:rPr>
        <w:t>Smedt</w:t>
      </w:r>
      <w:proofErr w:type="spellEnd"/>
      <w:r w:rsidRPr="0027707D">
        <w:rPr>
          <w:i/>
          <w:iCs/>
        </w:rPr>
        <w:t xml:space="preserve"> </w:t>
      </w:r>
      <w:proofErr w:type="spellStart"/>
      <w:r w:rsidRPr="0027707D">
        <w:rPr>
          <w:i/>
          <w:iCs/>
        </w:rPr>
        <w:t>PvbA</w:t>
      </w:r>
      <w:proofErr w:type="spellEnd"/>
      <w:r w:rsidRPr="0027707D">
        <w:t>, Case 261/81), addressing evolving regulatory challenges (</w:t>
      </w:r>
      <w:r w:rsidRPr="0027707D">
        <w:rPr>
          <w:i/>
          <w:iCs/>
        </w:rPr>
        <w:t>EU Law Concentrate</w:t>
      </w:r>
      <w:r w:rsidRPr="0027707D">
        <w:t xml:space="preserve">, p. 98). In </w:t>
      </w:r>
      <w:r w:rsidRPr="0027707D">
        <w:rPr>
          <w:i/>
          <w:iCs/>
        </w:rPr>
        <w:t>Commission v Ireland (Excise Payments)</w:t>
      </w:r>
      <w:r w:rsidRPr="0027707D">
        <w:t>, deferred tax payments for domestic producers were ruled discriminatory, showcasing adaptability.</w:t>
      </w:r>
    </w:p>
    <w:p w14:paraId="6FD65856" w14:textId="77777777" w:rsidR="0027707D" w:rsidRPr="0027707D" w:rsidRDefault="0027707D" w:rsidP="0027707D">
      <w:pPr>
        <w:spacing w:before="100" w:beforeAutospacing="1" w:after="100" w:afterAutospacing="1"/>
      </w:pPr>
      <w:r w:rsidRPr="0027707D">
        <w:rPr>
          <w:b/>
          <w:bCs/>
        </w:rPr>
        <w:t>Drawbacks</w:t>
      </w:r>
      <w:r w:rsidRPr="0027707D">
        <w:t>:</w:t>
      </w:r>
    </w:p>
    <w:p w14:paraId="0D07C92A" w14:textId="77777777" w:rsidR="0027707D" w:rsidRPr="0027707D" w:rsidRDefault="0027707D" w:rsidP="0027707D">
      <w:pPr>
        <w:numPr>
          <w:ilvl w:val="0"/>
          <w:numId w:val="92"/>
        </w:numPr>
        <w:spacing w:before="100" w:beforeAutospacing="1" w:after="100" w:afterAutospacing="1"/>
      </w:pPr>
      <w:r w:rsidRPr="0027707D">
        <w:rPr>
          <w:b/>
          <w:bCs/>
        </w:rPr>
        <w:t>Identification Complexity</w:t>
      </w:r>
      <w:r w:rsidRPr="0027707D">
        <w:t xml:space="preserve">: Indirect discrimination requires </w:t>
      </w:r>
      <w:proofErr w:type="spellStart"/>
      <w:r w:rsidRPr="0027707D">
        <w:t>analyzing</w:t>
      </w:r>
      <w:proofErr w:type="spellEnd"/>
      <w:r w:rsidRPr="0027707D">
        <w:t xml:space="preserve"> effects, increasing judicial burden (</w:t>
      </w:r>
      <w:r w:rsidRPr="0027707D">
        <w:rPr>
          <w:i/>
          <w:iCs/>
        </w:rPr>
        <w:t>EU Law Concentrate</w:t>
      </w:r>
      <w:r w:rsidRPr="0027707D">
        <w:t xml:space="preserve">, p. 97). In </w:t>
      </w:r>
      <w:proofErr w:type="spellStart"/>
      <w:r w:rsidRPr="0027707D">
        <w:rPr>
          <w:i/>
          <w:iCs/>
        </w:rPr>
        <w:t>Outokumpu</w:t>
      </w:r>
      <w:proofErr w:type="spellEnd"/>
      <w:r w:rsidRPr="0027707D">
        <w:rPr>
          <w:i/>
          <w:iCs/>
        </w:rPr>
        <w:t xml:space="preserve"> Oy</w:t>
      </w:r>
      <w:r w:rsidRPr="0027707D">
        <w:t xml:space="preserve">, Case C-213/96, Finland’s flat-rate tax on imported electricity needed detailed scrutiny to establish a breach, unlike the clear violation in </w:t>
      </w:r>
      <w:proofErr w:type="spellStart"/>
      <w:r w:rsidRPr="0027707D">
        <w:rPr>
          <w:i/>
          <w:iCs/>
        </w:rPr>
        <w:t>Lütticke</w:t>
      </w:r>
      <w:proofErr w:type="spellEnd"/>
      <w:r w:rsidRPr="0027707D">
        <w:t xml:space="preserve"> (</w:t>
      </w:r>
      <w:proofErr w:type="spellStart"/>
      <w:r w:rsidRPr="0027707D">
        <w:rPr>
          <w:i/>
          <w:iCs/>
        </w:rPr>
        <w:t>Outokumpu</w:t>
      </w:r>
      <w:proofErr w:type="spellEnd"/>
      <w:r w:rsidRPr="0027707D">
        <w:rPr>
          <w:i/>
          <w:iCs/>
        </w:rPr>
        <w:t xml:space="preserve"> Oy</w:t>
      </w:r>
      <w:r w:rsidRPr="0027707D">
        <w:t xml:space="preserve">, Case C-213/96; </w:t>
      </w:r>
      <w:proofErr w:type="spellStart"/>
      <w:r w:rsidRPr="0027707D">
        <w:rPr>
          <w:i/>
          <w:iCs/>
        </w:rPr>
        <w:t>Lütticke</w:t>
      </w:r>
      <w:proofErr w:type="spellEnd"/>
      <w:r w:rsidRPr="0027707D">
        <w:rPr>
          <w:i/>
          <w:iCs/>
        </w:rPr>
        <w:t xml:space="preserve"> v </w:t>
      </w:r>
      <w:proofErr w:type="spellStart"/>
      <w:r w:rsidRPr="0027707D">
        <w:rPr>
          <w:i/>
          <w:iCs/>
        </w:rPr>
        <w:t>Hauptzollamt</w:t>
      </w:r>
      <w:proofErr w:type="spellEnd"/>
      <w:r w:rsidRPr="0027707D">
        <w:rPr>
          <w:i/>
          <w:iCs/>
        </w:rPr>
        <w:t xml:space="preserve"> </w:t>
      </w:r>
      <w:proofErr w:type="spellStart"/>
      <w:r w:rsidRPr="0027707D">
        <w:rPr>
          <w:i/>
          <w:iCs/>
        </w:rPr>
        <w:t>Saarlouis</w:t>
      </w:r>
      <w:proofErr w:type="spellEnd"/>
      <w:r w:rsidRPr="0027707D">
        <w:t>, Case 57/65). This complexity risks inconsistent rulings.</w:t>
      </w:r>
    </w:p>
    <w:p w14:paraId="7EBD15B6" w14:textId="77777777" w:rsidR="0027707D" w:rsidRPr="0027707D" w:rsidRDefault="0027707D" w:rsidP="0027707D">
      <w:pPr>
        <w:numPr>
          <w:ilvl w:val="0"/>
          <w:numId w:val="92"/>
        </w:numPr>
        <w:spacing w:before="100" w:beforeAutospacing="1" w:after="100" w:afterAutospacing="1"/>
      </w:pPr>
      <w:r w:rsidRPr="0027707D">
        <w:rPr>
          <w:b/>
          <w:bCs/>
        </w:rPr>
        <w:t>Regulatory Overreach</w:t>
      </w:r>
      <w:r w:rsidRPr="0027707D">
        <w:t>: Broad application may scrutinize non-protectionist measures, limiting autonomy (</w:t>
      </w:r>
      <w:proofErr w:type="spellStart"/>
      <w:r w:rsidRPr="0027707D">
        <w:rPr>
          <w:i/>
          <w:iCs/>
        </w:rPr>
        <w:t>Lianos</w:t>
      </w:r>
      <w:proofErr w:type="spellEnd"/>
      <w:r w:rsidRPr="0027707D">
        <w:rPr>
          <w:i/>
          <w:iCs/>
        </w:rPr>
        <w:t>, In Memoriam Keck</w:t>
      </w:r>
      <w:r w:rsidRPr="0027707D">
        <w:t xml:space="preserve">, p. 239). In </w:t>
      </w:r>
      <w:r w:rsidRPr="0027707D">
        <w:rPr>
          <w:i/>
          <w:iCs/>
        </w:rPr>
        <w:t>Commission v United Kingdom (Origin Marking of Goods)</w:t>
      </w:r>
      <w:r w:rsidRPr="0027707D">
        <w:t>, Case 207/83, a neutral origin-marking rule was an MEQR due to consumer prejudice, despite no clear protectionist intent, potentially overburdening Member States (</w:t>
      </w:r>
      <w:r w:rsidRPr="0027707D">
        <w:rPr>
          <w:i/>
          <w:iCs/>
        </w:rPr>
        <w:t>Commission v United Kingdom (Origin Marking of Goods)</w:t>
      </w:r>
      <w:r w:rsidRPr="0027707D">
        <w:t>, Case 207/83).</w:t>
      </w:r>
    </w:p>
    <w:p w14:paraId="36F6F5EE" w14:textId="77777777" w:rsidR="0027707D" w:rsidRPr="0027707D" w:rsidRDefault="0027707D" w:rsidP="0027707D">
      <w:pPr>
        <w:numPr>
          <w:ilvl w:val="0"/>
          <w:numId w:val="92"/>
        </w:numPr>
        <w:spacing w:before="100" w:beforeAutospacing="1" w:after="100" w:afterAutospacing="1"/>
      </w:pPr>
      <w:r w:rsidRPr="0027707D">
        <w:rPr>
          <w:b/>
          <w:bCs/>
        </w:rPr>
        <w:t>Inconsistent Justification</w:t>
      </w:r>
      <w:r w:rsidRPr="0027707D">
        <w:t>: The CJEU’s flexibility in accepting justifications creates unpredictability (</w:t>
      </w:r>
      <w:r w:rsidRPr="0027707D">
        <w:rPr>
          <w:i/>
          <w:iCs/>
        </w:rPr>
        <w:t>EU Law Concentrate</w:t>
      </w:r>
      <w:r w:rsidRPr="0027707D">
        <w:t xml:space="preserve">, p. 116). In </w:t>
      </w:r>
      <w:proofErr w:type="spellStart"/>
      <w:r w:rsidRPr="0027707D">
        <w:rPr>
          <w:i/>
          <w:iCs/>
        </w:rPr>
        <w:t>PreussenElektra</w:t>
      </w:r>
      <w:proofErr w:type="spellEnd"/>
      <w:r w:rsidRPr="0027707D">
        <w:rPr>
          <w:i/>
          <w:iCs/>
        </w:rPr>
        <w:t xml:space="preserve"> AG v </w:t>
      </w:r>
      <w:proofErr w:type="spellStart"/>
      <w:r w:rsidRPr="0027707D">
        <w:rPr>
          <w:i/>
          <w:iCs/>
        </w:rPr>
        <w:t>Schleswag</w:t>
      </w:r>
      <w:proofErr w:type="spellEnd"/>
      <w:r w:rsidRPr="0027707D">
        <w:rPr>
          <w:i/>
          <w:iCs/>
        </w:rPr>
        <w:t xml:space="preserve"> AG</w:t>
      </w:r>
      <w:r w:rsidRPr="0027707D">
        <w:t xml:space="preserve">, Case C-379/98, environmental protection justified a distinctly applicable measure, deviating from </w:t>
      </w:r>
      <w:r w:rsidRPr="0027707D">
        <w:rPr>
          <w:i/>
          <w:iCs/>
        </w:rPr>
        <w:t>Cassis</w:t>
      </w:r>
      <w:r w:rsidRPr="0027707D">
        <w:t xml:space="preserve">’s rule that only indistinct measures qualify, leading to </w:t>
      </w:r>
      <w:r w:rsidRPr="0027707D">
        <w:lastRenderedPageBreak/>
        <w:t>inconsistent application (</w:t>
      </w:r>
      <w:proofErr w:type="spellStart"/>
      <w:r w:rsidRPr="0027707D">
        <w:rPr>
          <w:i/>
          <w:iCs/>
        </w:rPr>
        <w:t>PreussenElektra</w:t>
      </w:r>
      <w:proofErr w:type="spellEnd"/>
      <w:r w:rsidRPr="0027707D">
        <w:rPr>
          <w:i/>
          <w:iCs/>
        </w:rPr>
        <w:t xml:space="preserve"> AG v </w:t>
      </w:r>
      <w:proofErr w:type="spellStart"/>
      <w:r w:rsidRPr="0027707D">
        <w:rPr>
          <w:i/>
          <w:iCs/>
        </w:rPr>
        <w:t>Schleswag</w:t>
      </w:r>
      <w:proofErr w:type="spellEnd"/>
      <w:r w:rsidRPr="0027707D">
        <w:rPr>
          <w:i/>
          <w:iCs/>
        </w:rPr>
        <w:t xml:space="preserve"> AG</w:t>
      </w:r>
      <w:r w:rsidRPr="0027707D">
        <w:t xml:space="preserve">, Case C-379/98; </w:t>
      </w:r>
      <w:r w:rsidRPr="0027707D">
        <w:rPr>
          <w:i/>
          <w:iCs/>
        </w:rPr>
        <w:t>Cassis de Dijon</w:t>
      </w:r>
      <w:r w:rsidRPr="0027707D">
        <w:t>, Case 120/78; Handout, p. 24).</w:t>
      </w:r>
    </w:p>
    <w:p w14:paraId="3B458D3E" w14:textId="77777777" w:rsidR="0027707D" w:rsidRPr="0027707D" w:rsidRDefault="0027707D" w:rsidP="0027707D">
      <w:pPr>
        <w:spacing w:before="100" w:beforeAutospacing="1" w:after="100" w:afterAutospacing="1"/>
        <w:outlineLvl w:val="3"/>
        <w:rPr>
          <w:b/>
          <w:bCs/>
        </w:rPr>
      </w:pPr>
      <w:r w:rsidRPr="0027707D">
        <w:rPr>
          <w:b/>
          <w:bCs/>
        </w:rPr>
        <w:t>Product Requirement</w:t>
      </w:r>
    </w:p>
    <w:p w14:paraId="76485EEF" w14:textId="27067403" w:rsidR="0027707D" w:rsidRPr="0027707D" w:rsidRDefault="0027707D" w:rsidP="0027707D">
      <w:pPr>
        <w:spacing w:before="100" w:beforeAutospacing="1" w:after="100" w:afterAutospacing="1"/>
      </w:pPr>
      <w:r w:rsidRPr="0027707D">
        <w:rPr>
          <w:b/>
          <w:bCs/>
        </w:rPr>
        <w:t>Definition</w:t>
      </w:r>
      <w:r w:rsidRPr="0027707D">
        <w:t>: Product requirements regulate the physical characteristics or presentation of goods (e.g., composition, packaging), creating a dual burden for imports. For example, Belgium’s rule requiring cube-shaped margarine packaging (</w:t>
      </w:r>
      <w:r w:rsidRPr="0027707D">
        <w:rPr>
          <w:i/>
          <w:iCs/>
        </w:rPr>
        <w:t xml:space="preserve">Walter Rau </w:t>
      </w:r>
      <w:proofErr w:type="spellStart"/>
      <w:r w:rsidRPr="0027707D">
        <w:rPr>
          <w:i/>
          <w:iCs/>
        </w:rPr>
        <w:t>Lebensmittelwerke</w:t>
      </w:r>
      <w:proofErr w:type="spellEnd"/>
      <w:r w:rsidRPr="0027707D">
        <w:rPr>
          <w:i/>
          <w:iCs/>
        </w:rPr>
        <w:t xml:space="preserve"> v de </w:t>
      </w:r>
      <w:proofErr w:type="spellStart"/>
      <w:r w:rsidRPr="0027707D">
        <w:rPr>
          <w:i/>
          <w:iCs/>
        </w:rPr>
        <w:t>Smedt</w:t>
      </w:r>
      <w:proofErr w:type="spellEnd"/>
      <w:r w:rsidRPr="0027707D">
        <w:rPr>
          <w:i/>
          <w:iCs/>
        </w:rPr>
        <w:t xml:space="preserve"> </w:t>
      </w:r>
      <w:proofErr w:type="spellStart"/>
      <w:r w:rsidRPr="0027707D">
        <w:rPr>
          <w:i/>
          <w:iCs/>
        </w:rPr>
        <w:t>PvbA</w:t>
      </w:r>
      <w:proofErr w:type="spellEnd"/>
      <w:r w:rsidRPr="0027707D">
        <w:t>, Case 261/81).</w:t>
      </w:r>
    </w:p>
    <w:p w14:paraId="516EE7BE" w14:textId="77777777" w:rsidR="0027707D" w:rsidRPr="0027707D" w:rsidRDefault="0027707D" w:rsidP="0027707D">
      <w:pPr>
        <w:spacing w:before="100" w:beforeAutospacing="1" w:after="100" w:afterAutospacing="1"/>
      </w:pPr>
      <w:r w:rsidRPr="0027707D">
        <w:rPr>
          <w:b/>
          <w:bCs/>
        </w:rPr>
        <w:t>Strengths</w:t>
      </w:r>
      <w:r w:rsidRPr="0027707D">
        <w:t>:</w:t>
      </w:r>
    </w:p>
    <w:p w14:paraId="26BD33AD" w14:textId="77777777" w:rsidR="0027707D" w:rsidRPr="0027707D" w:rsidRDefault="0027707D" w:rsidP="0027707D">
      <w:pPr>
        <w:numPr>
          <w:ilvl w:val="0"/>
          <w:numId w:val="93"/>
        </w:numPr>
        <w:spacing w:before="100" w:beforeAutospacing="1" w:after="100" w:afterAutospacing="1"/>
      </w:pPr>
      <w:r w:rsidRPr="0027707D">
        <w:rPr>
          <w:b/>
          <w:bCs/>
        </w:rPr>
        <w:t>Automatic Breach</w:t>
      </w:r>
      <w:r w:rsidRPr="0027707D">
        <w:t>: Product requirements are presumed MEQRs under Article 34 TFEU due to their direct trade impact (</w:t>
      </w:r>
      <w:r w:rsidRPr="0027707D">
        <w:rPr>
          <w:i/>
          <w:iCs/>
        </w:rPr>
        <w:t>Handout</w:t>
      </w:r>
      <w:r w:rsidRPr="0027707D">
        <w:t xml:space="preserve">, p. 27; </w:t>
      </w:r>
      <w:r w:rsidRPr="0027707D">
        <w:rPr>
          <w:i/>
          <w:iCs/>
        </w:rPr>
        <w:t>Cassis de Dijon</w:t>
      </w:r>
      <w:r w:rsidRPr="0027707D">
        <w:t xml:space="preserve">, Case 120/78). In </w:t>
      </w:r>
      <w:r w:rsidRPr="0027707D">
        <w:rPr>
          <w:i/>
          <w:iCs/>
        </w:rPr>
        <w:t>Walter Rau</w:t>
      </w:r>
      <w:r w:rsidRPr="0027707D">
        <w:t>, the packaging rule was an MEQR, simplifying judicial analysis by bypassing extensive effect tests (</w:t>
      </w:r>
      <w:r w:rsidRPr="0027707D">
        <w:rPr>
          <w:i/>
          <w:iCs/>
        </w:rPr>
        <w:t xml:space="preserve">Walter Rau </w:t>
      </w:r>
      <w:proofErr w:type="spellStart"/>
      <w:r w:rsidRPr="0027707D">
        <w:rPr>
          <w:i/>
          <w:iCs/>
        </w:rPr>
        <w:t>Lebensmittelwerke</w:t>
      </w:r>
      <w:proofErr w:type="spellEnd"/>
      <w:r w:rsidRPr="0027707D">
        <w:rPr>
          <w:i/>
          <w:iCs/>
        </w:rPr>
        <w:t xml:space="preserve"> v de </w:t>
      </w:r>
      <w:proofErr w:type="spellStart"/>
      <w:r w:rsidRPr="0027707D">
        <w:rPr>
          <w:i/>
          <w:iCs/>
        </w:rPr>
        <w:t>Smedt</w:t>
      </w:r>
      <w:proofErr w:type="spellEnd"/>
      <w:r w:rsidRPr="0027707D">
        <w:rPr>
          <w:i/>
          <w:iCs/>
        </w:rPr>
        <w:t xml:space="preserve"> </w:t>
      </w:r>
      <w:proofErr w:type="spellStart"/>
      <w:r w:rsidRPr="0027707D">
        <w:rPr>
          <w:i/>
          <w:iCs/>
        </w:rPr>
        <w:t>PvbA</w:t>
      </w:r>
      <w:proofErr w:type="spellEnd"/>
      <w:r w:rsidRPr="0027707D">
        <w:t>, Case 261/81).</w:t>
      </w:r>
    </w:p>
    <w:p w14:paraId="43742A8C" w14:textId="77777777" w:rsidR="0027707D" w:rsidRPr="0027707D" w:rsidRDefault="0027707D" w:rsidP="0027707D">
      <w:pPr>
        <w:numPr>
          <w:ilvl w:val="0"/>
          <w:numId w:val="93"/>
        </w:numPr>
        <w:spacing w:before="100" w:beforeAutospacing="1" w:after="100" w:afterAutospacing="1"/>
      </w:pPr>
      <w:r w:rsidRPr="0027707D">
        <w:rPr>
          <w:b/>
          <w:bCs/>
        </w:rPr>
        <w:t>Mutual Recognition</w:t>
      </w:r>
      <w:r w:rsidRPr="0027707D">
        <w:t xml:space="preserve">: The concept reinforces </w:t>
      </w:r>
      <w:r w:rsidRPr="0027707D">
        <w:rPr>
          <w:i/>
          <w:iCs/>
        </w:rPr>
        <w:t>Cassis</w:t>
      </w:r>
      <w:r w:rsidRPr="0027707D">
        <w:t>’s principle that goods lawfully produced in one Member State should be accepted elsewhere (</w:t>
      </w:r>
      <w:r w:rsidRPr="0027707D">
        <w:rPr>
          <w:i/>
          <w:iCs/>
        </w:rPr>
        <w:t>EU Law Concentrate</w:t>
      </w:r>
      <w:r w:rsidRPr="0027707D">
        <w:t xml:space="preserve">, p. 109; </w:t>
      </w:r>
      <w:r w:rsidRPr="0027707D">
        <w:rPr>
          <w:i/>
          <w:iCs/>
        </w:rPr>
        <w:t xml:space="preserve">Criminal Proceedings against Karl </w:t>
      </w:r>
      <w:proofErr w:type="spellStart"/>
      <w:r w:rsidRPr="0027707D">
        <w:rPr>
          <w:i/>
          <w:iCs/>
        </w:rPr>
        <w:t>Prantl</w:t>
      </w:r>
      <w:proofErr w:type="spellEnd"/>
      <w:r w:rsidRPr="0027707D">
        <w:t xml:space="preserve">, Case 16/83). In </w:t>
      </w:r>
      <w:proofErr w:type="spellStart"/>
      <w:r w:rsidRPr="0027707D">
        <w:rPr>
          <w:i/>
          <w:iCs/>
        </w:rPr>
        <w:t>Prantl</w:t>
      </w:r>
      <w:proofErr w:type="spellEnd"/>
      <w:r w:rsidRPr="0027707D">
        <w:t>, Italy’s use of Bocksbeutel bottles was upheld, reducing trade barriers (</w:t>
      </w:r>
      <w:r w:rsidRPr="0027707D">
        <w:rPr>
          <w:i/>
          <w:iCs/>
        </w:rPr>
        <w:t xml:space="preserve">Criminal Proceedings against Karl </w:t>
      </w:r>
      <w:proofErr w:type="spellStart"/>
      <w:r w:rsidRPr="0027707D">
        <w:rPr>
          <w:i/>
          <w:iCs/>
        </w:rPr>
        <w:t>Prantl</w:t>
      </w:r>
      <w:proofErr w:type="spellEnd"/>
      <w:r w:rsidRPr="0027707D">
        <w:t>, Case 16/83).</w:t>
      </w:r>
    </w:p>
    <w:p w14:paraId="5A910743" w14:textId="77777777" w:rsidR="0027707D" w:rsidRPr="0027707D" w:rsidRDefault="0027707D" w:rsidP="0027707D">
      <w:pPr>
        <w:numPr>
          <w:ilvl w:val="0"/>
          <w:numId w:val="93"/>
        </w:numPr>
        <w:spacing w:before="100" w:beforeAutospacing="1" w:after="100" w:afterAutospacing="1"/>
      </w:pPr>
      <w:r w:rsidRPr="0027707D">
        <w:rPr>
          <w:b/>
          <w:bCs/>
        </w:rPr>
        <w:t>Market Access Protection</w:t>
      </w:r>
      <w:r w:rsidRPr="0027707D">
        <w:t>: By targeting rules hindering imports, it ensures effective market access (</w:t>
      </w:r>
      <w:proofErr w:type="spellStart"/>
      <w:r w:rsidRPr="0027707D">
        <w:rPr>
          <w:i/>
          <w:iCs/>
        </w:rPr>
        <w:t>Lianos</w:t>
      </w:r>
      <w:proofErr w:type="spellEnd"/>
      <w:r w:rsidRPr="0027707D">
        <w:rPr>
          <w:i/>
          <w:iCs/>
        </w:rPr>
        <w:t>, In Memoriam Keck</w:t>
      </w:r>
      <w:r w:rsidRPr="0027707D">
        <w:t xml:space="preserve">, p. 229). In </w:t>
      </w:r>
      <w:r w:rsidRPr="0027707D">
        <w:rPr>
          <w:i/>
          <w:iCs/>
        </w:rPr>
        <w:t>Commission v Germany (Beer Purity Laws)</w:t>
      </w:r>
      <w:r w:rsidRPr="0027707D">
        <w:t>, Case 178/84, Germany’s ingredient rule was an MEQR, facilitating trade (</w:t>
      </w:r>
      <w:r w:rsidRPr="0027707D">
        <w:rPr>
          <w:i/>
          <w:iCs/>
        </w:rPr>
        <w:t>Commission v Germany (Beer Purity Laws)</w:t>
      </w:r>
      <w:r w:rsidRPr="0027707D">
        <w:t>, Case 178/84).</w:t>
      </w:r>
    </w:p>
    <w:p w14:paraId="08D07D58" w14:textId="77777777" w:rsidR="0027707D" w:rsidRPr="0027707D" w:rsidRDefault="0027707D" w:rsidP="0027707D">
      <w:pPr>
        <w:spacing w:before="100" w:beforeAutospacing="1" w:after="100" w:afterAutospacing="1"/>
      </w:pPr>
      <w:r w:rsidRPr="0027707D">
        <w:rPr>
          <w:b/>
          <w:bCs/>
        </w:rPr>
        <w:t>Drawbacks</w:t>
      </w:r>
      <w:r w:rsidRPr="0027707D">
        <w:t>:</w:t>
      </w:r>
    </w:p>
    <w:p w14:paraId="416550F1" w14:textId="20737568" w:rsidR="0027707D" w:rsidRPr="0027707D" w:rsidRDefault="0027707D" w:rsidP="0027707D">
      <w:pPr>
        <w:numPr>
          <w:ilvl w:val="0"/>
          <w:numId w:val="94"/>
        </w:numPr>
        <w:spacing w:before="100" w:beforeAutospacing="1" w:after="100" w:afterAutospacing="1"/>
      </w:pPr>
      <w:r w:rsidRPr="0027707D">
        <w:rPr>
          <w:b/>
          <w:bCs/>
        </w:rPr>
        <w:t>Regulatory Restriction</w:t>
      </w:r>
      <w:r w:rsidRPr="0027707D">
        <w:t xml:space="preserve">: Product requirements limit Member States’ ability to set standards for health or consumer protection. In </w:t>
      </w:r>
      <w:r w:rsidRPr="0027707D">
        <w:rPr>
          <w:i/>
          <w:iCs/>
        </w:rPr>
        <w:t>Cassis de Dijon</w:t>
      </w:r>
      <w:r w:rsidRPr="0027707D">
        <w:t>, Germany’s alcohol content rule was disproportionate, restricting regulatory flexibility despite public health aims (</w:t>
      </w:r>
      <w:r w:rsidRPr="0027707D">
        <w:rPr>
          <w:i/>
          <w:iCs/>
        </w:rPr>
        <w:t>Cassis de Dijon</w:t>
      </w:r>
      <w:r w:rsidRPr="0027707D">
        <w:t>, Case 120/78).</w:t>
      </w:r>
    </w:p>
    <w:p w14:paraId="66DEFB53" w14:textId="77777777" w:rsidR="0027707D" w:rsidRPr="0027707D" w:rsidRDefault="0027707D" w:rsidP="0027707D">
      <w:pPr>
        <w:numPr>
          <w:ilvl w:val="0"/>
          <w:numId w:val="94"/>
        </w:numPr>
        <w:spacing w:before="100" w:beforeAutospacing="1" w:after="100" w:afterAutospacing="1"/>
      </w:pPr>
      <w:r w:rsidRPr="0027707D">
        <w:rPr>
          <w:b/>
          <w:bCs/>
        </w:rPr>
        <w:t>Litigation Burden</w:t>
      </w:r>
      <w:r w:rsidRPr="0027707D">
        <w:t>: The presumption that product requirements are MEQRs shifts the justification burden to Member States, increasing litigation (</w:t>
      </w:r>
      <w:proofErr w:type="spellStart"/>
      <w:r w:rsidRPr="0027707D">
        <w:rPr>
          <w:i/>
          <w:iCs/>
        </w:rPr>
        <w:t>Lianos</w:t>
      </w:r>
      <w:proofErr w:type="spellEnd"/>
      <w:r w:rsidRPr="0027707D">
        <w:rPr>
          <w:i/>
          <w:iCs/>
        </w:rPr>
        <w:t>, In Memoriam Keck</w:t>
      </w:r>
      <w:r w:rsidRPr="0027707D">
        <w:t xml:space="preserve">, p. 229). In </w:t>
      </w:r>
      <w:r w:rsidRPr="0027707D">
        <w:rPr>
          <w:i/>
          <w:iCs/>
        </w:rPr>
        <w:t xml:space="preserve">Verein </w:t>
      </w:r>
      <w:proofErr w:type="spellStart"/>
      <w:r w:rsidRPr="0027707D">
        <w:rPr>
          <w:i/>
          <w:iCs/>
        </w:rPr>
        <w:t>gegen</w:t>
      </w:r>
      <w:proofErr w:type="spellEnd"/>
      <w:r w:rsidRPr="0027707D">
        <w:rPr>
          <w:i/>
          <w:iCs/>
        </w:rPr>
        <w:t xml:space="preserve"> </w:t>
      </w:r>
      <w:proofErr w:type="spellStart"/>
      <w:r w:rsidRPr="0027707D">
        <w:rPr>
          <w:i/>
          <w:iCs/>
        </w:rPr>
        <w:t>Unwesen</w:t>
      </w:r>
      <w:proofErr w:type="spellEnd"/>
      <w:r w:rsidRPr="0027707D">
        <w:rPr>
          <w:i/>
          <w:iCs/>
        </w:rPr>
        <w:t xml:space="preserve"> in Handel und </w:t>
      </w:r>
      <w:proofErr w:type="spellStart"/>
      <w:r w:rsidRPr="0027707D">
        <w:rPr>
          <w:i/>
          <w:iCs/>
        </w:rPr>
        <w:t>Gewerbe</w:t>
      </w:r>
      <w:proofErr w:type="spellEnd"/>
      <w:r w:rsidRPr="0027707D">
        <w:rPr>
          <w:i/>
          <w:iCs/>
        </w:rPr>
        <w:t xml:space="preserve"> Köln eV v Mars GmbH</w:t>
      </w:r>
      <w:r w:rsidRPr="0027707D">
        <w:t>, Case C-470/93, packaging rules required justification, prolonging disputes (</w:t>
      </w:r>
      <w:r w:rsidRPr="0027707D">
        <w:rPr>
          <w:i/>
          <w:iCs/>
        </w:rPr>
        <w:t xml:space="preserve">Verein </w:t>
      </w:r>
      <w:proofErr w:type="spellStart"/>
      <w:r w:rsidRPr="0027707D">
        <w:rPr>
          <w:i/>
          <w:iCs/>
        </w:rPr>
        <w:t>gegen</w:t>
      </w:r>
      <w:proofErr w:type="spellEnd"/>
      <w:r w:rsidRPr="0027707D">
        <w:rPr>
          <w:i/>
          <w:iCs/>
        </w:rPr>
        <w:t xml:space="preserve"> </w:t>
      </w:r>
      <w:proofErr w:type="spellStart"/>
      <w:r w:rsidRPr="0027707D">
        <w:rPr>
          <w:i/>
          <w:iCs/>
        </w:rPr>
        <w:t>Unwesen</w:t>
      </w:r>
      <w:proofErr w:type="spellEnd"/>
      <w:r w:rsidRPr="0027707D">
        <w:rPr>
          <w:i/>
          <w:iCs/>
        </w:rPr>
        <w:t xml:space="preserve"> in Handel und </w:t>
      </w:r>
      <w:proofErr w:type="spellStart"/>
      <w:r w:rsidRPr="0027707D">
        <w:rPr>
          <w:i/>
          <w:iCs/>
        </w:rPr>
        <w:t>Gewerbe</w:t>
      </w:r>
      <w:proofErr w:type="spellEnd"/>
      <w:r w:rsidRPr="0027707D">
        <w:rPr>
          <w:i/>
          <w:iCs/>
        </w:rPr>
        <w:t xml:space="preserve"> Köln eV v Mars GmbH</w:t>
      </w:r>
      <w:r w:rsidRPr="0027707D">
        <w:t>, Case C-470/93).</w:t>
      </w:r>
    </w:p>
    <w:p w14:paraId="135C8DD3" w14:textId="77777777" w:rsidR="0027707D" w:rsidRPr="0027707D" w:rsidRDefault="0027707D" w:rsidP="0027707D">
      <w:pPr>
        <w:numPr>
          <w:ilvl w:val="0"/>
          <w:numId w:val="94"/>
        </w:numPr>
        <w:spacing w:before="100" w:beforeAutospacing="1" w:after="100" w:afterAutospacing="1"/>
      </w:pPr>
      <w:r w:rsidRPr="0027707D">
        <w:rPr>
          <w:b/>
          <w:bCs/>
        </w:rPr>
        <w:t>Classification Unpredictability</w:t>
      </w:r>
      <w:r w:rsidRPr="0027707D">
        <w:t>: Distinguishing product requirements from selling arrangements risks inconsistent rulings (</w:t>
      </w:r>
      <w:proofErr w:type="spellStart"/>
      <w:r w:rsidRPr="0027707D">
        <w:rPr>
          <w:i/>
          <w:iCs/>
        </w:rPr>
        <w:t>Lianos</w:t>
      </w:r>
      <w:proofErr w:type="spellEnd"/>
      <w:r w:rsidRPr="0027707D">
        <w:rPr>
          <w:i/>
          <w:iCs/>
        </w:rPr>
        <w:t>, In Memoriam Keck</w:t>
      </w:r>
      <w:r w:rsidRPr="0027707D">
        <w:t xml:space="preserve">, p. 230; Handout, p. 26). In </w:t>
      </w:r>
      <w:proofErr w:type="spellStart"/>
      <w:r w:rsidRPr="0027707D">
        <w:rPr>
          <w:i/>
          <w:iCs/>
        </w:rPr>
        <w:t>Vereinigte</w:t>
      </w:r>
      <w:proofErr w:type="spellEnd"/>
      <w:r w:rsidRPr="0027707D">
        <w:rPr>
          <w:i/>
          <w:iCs/>
        </w:rPr>
        <w:t xml:space="preserve"> </w:t>
      </w:r>
      <w:proofErr w:type="spellStart"/>
      <w:r w:rsidRPr="0027707D">
        <w:rPr>
          <w:i/>
          <w:iCs/>
        </w:rPr>
        <w:t>Familiapress</w:t>
      </w:r>
      <w:proofErr w:type="spellEnd"/>
      <w:r w:rsidRPr="0027707D">
        <w:rPr>
          <w:i/>
          <w:iCs/>
        </w:rPr>
        <w:t xml:space="preserve"> </w:t>
      </w:r>
      <w:proofErr w:type="spellStart"/>
      <w:r w:rsidRPr="0027707D">
        <w:rPr>
          <w:i/>
          <w:iCs/>
        </w:rPr>
        <w:t>Zeitungsverlags</w:t>
      </w:r>
      <w:proofErr w:type="spellEnd"/>
      <w:r w:rsidRPr="0027707D">
        <w:rPr>
          <w:i/>
          <w:iCs/>
        </w:rPr>
        <w:t xml:space="preserve">- und </w:t>
      </w:r>
      <w:proofErr w:type="spellStart"/>
      <w:r w:rsidRPr="0027707D">
        <w:rPr>
          <w:i/>
          <w:iCs/>
        </w:rPr>
        <w:t>Vertriebs</w:t>
      </w:r>
      <w:proofErr w:type="spellEnd"/>
      <w:r w:rsidRPr="0027707D">
        <w:rPr>
          <w:i/>
          <w:iCs/>
        </w:rPr>
        <w:t xml:space="preserve"> GmbH v Heinrich Bauer Verlag</w:t>
      </w:r>
      <w:r w:rsidRPr="0027707D">
        <w:t xml:space="preserve">, Case C-368/95, magazine prize contests were debated as product requirements, unlike advertising rules in </w:t>
      </w:r>
      <w:r w:rsidRPr="0027707D">
        <w:rPr>
          <w:i/>
          <w:iCs/>
        </w:rPr>
        <w:t>KO v De Agostini</w:t>
      </w:r>
      <w:r w:rsidRPr="0027707D">
        <w:t>, creating uncertainty (</w:t>
      </w:r>
      <w:proofErr w:type="spellStart"/>
      <w:r w:rsidRPr="0027707D">
        <w:rPr>
          <w:i/>
          <w:iCs/>
        </w:rPr>
        <w:t>Vereinigte</w:t>
      </w:r>
      <w:proofErr w:type="spellEnd"/>
      <w:r w:rsidRPr="0027707D">
        <w:rPr>
          <w:i/>
          <w:iCs/>
        </w:rPr>
        <w:t xml:space="preserve"> </w:t>
      </w:r>
      <w:proofErr w:type="spellStart"/>
      <w:r w:rsidRPr="0027707D">
        <w:rPr>
          <w:i/>
          <w:iCs/>
        </w:rPr>
        <w:t>Familiapress</w:t>
      </w:r>
      <w:proofErr w:type="spellEnd"/>
      <w:r w:rsidRPr="0027707D">
        <w:rPr>
          <w:i/>
          <w:iCs/>
        </w:rPr>
        <w:t xml:space="preserve"> </w:t>
      </w:r>
      <w:proofErr w:type="spellStart"/>
      <w:r w:rsidRPr="0027707D">
        <w:rPr>
          <w:i/>
          <w:iCs/>
        </w:rPr>
        <w:t>Zeitungsverlags</w:t>
      </w:r>
      <w:proofErr w:type="spellEnd"/>
      <w:r w:rsidRPr="0027707D">
        <w:rPr>
          <w:i/>
          <w:iCs/>
        </w:rPr>
        <w:t xml:space="preserve">- und </w:t>
      </w:r>
      <w:proofErr w:type="spellStart"/>
      <w:r w:rsidRPr="0027707D">
        <w:rPr>
          <w:i/>
          <w:iCs/>
        </w:rPr>
        <w:t>Vertriebs</w:t>
      </w:r>
      <w:proofErr w:type="spellEnd"/>
      <w:r w:rsidRPr="0027707D">
        <w:rPr>
          <w:i/>
          <w:iCs/>
        </w:rPr>
        <w:t xml:space="preserve"> GmbH v Heinrich Bauer Verlag</w:t>
      </w:r>
      <w:r w:rsidRPr="0027707D">
        <w:t xml:space="preserve">, Case C-368/95; </w:t>
      </w:r>
      <w:r w:rsidRPr="0027707D">
        <w:rPr>
          <w:i/>
          <w:iCs/>
        </w:rPr>
        <w:t>KO v De Agostini</w:t>
      </w:r>
      <w:r w:rsidRPr="0027707D">
        <w:t>, Cases C-34–36/95).</w:t>
      </w:r>
    </w:p>
    <w:p w14:paraId="60B995FE" w14:textId="77777777" w:rsidR="0027707D" w:rsidRPr="0027707D" w:rsidRDefault="0027707D" w:rsidP="0027707D">
      <w:pPr>
        <w:spacing w:before="100" w:beforeAutospacing="1" w:after="100" w:afterAutospacing="1"/>
        <w:outlineLvl w:val="3"/>
        <w:rPr>
          <w:b/>
          <w:bCs/>
        </w:rPr>
      </w:pPr>
      <w:r w:rsidRPr="0027707D">
        <w:rPr>
          <w:b/>
          <w:bCs/>
        </w:rPr>
        <w:t>Selling Arrangement</w:t>
      </w:r>
    </w:p>
    <w:p w14:paraId="4ABC0FE8" w14:textId="77777777" w:rsidR="0027707D" w:rsidRPr="0027707D" w:rsidRDefault="0027707D" w:rsidP="0027707D">
      <w:pPr>
        <w:spacing w:before="100" w:beforeAutospacing="1" w:after="100" w:afterAutospacing="1"/>
      </w:pPr>
      <w:r w:rsidRPr="0027707D">
        <w:rPr>
          <w:b/>
          <w:bCs/>
        </w:rPr>
        <w:lastRenderedPageBreak/>
        <w:t>Definition</w:t>
      </w:r>
      <w:r w:rsidRPr="0027707D">
        <w:t>: Selling arrangements govern how goods are marketed (e.g., shop hours, advertising restrictions), imposing an equal burden on domestic and imported goods (</w:t>
      </w:r>
      <w:r w:rsidRPr="0027707D">
        <w:rPr>
          <w:i/>
          <w:iCs/>
        </w:rPr>
        <w:t>EU Law Concentrate</w:t>
      </w:r>
      <w:r w:rsidRPr="0027707D">
        <w:t xml:space="preserve">, p. 113; </w:t>
      </w:r>
      <w:r w:rsidRPr="0027707D">
        <w:rPr>
          <w:i/>
          <w:iCs/>
        </w:rPr>
        <w:t xml:space="preserve">Keck and </w:t>
      </w:r>
      <w:proofErr w:type="spellStart"/>
      <w:r w:rsidRPr="0027707D">
        <w:rPr>
          <w:i/>
          <w:iCs/>
        </w:rPr>
        <w:t>Mithouard</w:t>
      </w:r>
      <w:proofErr w:type="spellEnd"/>
      <w:r w:rsidRPr="0027707D">
        <w:t>, Cases C-267 &amp; 268/91; Handout, p. 25).</w:t>
      </w:r>
    </w:p>
    <w:p w14:paraId="2BBB20EF" w14:textId="77777777" w:rsidR="0027707D" w:rsidRPr="0027707D" w:rsidRDefault="0027707D" w:rsidP="0027707D">
      <w:pPr>
        <w:spacing w:before="100" w:beforeAutospacing="1" w:after="100" w:afterAutospacing="1"/>
      </w:pPr>
      <w:r w:rsidRPr="0027707D">
        <w:rPr>
          <w:b/>
          <w:bCs/>
        </w:rPr>
        <w:t>Strengths</w:t>
      </w:r>
      <w:r w:rsidRPr="0027707D">
        <w:t>:</w:t>
      </w:r>
    </w:p>
    <w:p w14:paraId="44EB28A5" w14:textId="77777777" w:rsidR="0027707D" w:rsidRPr="0027707D" w:rsidRDefault="0027707D" w:rsidP="0027707D">
      <w:pPr>
        <w:numPr>
          <w:ilvl w:val="0"/>
          <w:numId w:val="95"/>
        </w:numPr>
        <w:spacing w:before="100" w:beforeAutospacing="1" w:after="100" w:afterAutospacing="1"/>
      </w:pPr>
      <w:r w:rsidRPr="0027707D">
        <w:rPr>
          <w:b/>
          <w:bCs/>
        </w:rPr>
        <w:t>Regulatory Autonomy</w:t>
      </w:r>
      <w:r w:rsidRPr="0027707D">
        <w:t xml:space="preserve">: </w:t>
      </w:r>
      <w:r w:rsidRPr="0027707D">
        <w:rPr>
          <w:i/>
          <w:iCs/>
        </w:rPr>
        <w:t>Keck</w:t>
      </w:r>
      <w:r w:rsidRPr="0027707D">
        <w:t xml:space="preserve"> excludes non-discriminatory selling arrangements from Article 34 TFEU, creating a regulatory safe zone (</w:t>
      </w:r>
      <w:r w:rsidRPr="0027707D">
        <w:rPr>
          <w:i/>
          <w:iCs/>
        </w:rPr>
        <w:t>EU Law Concentrate</w:t>
      </w:r>
      <w:r w:rsidRPr="0027707D">
        <w:t xml:space="preserve">, p. 114; </w:t>
      </w:r>
      <w:proofErr w:type="spellStart"/>
      <w:r w:rsidRPr="0027707D">
        <w:rPr>
          <w:i/>
          <w:iCs/>
        </w:rPr>
        <w:t>Lianos</w:t>
      </w:r>
      <w:proofErr w:type="spellEnd"/>
      <w:r w:rsidRPr="0027707D">
        <w:rPr>
          <w:i/>
          <w:iCs/>
        </w:rPr>
        <w:t>, In Memoriam Keck</w:t>
      </w:r>
      <w:r w:rsidRPr="0027707D">
        <w:t xml:space="preserve">, p. 227). In </w:t>
      </w:r>
      <w:proofErr w:type="spellStart"/>
      <w:r w:rsidRPr="0027707D">
        <w:rPr>
          <w:i/>
          <w:iCs/>
        </w:rPr>
        <w:t>Tankstation</w:t>
      </w:r>
      <w:proofErr w:type="spellEnd"/>
      <w:r w:rsidRPr="0027707D">
        <w:rPr>
          <w:i/>
          <w:iCs/>
        </w:rPr>
        <w:t xml:space="preserve"> ‘t </w:t>
      </w:r>
      <w:proofErr w:type="spellStart"/>
      <w:r w:rsidRPr="0027707D">
        <w:rPr>
          <w:i/>
          <w:iCs/>
        </w:rPr>
        <w:t>Heukske</w:t>
      </w:r>
      <w:proofErr w:type="spellEnd"/>
      <w:r w:rsidRPr="0027707D">
        <w:rPr>
          <w:i/>
          <w:iCs/>
        </w:rPr>
        <w:t xml:space="preserve"> </w:t>
      </w:r>
      <w:proofErr w:type="spellStart"/>
      <w:r w:rsidRPr="0027707D">
        <w:rPr>
          <w:i/>
          <w:iCs/>
        </w:rPr>
        <w:t>vof</w:t>
      </w:r>
      <w:proofErr w:type="spellEnd"/>
      <w:r w:rsidRPr="0027707D">
        <w:rPr>
          <w:i/>
          <w:iCs/>
        </w:rPr>
        <w:t xml:space="preserve"> and JBE Boermans</w:t>
      </w:r>
      <w:r w:rsidRPr="0027707D">
        <w:t>, Cases C-401 &amp; 402/92, shop hour restrictions were upheld, preserving Member State flexibility (</w:t>
      </w:r>
      <w:proofErr w:type="spellStart"/>
      <w:r w:rsidRPr="0027707D">
        <w:rPr>
          <w:i/>
          <w:iCs/>
        </w:rPr>
        <w:t>Tankstation</w:t>
      </w:r>
      <w:proofErr w:type="spellEnd"/>
      <w:r w:rsidRPr="0027707D">
        <w:rPr>
          <w:i/>
          <w:iCs/>
        </w:rPr>
        <w:t xml:space="preserve"> ‘t </w:t>
      </w:r>
      <w:proofErr w:type="spellStart"/>
      <w:r w:rsidRPr="0027707D">
        <w:rPr>
          <w:i/>
          <w:iCs/>
        </w:rPr>
        <w:t>Heukske</w:t>
      </w:r>
      <w:proofErr w:type="spellEnd"/>
      <w:r w:rsidRPr="0027707D">
        <w:rPr>
          <w:i/>
          <w:iCs/>
        </w:rPr>
        <w:t xml:space="preserve"> </w:t>
      </w:r>
      <w:proofErr w:type="spellStart"/>
      <w:r w:rsidRPr="0027707D">
        <w:rPr>
          <w:i/>
          <w:iCs/>
        </w:rPr>
        <w:t>vof</w:t>
      </w:r>
      <w:proofErr w:type="spellEnd"/>
      <w:r w:rsidRPr="0027707D">
        <w:rPr>
          <w:i/>
          <w:iCs/>
        </w:rPr>
        <w:t xml:space="preserve"> and JBE Boermans</w:t>
      </w:r>
      <w:r w:rsidRPr="0027707D">
        <w:t>, Cases C-401 &amp; 402/92).</w:t>
      </w:r>
    </w:p>
    <w:p w14:paraId="0C832826" w14:textId="77777777" w:rsidR="0027707D" w:rsidRPr="0027707D" w:rsidRDefault="0027707D" w:rsidP="0027707D">
      <w:pPr>
        <w:numPr>
          <w:ilvl w:val="0"/>
          <w:numId w:val="95"/>
        </w:numPr>
        <w:spacing w:before="100" w:beforeAutospacing="1" w:after="100" w:afterAutospacing="1"/>
      </w:pPr>
      <w:r w:rsidRPr="0027707D">
        <w:rPr>
          <w:b/>
          <w:bCs/>
        </w:rPr>
        <w:t>Reduced Litigation</w:t>
      </w:r>
      <w:r w:rsidRPr="0027707D">
        <w:t>: By limiting MEQR scope, it decreases challenges to neutral rules (</w:t>
      </w:r>
      <w:r w:rsidRPr="0027707D">
        <w:rPr>
          <w:i/>
          <w:iCs/>
        </w:rPr>
        <w:t>Handout</w:t>
      </w:r>
      <w:r w:rsidRPr="0027707D">
        <w:t xml:space="preserve">, p. 25). In </w:t>
      </w:r>
      <w:r w:rsidRPr="0027707D">
        <w:rPr>
          <w:i/>
          <w:iCs/>
        </w:rPr>
        <w:t>KO v De Agostini</w:t>
      </w:r>
      <w:r w:rsidRPr="0027707D">
        <w:t xml:space="preserve">, advertising restrictions were assessed under </w:t>
      </w:r>
      <w:r w:rsidRPr="0027707D">
        <w:rPr>
          <w:i/>
          <w:iCs/>
        </w:rPr>
        <w:t>Keck</w:t>
      </w:r>
      <w:r w:rsidRPr="0027707D">
        <w:t>, streamlining analysis if non-discriminatory (</w:t>
      </w:r>
      <w:r w:rsidRPr="0027707D">
        <w:rPr>
          <w:i/>
          <w:iCs/>
        </w:rPr>
        <w:t>KO v De Agostini</w:t>
      </w:r>
      <w:r w:rsidRPr="0027707D">
        <w:t>, Cases C-34–36/95).</w:t>
      </w:r>
    </w:p>
    <w:p w14:paraId="1EA7E3FE" w14:textId="77777777" w:rsidR="0027707D" w:rsidRPr="0027707D" w:rsidRDefault="0027707D" w:rsidP="0027707D">
      <w:pPr>
        <w:numPr>
          <w:ilvl w:val="0"/>
          <w:numId w:val="95"/>
        </w:numPr>
        <w:spacing w:before="100" w:beforeAutospacing="1" w:after="100" w:afterAutospacing="1"/>
      </w:pPr>
      <w:r w:rsidRPr="0027707D">
        <w:rPr>
          <w:b/>
          <w:bCs/>
        </w:rPr>
        <w:t>Discrimination Focus</w:t>
      </w:r>
      <w:r w:rsidRPr="0027707D">
        <w:t xml:space="preserve">: The </w:t>
      </w:r>
      <w:r w:rsidRPr="0027707D">
        <w:rPr>
          <w:i/>
          <w:iCs/>
        </w:rPr>
        <w:t>Keck</w:t>
      </w:r>
      <w:r w:rsidRPr="0027707D">
        <w:t xml:space="preserve"> provisos target protectionist arrangements, ensuring only discriminatory measures are MEQRs (</w:t>
      </w:r>
      <w:r w:rsidRPr="0027707D">
        <w:rPr>
          <w:i/>
          <w:iCs/>
        </w:rPr>
        <w:t>EU Law Concentrate</w:t>
      </w:r>
      <w:r w:rsidRPr="0027707D">
        <w:t xml:space="preserve">, p. 114; </w:t>
      </w:r>
      <w:proofErr w:type="spellStart"/>
      <w:r w:rsidRPr="0027707D">
        <w:rPr>
          <w:i/>
          <w:iCs/>
        </w:rPr>
        <w:t>Schutzverband</w:t>
      </w:r>
      <w:proofErr w:type="spellEnd"/>
      <w:r w:rsidRPr="0027707D">
        <w:rPr>
          <w:i/>
          <w:iCs/>
        </w:rPr>
        <w:t xml:space="preserve"> </w:t>
      </w:r>
      <w:proofErr w:type="spellStart"/>
      <w:r w:rsidRPr="0027707D">
        <w:rPr>
          <w:i/>
          <w:iCs/>
        </w:rPr>
        <w:t>gegen</w:t>
      </w:r>
      <w:proofErr w:type="spellEnd"/>
      <w:r w:rsidRPr="0027707D">
        <w:rPr>
          <w:i/>
          <w:iCs/>
        </w:rPr>
        <w:t xml:space="preserve"> </w:t>
      </w:r>
      <w:proofErr w:type="spellStart"/>
      <w:r w:rsidRPr="0027707D">
        <w:rPr>
          <w:i/>
          <w:iCs/>
        </w:rPr>
        <w:t>unlauteren</w:t>
      </w:r>
      <w:proofErr w:type="spellEnd"/>
      <w:r w:rsidRPr="0027707D">
        <w:rPr>
          <w:i/>
          <w:iCs/>
        </w:rPr>
        <w:t xml:space="preserve"> </w:t>
      </w:r>
      <w:proofErr w:type="spellStart"/>
      <w:r w:rsidRPr="0027707D">
        <w:rPr>
          <w:i/>
          <w:iCs/>
        </w:rPr>
        <w:t>Wettbewerb</w:t>
      </w:r>
      <w:proofErr w:type="spellEnd"/>
      <w:r w:rsidRPr="0027707D">
        <w:rPr>
          <w:i/>
          <w:iCs/>
        </w:rPr>
        <w:t xml:space="preserve"> v TK-</w:t>
      </w:r>
      <w:proofErr w:type="spellStart"/>
      <w:r w:rsidRPr="0027707D">
        <w:rPr>
          <w:i/>
          <w:iCs/>
        </w:rPr>
        <w:t>Heimdienst</w:t>
      </w:r>
      <w:proofErr w:type="spellEnd"/>
      <w:r w:rsidRPr="0027707D">
        <w:rPr>
          <w:i/>
          <w:iCs/>
        </w:rPr>
        <w:t xml:space="preserve"> Sass GmbH</w:t>
      </w:r>
      <w:r w:rsidRPr="0027707D">
        <w:t xml:space="preserve">, Case-254/98). In </w:t>
      </w:r>
      <w:proofErr w:type="spellStart"/>
      <w:r w:rsidRPr="0027707D">
        <w:rPr>
          <w:i/>
          <w:iCs/>
        </w:rPr>
        <w:t>Schutzverband</w:t>
      </w:r>
      <w:proofErr w:type="spellEnd"/>
      <w:r w:rsidRPr="0027707D">
        <w:t>, door-to-door sales rules were MEQRs due to import barriers, maintaining market fairness.</w:t>
      </w:r>
    </w:p>
    <w:p w14:paraId="29E244DE" w14:textId="77777777" w:rsidR="0027707D" w:rsidRPr="0027707D" w:rsidRDefault="0027707D" w:rsidP="0027707D">
      <w:pPr>
        <w:spacing w:before="100" w:beforeAutospacing="1" w:after="100" w:afterAutospacing="1"/>
      </w:pPr>
      <w:r w:rsidRPr="0027707D">
        <w:rPr>
          <w:b/>
          <w:bCs/>
        </w:rPr>
        <w:t>Drawbacks</w:t>
      </w:r>
      <w:r w:rsidRPr="0027707D">
        <w:t>:</w:t>
      </w:r>
    </w:p>
    <w:p w14:paraId="6878B7F6" w14:textId="77777777" w:rsidR="0027707D" w:rsidRPr="0027707D" w:rsidRDefault="0027707D" w:rsidP="0027707D">
      <w:pPr>
        <w:numPr>
          <w:ilvl w:val="0"/>
          <w:numId w:val="96"/>
        </w:numPr>
        <w:spacing w:before="100" w:beforeAutospacing="1" w:after="100" w:afterAutospacing="1"/>
      </w:pPr>
      <w:r w:rsidRPr="0027707D">
        <w:rPr>
          <w:b/>
          <w:bCs/>
        </w:rPr>
        <w:t>Classification Ambiguity</w:t>
      </w:r>
      <w:r w:rsidRPr="0027707D">
        <w:t>: Differentiating selling arrangements from product requirements is unclear, risking inconsistent rulings (</w:t>
      </w:r>
      <w:proofErr w:type="spellStart"/>
      <w:r w:rsidRPr="0027707D">
        <w:rPr>
          <w:i/>
          <w:iCs/>
        </w:rPr>
        <w:t>Lianos</w:t>
      </w:r>
      <w:proofErr w:type="spellEnd"/>
      <w:r w:rsidRPr="0027707D">
        <w:rPr>
          <w:i/>
          <w:iCs/>
        </w:rPr>
        <w:t>, In Memoriam Keck</w:t>
      </w:r>
      <w:r w:rsidRPr="0027707D">
        <w:t xml:space="preserve">, p. 230; Handout, p. 26). In </w:t>
      </w:r>
      <w:proofErr w:type="spellStart"/>
      <w:r w:rsidRPr="0027707D">
        <w:rPr>
          <w:i/>
          <w:iCs/>
        </w:rPr>
        <w:t>Vereinigte</w:t>
      </w:r>
      <w:proofErr w:type="spellEnd"/>
      <w:r w:rsidRPr="0027707D">
        <w:rPr>
          <w:i/>
          <w:iCs/>
        </w:rPr>
        <w:t xml:space="preserve"> </w:t>
      </w:r>
      <w:proofErr w:type="spellStart"/>
      <w:r w:rsidRPr="0027707D">
        <w:rPr>
          <w:i/>
          <w:iCs/>
        </w:rPr>
        <w:t>Familiapress</w:t>
      </w:r>
      <w:proofErr w:type="spellEnd"/>
      <w:r w:rsidRPr="0027707D">
        <w:t xml:space="preserve">, prize contest rules were treated as product requirements, unlike </w:t>
      </w:r>
      <w:r w:rsidRPr="0027707D">
        <w:rPr>
          <w:i/>
          <w:iCs/>
        </w:rPr>
        <w:t>KO v De Agostini</w:t>
      </w:r>
      <w:r w:rsidRPr="0027707D">
        <w:t>’s advertising rules, leading to unpredictable outcomes (</w:t>
      </w:r>
      <w:proofErr w:type="spellStart"/>
      <w:r w:rsidRPr="0027707D">
        <w:rPr>
          <w:i/>
          <w:iCs/>
        </w:rPr>
        <w:t>Vereinigte</w:t>
      </w:r>
      <w:proofErr w:type="spellEnd"/>
      <w:r w:rsidRPr="0027707D">
        <w:rPr>
          <w:i/>
          <w:iCs/>
        </w:rPr>
        <w:t xml:space="preserve"> </w:t>
      </w:r>
      <w:proofErr w:type="spellStart"/>
      <w:r w:rsidRPr="0027707D">
        <w:rPr>
          <w:i/>
          <w:iCs/>
        </w:rPr>
        <w:t>Familiapress</w:t>
      </w:r>
      <w:proofErr w:type="spellEnd"/>
      <w:r w:rsidRPr="0027707D">
        <w:rPr>
          <w:i/>
          <w:iCs/>
        </w:rPr>
        <w:t xml:space="preserve"> </w:t>
      </w:r>
      <w:proofErr w:type="spellStart"/>
      <w:r w:rsidRPr="0027707D">
        <w:rPr>
          <w:i/>
          <w:iCs/>
        </w:rPr>
        <w:t>Zeitungsverlags</w:t>
      </w:r>
      <w:proofErr w:type="spellEnd"/>
      <w:r w:rsidRPr="0027707D">
        <w:rPr>
          <w:i/>
          <w:iCs/>
        </w:rPr>
        <w:t xml:space="preserve">- und </w:t>
      </w:r>
      <w:proofErr w:type="spellStart"/>
      <w:r w:rsidRPr="0027707D">
        <w:rPr>
          <w:i/>
          <w:iCs/>
        </w:rPr>
        <w:t>Vertriebs</w:t>
      </w:r>
      <w:proofErr w:type="spellEnd"/>
      <w:r w:rsidRPr="0027707D">
        <w:rPr>
          <w:i/>
          <w:iCs/>
        </w:rPr>
        <w:t xml:space="preserve"> GmbH v Heinrich Bauer Verlag</w:t>
      </w:r>
      <w:r w:rsidRPr="0027707D">
        <w:t xml:space="preserve">, Case C-368/95; </w:t>
      </w:r>
      <w:r w:rsidRPr="0027707D">
        <w:rPr>
          <w:i/>
          <w:iCs/>
        </w:rPr>
        <w:t>KO v De Agostini</w:t>
      </w:r>
      <w:r w:rsidRPr="0027707D">
        <w:t>, Cases C-34–36/95).</w:t>
      </w:r>
    </w:p>
    <w:p w14:paraId="7A3644DC" w14:textId="77777777" w:rsidR="0027707D" w:rsidRPr="0027707D" w:rsidRDefault="0027707D" w:rsidP="0027707D">
      <w:pPr>
        <w:numPr>
          <w:ilvl w:val="0"/>
          <w:numId w:val="96"/>
        </w:numPr>
        <w:spacing w:before="100" w:beforeAutospacing="1" w:after="100" w:afterAutospacing="1"/>
      </w:pPr>
      <w:r w:rsidRPr="0027707D">
        <w:rPr>
          <w:b/>
          <w:bCs/>
        </w:rPr>
        <w:t>Strict Non-Discrimination</w:t>
      </w:r>
      <w:r w:rsidRPr="0027707D">
        <w:t xml:space="preserve">: The </w:t>
      </w:r>
      <w:r w:rsidRPr="0027707D">
        <w:rPr>
          <w:i/>
          <w:iCs/>
        </w:rPr>
        <w:t>Keck</w:t>
      </w:r>
      <w:r w:rsidRPr="0027707D">
        <w:t xml:space="preserve"> proviso requiring equal impact is stringently applied, undermining the safe zone (</w:t>
      </w:r>
      <w:r w:rsidRPr="0027707D">
        <w:rPr>
          <w:i/>
          <w:iCs/>
        </w:rPr>
        <w:t>EU Law Concentrate</w:t>
      </w:r>
      <w:r w:rsidRPr="0027707D">
        <w:t xml:space="preserve">, p. 115; Handout, p. 26). In </w:t>
      </w:r>
      <w:r w:rsidRPr="0027707D">
        <w:rPr>
          <w:i/>
          <w:iCs/>
        </w:rPr>
        <w:t xml:space="preserve">Deutsche </w:t>
      </w:r>
      <w:proofErr w:type="spellStart"/>
      <w:r w:rsidRPr="0027707D">
        <w:rPr>
          <w:i/>
          <w:iCs/>
        </w:rPr>
        <w:t>Apothekerverband</w:t>
      </w:r>
      <w:proofErr w:type="spellEnd"/>
      <w:r w:rsidRPr="0027707D">
        <w:rPr>
          <w:i/>
          <w:iCs/>
        </w:rPr>
        <w:t xml:space="preserve"> v 0800 </w:t>
      </w:r>
      <w:proofErr w:type="spellStart"/>
      <w:r w:rsidRPr="0027707D">
        <w:rPr>
          <w:i/>
          <w:iCs/>
        </w:rPr>
        <w:t>DocMorris</w:t>
      </w:r>
      <w:proofErr w:type="spellEnd"/>
      <w:r w:rsidRPr="0027707D">
        <w:rPr>
          <w:i/>
          <w:iCs/>
        </w:rPr>
        <w:t xml:space="preserve"> NV</w:t>
      </w:r>
      <w:r w:rsidRPr="0027707D">
        <w:t xml:space="preserve">, Case C-322/01, a mail-order medicine ban was an MEQR due to import impact, unlike </w:t>
      </w:r>
      <w:proofErr w:type="spellStart"/>
      <w:r w:rsidRPr="0027707D">
        <w:rPr>
          <w:i/>
          <w:iCs/>
        </w:rPr>
        <w:t>Tankstation</w:t>
      </w:r>
      <w:proofErr w:type="spellEnd"/>
      <w:r w:rsidRPr="0027707D">
        <w:t xml:space="preserve">, reducing </w:t>
      </w:r>
      <w:r w:rsidRPr="0027707D">
        <w:rPr>
          <w:i/>
          <w:iCs/>
        </w:rPr>
        <w:t>Keck</w:t>
      </w:r>
      <w:r w:rsidRPr="0027707D">
        <w:t>’s effectiveness (</w:t>
      </w:r>
      <w:r w:rsidRPr="0027707D">
        <w:rPr>
          <w:i/>
          <w:iCs/>
        </w:rPr>
        <w:t xml:space="preserve">Deutsche </w:t>
      </w:r>
      <w:proofErr w:type="spellStart"/>
      <w:r w:rsidRPr="0027707D">
        <w:rPr>
          <w:i/>
          <w:iCs/>
        </w:rPr>
        <w:t>Apothekerverband</w:t>
      </w:r>
      <w:proofErr w:type="spellEnd"/>
      <w:r w:rsidRPr="0027707D">
        <w:rPr>
          <w:i/>
          <w:iCs/>
        </w:rPr>
        <w:t xml:space="preserve"> v 0800 </w:t>
      </w:r>
      <w:proofErr w:type="spellStart"/>
      <w:r w:rsidRPr="0027707D">
        <w:rPr>
          <w:i/>
          <w:iCs/>
        </w:rPr>
        <w:t>DocMorris</w:t>
      </w:r>
      <w:proofErr w:type="spellEnd"/>
      <w:r w:rsidRPr="0027707D">
        <w:rPr>
          <w:i/>
          <w:iCs/>
        </w:rPr>
        <w:t xml:space="preserve"> NV</w:t>
      </w:r>
      <w:r w:rsidRPr="0027707D">
        <w:t xml:space="preserve">, Case C-322/01; </w:t>
      </w:r>
      <w:proofErr w:type="spellStart"/>
      <w:r w:rsidRPr="0027707D">
        <w:rPr>
          <w:i/>
          <w:iCs/>
        </w:rPr>
        <w:t>Tankstation</w:t>
      </w:r>
      <w:proofErr w:type="spellEnd"/>
      <w:r w:rsidRPr="0027707D">
        <w:rPr>
          <w:i/>
          <w:iCs/>
        </w:rPr>
        <w:t xml:space="preserve"> ‘t </w:t>
      </w:r>
      <w:proofErr w:type="spellStart"/>
      <w:r w:rsidRPr="0027707D">
        <w:rPr>
          <w:i/>
          <w:iCs/>
        </w:rPr>
        <w:t>Heukske</w:t>
      </w:r>
      <w:proofErr w:type="spellEnd"/>
      <w:r w:rsidRPr="0027707D">
        <w:rPr>
          <w:i/>
          <w:iCs/>
        </w:rPr>
        <w:t xml:space="preserve"> </w:t>
      </w:r>
      <w:proofErr w:type="spellStart"/>
      <w:r w:rsidRPr="0027707D">
        <w:rPr>
          <w:i/>
          <w:iCs/>
        </w:rPr>
        <w:t>vof</w:t>
      </w:r>
      <w:proofErr w:type="spellEnd"/>
      <w:r w:rsidRPr="0027707D">
        <w:rPr>
          <w:i/>
          <w:iCs/>
        </w:rPr>
        <w:t xml:space="preserve"> and JBE Boermans</w:t>
      </w:r>
      <w:r w:rsidRPr="0027707D">
        <w:t>, Cases C-401 &amp; 402/92).</w:t>
      </w:r>
    </w:p>
    <w:p w14:paraId="0EFCACBA" w14:textId="77777777" w:rsidR="0027707D" w:rsidRPr="0027707D" w:rsidRDefault="0027707D" w:rsidP="0027707D">
      <w:pPr>
        <w:numPr>
          <w:ilvl w:val="0"/>
          <w:numId w:val="96"/>
        </w:numPr>
        <w:spacing w:before="100" w:beforeAutospacing="1" w:after="100" w:afterAutospacing="1"/>
      </w:pPr>
      <w:r w:rsidRPr="0027707D">
        <w:rPr>
          <w:b/>
          <w:bCs/>
        </w:rPr>
        <w:t>Erosion by Market Access</w:t>
      </w:r>
      <w:r w:rsidRPr="0027707D">
        <w:t xml:space="preserve">: The CJEU’s shift to market access scrutiny diminishes </w:t>
      </w:r>
      <w:r w:rsidRPr="0027707D">
        <w:rPr>
          <w:i/>
          <w:iCs/>
        </w:rPr>
        <w:t>Keck</w:t>
      </w:r>
      <w:r w:rsidRPr="0027707D">
        <w:t>’s relevance (</w:t>
      </w:r>
      <w:proofErr w:type="spellStart"/>
      <w:r w:rsidRPr="0027707D">
        <w:rPr>
          <w:i/>
          <w:iCs/>
        </w:rPr>
        <w:t>Lianos</w:t>
      </w:r>
      <w:proofErr w:type="spellEnd"/>
      <w:r w:rsidRPr="0027707D">
        <w:rPr>
          <w:i/>
          <w:iCs/>
        </w:rPr>
        <w:t>, In Memoriam Keck</w:t>
      </w:r>
      <w:r w:rsidRPr="0027707D">
        <w:t xml:space="preserve">, pp. 235–236). In </w:t>
      </w:r>
      <w:r w:rsidRPr="0027707D">
        <w:rPr>
          <w:i/>
          <w:iCs/>
        </w:rPr>
        <w:t xml:space="preserve">Deutsche Parkinson </w:t>
      </w:r>
      <w:proofErr w:type="spellStart"/>
      <w:r w:rsidRPr="0027707D">
        <w:rPr>
          <w:i/>
          <w:iCs/>
        </w:rPr>
        <w:t>Vereinigung</w:t>
      </w:r>
      <w:proofErr w:type="spellEnd"/>
      <w:r w:rsidRPr="0027707D">
        <w:rPr>
          <w:i/>
          <w:iCs/>
        </w:rPr>
        <w:t xml:space="preserve"> v </w:t>
      </w:r>
      <w:proofErr w:type="spellStart"/>
      <w:r w:rsidRPr="0027707D">
        <w:rPr>
          <w:i/>
          <w:iCs/>
        </w:rPr>
        <w:t>Zentrale</w:t>
      </w:r>
      <w:proofErr w:type="spellEnd"/>
      <w:r w:rsidRPr="0027707D">
        <w:rPr>
          <w:i/>
          <w:iCs/>
        </w:rPr>
        <w:t xml:space="preserve"> </w:t>
      </w:r>
      <w:proofErr w:type="spellStart"/>
      <w:r w:rsidRPr="0027707D">
        <w:rPr>
          <w:i/>
          <w:iCs/>
        </w:rPr>
        <w:t>zur</w:t>
      </w:r>
      <w:proofErr w:type="spellEnd"/>
      <w:r w:rsidRPr="0027707D">
        <w:rPr>
          <w:i/>
          <w:iCs/>
        </w:rPr>
        <w:t xml:space="preserve"> </w:t>
      </w:r>
      <w:proofErr w:type="spellStart"/>
      <w:r w:rsidRPr="0027707D">
        <w:rPr>
          <w:i/>
          <w:iCs/>
        </w:rPr>
        <w:t>Bekämpfung</w:t>
      </w:r>
      <w:proofErr w:type="spellEnd"/>
      <w:r w:rsidRPr="0027707D">
        <w:rPr>
          <w:i/>
          <w:iCs/>
        </w:rPr>
        <w:t xml:space="preserve"> </w:t>
      </w:r>
      <w:proofErr w:type="spellStart"/>
      <w:r w:rsidRPr="0027707D">
        <w:rPr>
          <w:i/>
          <w:iCs/>
        </w:rPr>
        <w:t>unlauteren</w:t>
      </w:r>
      <w:proofErr w:type="spellEnd"/>
      <w:r w:rsidRPr="0027707D">
        <w:rPr>
          <w:i/>
          <w:iCs/>
        </w:rPr>
        <w:t xml:space="preserve"> </w:t>
      </w:r>
      <w:proofErr w:type="spellStart"/>
      <w:r w:rsidRPr="0027707D">
        <w:rPr>
          <w:i/>
          <w:iCs/>
        </w:rPr>
        <w:t>Wettbewerbs</w:t>
      </w:r>
      <w:proofErr w:type="spellEnd"/>
      <w:r w:rsidRPr="0027707D">
        <w:rPr>
          <w:i/>
          <w:iCs/>
        </w:rPr>
        <w:t xml:space="preserve"> eV</w:t>
      </w:r>
      <w:r w:rsidRPr="0027707D">
        <w:t xml:space="preserve">, Case C-148/15, fixed pricing was an MEQR due to market access hindrance, bypassing </w:t>
      </w:r>
      <w:r w:rsidRPr="0027707D">
        <w:rPr>
          <w:i/>
          <w:iCs/>
        </w:rPr>
        <w:t>Keck</w:t>
      </w:r>
      <w:r w:rsidRPr="0027707D">
        <w:t>’s safe zone (</w:t>
      </w:r>
      <w:r w:rsidRPr="0027707D">
        <w:rPr>
          <w:i/>
          <w:iCs/>
        </w:rPr>
        <w:t xml:space="preserve">Deutsche Parkinson </w:t>
      </w:r>
      <w:proofErr w:type="spellStart"/>
      <w:r w:rsidRPr="0027707D">
        <w:rPr>
          <w:i/>
          <w:iCs/>
        </w:rPr>
        <w:t>Vereinigung</w:t>
      </w:r>
      <w:proofErr w:type="spellEnd"/>
      <w:r w:rsidRPr="0027707D">
        <w:rPr>
          <w:i/>
          <w:iCs/>
        </w:rPr>
        <w:t xml:space="preserve"> v </w:t>
      </w:r>
      <w:proofErr w:type="spellStart"/>
      <w:r w:rsidRPr="0027707D">
        <w:rPr>
          <w:i/>
          <w:iCs/>
        </w:rPr>
        <w:t>Zentrale</w:t>
      </w:r>
      <w:proofErr w:type="spellEnd"/>
      <w:r w:rsidRPr="0027707D">
        <w:rPr>
          <w:i/>
          <w:iCs/>
        </w:rPr>
        <w:t xml:space="preserve"> </w:t>
      </w:r>
      <w:proofErr w:type="spellStart"/>
      <w:r w:rsidRPr="0027707D">
        <w:rPr>
          <w:i/>
          <w:iCs/>
        </w:rPr>
        <w:t>zur</w:t>
      </w:r>
      <w:proofErr w:type="spellEnd"/>
      <w:r w:rsidRPr="0027707D">
        <w:rPr>
          <w:i/>
          <w:iCs/>
        </w:rPr>
        <w:t xml:space="preserve"> </w:t>
      </w:r>
      <w:proofErr w:type="spellStart"/>
      <w:r w:rsidRPr="0027707D">
        <w:rPr>
          <w:i/>
          <w:iCs/>
        </w:rPr>
        <w:t>Bekämpfung</w:t>
      </w:r>
      <w:proofErr w:type="spellEnd"/>
      <w:r w:rsidRPr="0027707D">
        <w:rPr>
          <w:i/>
          <w:iCs/>
        </w:rPr>
        <w:t xml:space="preserve"> </w:t>
      </w:r>
      <w:proofErr w:type="spellStart"/>
      <w:r w:rsidRPr="0027707D">
        <w:rPr>
          <w:i/>
          <w:iCs/>
        </w:rPr>
        <w:t>unlauteren</w:t>
      </w:r>
      <w:proofErr w:type="spellEnd"/>
      <w:r w:rsidRPr="0027707D">
        <w:rPr>
          <w:i/>
          <w:iCs/>
        </w:rPr>
        <w:t xml:space="preserve"> </w:t>
      </w:r>
      <w:proofErr w:type="spellStart"/>
      <w:r w:rsidRPr="0027707D">
        <w:rPr>
          <w:i/>
          <w:iCs/>
        </w:rPr>
        <w:t>Wettbewerbs</w:t>
      </w:r>
      <w:proofErr w:type="spellEnd"/>
      <w:r w:rsidRPr="0027707D">
        <w:rPr>
          <w:i/>
          <w:iCs/>
        </w:rPr>
        <w:t xml:space="preserve"> eV</w:t>
      </w:r>
      <w:r w:rsidRPr="0027707D">
        <w:t>, Case C-148/15).</w:t>
      </w:r>
    </w:p>
    <w:p w14:paraId="0E7B1857" w14:textId="77777777" w:rsidR="0027707D" w:rsidRPr="0027707D" w:rsidRDefault="0027707D" w:rsidP="0027707D">
      <w:pPr>
        <w:spacing w:before="100" w:beforeAutospacing="1" w:after="100" w:afterAutospacing="1"/>
        <w:outlineLvl w:val="3"/>
        <w:rPr>
          <w:b/>
          <w:bCs/>
        </w:rPr>
      </w:pPr>
      <w:r w:rsidRPr="0027707D">
        <w:rPr>
          <w:b/>
          <w:bCs/>
        </w:rPr>
        <w:t>Market Access</w:t>
      </w:r>
    </w:p>
    <w:p w14:paraId="236180FF" w14:textId="77777777" w:rsidR="0027707D" w:rsidRPr="0027707D" w:rsidRDefault="0027707D" w:rsidP="0027707D">
      <w:pPr>
        <w:spacing w:before="100" w:beforeAutospacing="1" w:after="100" w:afterAutospacing="1"/>
      </w:pPr>
      <w:r w:rsidRPr="0027707D">
        <w:rPr>
          <w:b/>
          <w:bCs/>
        </w:rPr>
        <w:t>Definition</w:t>
      </w:r>
      <w:r w:rsidRPr="0027707D">
        <w:t>: Market access assesses whether a measure hinders goods’ entry into a Member State’s market, regardless of discrimination (</w:t>
      </w:r>
      <w:proofErr w:type="spellStart"/>
      <w:r w:rsidRPr="0027707D">
        <w:rPr>
          <w:i/>
          <w:iCs/>
        </w:rPr>
        <w:t>Lianos</w:t>
      </w:r>
      <w:proofErr w:type="spellEnd"/>
      <w:r w:rsidRPr="0027707D">
        <w:rPr>
          <w:i/>
          <w:iCs/>
        </w:rPr>
        <w:t>, In Memoriam Keck</w:t>
      </w:r>
      <w:r w:rsidRPr="0027707D">
        <w:t xml:space="preserve">, p. 231; Handout, p. 27; </w:t>
      </w:r>
      <w:r w:rsidRPr="0027707D">
        <w:rPr>
          <w:i/>
          <w:iCs/>
        </w:rPr>
        <w:t>Commission v Italy (Trailers)</w:t>
      </w:r>
      <w:r w:rsidRPr="0027707D">
        <w:t>, Case C-110/05).</w:t>
      </w:r>
    </w:p>
    <w:p w14:paraId="6E9E83BC" w14:textId="77777777" w:rsidR="0027707D" w:rsidRPr="0027707D" w:rsidRDefault="0027707D" w:rsidP="0027707D">
      <w:pPr>
        <w:spacing w:before="100" w:beforeAutospacing="1" w:after="100" w:afterAutospacing="1"/>
      </w:pPr>
      <w:r w:rsidRPr="0027707D">
        <w:rPr>
          <w:b/>
          <w:bCs/>
        </w:rPr>
        <w:lastRenderedPageBreak/>
        <w:t>Strengths</w:t>
      </w:r>
      <w:r w:rsidRPr="0027707D">
        <w:t>:</w:t>
      </w:r>
    </w:p>
    <w:p w14:paraId="5230BFFA" w14:textId="77777777" w:rsidR="0027707D" w:rsidRPr="0027707D" w:rsidRDefault="0027707D" w:rsidP="0027707D">
      <w:pPr>
        <w:numPr>
          <w:ilvl w:val="0"/>
          <w:numId w:val="97"/>
        </w:numPr>
        <w:spacing w:before="100" w:beforeAutospacing="1" w:after="100" w:afterAutospacing="1"/>
      </w:pPr>
      <w:r w:rsidRPr="0027707D">
        <w:rPr>
          <w:b/>
          <w:bCs/>
        </w:rPr>
        <w:t>Comprehensive Barrier Detection</w:t>
      </w:r>
      <w:r w:rsidRPr="0027707D">
        <w:t>: The test captures both discriminatory and non-discriminatory barriers, ensuring robust free movement (</w:t>
      </w:r>
      <w:proofErr w:type="spellStart"/>
      <w:r w:rsidRPr="0027707D">
        <w:rPr>
          <w:i/>
          <w:iCs/>
        </w:rPr>
        <w:t>Lianos</w:t>
      </w:r>
      <w:proofErr w:type="spellEnd"/>
      <w:r w:rsidRPr="0027707D">
        <w:rPr>
          <w:i/>
          <w:iCs/>
        </w:rPr>
        <w:t>, In Memoriam Keck</w:t>
      </w:r>
      <w:r w:rsidRPr="0027707D">
        <w:t xml:space="preserve">, p. 235). In </w:t>
      </w:r>
      <w:r w:rsidRPr="0027707D">
        <w:rPr>
          <w:i/>
          <w:iCs/>
        </w:rPr>
        <w:t>Commission v Italy (Trailers)</w:t>
      </w:r>
      <w:r w:rsidRPr="0027707D">
        <w:t>, a motorcycle trailer ban was an MEQR due to reduced consumer demand, protecting trade (</w:t>
      </w:r>
      <w:r w:rsidRPr="0027707D">
        <w:rPr>
          <w:i/>
          <w:iCs/>
        </w:rPr>
        <w:t>Commission v Italy (Trailers)</w:t>
      </w:r>
      <w:r w:rsidRPr="0027707D">
        <w:t>, Case C-110/05).</w:t>
      </w:r>
    </w:p>
    <w:p w14:paraId="3341BD40" w14:textId="77777777" w:rsidR="0027707D" w:rsidRPr="0027707D" w:rsidRDefault="0027707D" w:rsidP="0027707D">
      <w:pPr>
        <w:numPr>
          <w:ilvl w:val="0"/>
          <w:numId w:val="97"/>
        </w:numPr>
        <w:spacing w:before="100" w:beforeAutospacing="1" w:after="100" w:afterAutospacing="1"/>
      </w:pPr>
      <w:r w:rsidRPr="0027707D">
        <w:rPr>
          <w:b/>
          <w:bCs/>
        </w:rPr>
        <w:t>Consumer-Centric Approach</w:t>
      </w:r>
      <w:r w:rsidRPr="0027707D">
        <w:t xml:space="preserve">: By focusing on consumer </w:t>
      </w:r>
      <w:proofErr w:type="spellStart"/>
      <w:r w:rsidRPr="0027707D">
        <w:t>behavior</w:t>
      </w:r>
      <w:proofErr w:type="spellEnd"/>
      <w:r w:rsidRPr="0027707D">
        <w:t>, it addresses modern trade dynamics (</w:t>
      </w:r>
      <w:r w:rsidRPr="0027707D">
        <w:rPr>
          <w:i/>
          <w:iCs/>
        </w:rPr>
        <w:t>EU Law Concentrate</w:t>
      </w:r>
      <w:r w:rsidRPr="0027707D">
        <w:t xml:space="preserve">, p. 115; </w:t>
      </w:r>
      <w:proofErr w:type="spellStart"/>
      <w:r w:rsidRPr="0027707D">
        <w:rPr>
          <w:i/>
          <w:iCs/>
        </w:rPr>
        <w:t>Lianos</w:t>
      </w:r>
      <w:proofErr w:type="spellEnd"/>
      <w:r w:rsidRPr="0027707D">
        <w:rPr>
          <w:i/>
          <w:iCs/>
        </w:rPr>
        <w:t>, In Memoriam Keck</w:t>
      </w:r>
      <w:r w:rsidRPr="0027707D">
        <w:t xml:space="preserve">, p. 233). In </w:t>
      </w:r>
      <w:proofErr w:type="spellStart"/>
      <w:r w:rsidRPr="0027707D">
        <w:rPr>
          <w:i/>
          <w:iCs/>
        </w:rPr>
        <w:t>Aklagaren</w:t>
      </w:r>
      <w:proofErr w:type="spellEnd"/>
      <w:r w:rsidRPr="0027707D">
        <w:rPr>
          <w:i/>
          <w:iCs/>
        </w:rPr>
        <w:t xml:space="preserve"> v </w:t>
      </w:r>
      <w:proofErr w:type="spellStart"/>
      <w:r w:rsidRPr="0027707D">
        <w:rPr>
          <w:i/>
          <w:iCs/>
        </w:rPr>
        <w:t>Mickelsson</w:t>
      </w:r>
      <w:proofErr w:type="spellEnd"/>
      <w:r w:rsidRPr="0027707D">
        <w:rPr>
          <w:i/>
          <w:iCs/>
        </w:rPr>
        <w:t xml:space="preserve"> and </w:t>
      </w:r>
      <w:proofErr w:type="spellStart"/>
      <w:r w:rsidRPr="0027707D">
        <w:rPr>
          <w:i/>
          <w:iCs/>
        </w:rPr>
        <w:t>Roos</w:t>
      </w:r>
      <w:proofErr w:type="spellEnd"/>
      <w:r w:rsidRPr="0027707D">
        <w:t>, Case C-142/05, jet ski restrictions were MEQRs due to limited consumer interest, enhancing market fairness (</w:t>
      </w:r>
      <w:proofErr w:type="spellStart"/>
      <w:r w:rsidRPr="0027707D">
        <w:rPr>
          <w:i/>
          <w:iCs/>
        </w:rPr>
        <w:t>Aklagaren</w:t>
      </w:r>
      <w:proofErr w:type="spellEnd"/>
      <w:r w:rsidRPr="0027707D">
        <w:rPr>
          <w:i/>
          <w:iCs/>
        </w:rPr>
        <w:t xml:space="preserve"> v </w:t>
      </w:r>
      <w:proofErr w:type="spellStart"/>
      <w:r w:rsidRPr="0027707D">
        <w:rPr>
          <w:i/>
          <w:iCs/>
        </w:rPr>
        <w:t>Mickelsson</w:t>
      </w:r>
      <w:proofErr w:type="spellEnd"/>
      <w:r w:rsidRPr="0027707D">
        <w:rPr>
          <w:i/>
          <w:iCs/>
        </w:rPr>
        <w:t xml:space="preserve"> and </w:t>
      </w:r>
      <w:proofErr w:type="spellStart"/>
      <w:r w:rsidRPr="0027707D">
        <w:rPr>
          <w:i/>
          <w:iCs/>
        </w:rPr>
        <w:t>Roos</w:t>
      </w:r>
      <w:proofErr w:type="spellEnd"/>
      <w:r w:rsidRPr="0027707D">
        <w:t>, Case C-142/05).</w:t>
      </w:r>
    </w:p>
    <w:p w14:paraId="7C061B82" w14:textId="77777777" w:rsidR="0027707D" w:rsidRPr="0027707D" w:rsidRDefault="0027707D" w:rsidP="0027707D">
      <w:pPr>
        <w:numPr>
          <w:ilvl w:val="0"/>
          <w:numId w:val="97"/>
        </w:numPr>
        <w:spacing w:before="100" w:beforeAutospacing="1" w:after="100" w:afterAutospacing="1"/>
      </w:pPr>
      <w:r w:rsidRPr="0027707D">
        <w:rPr>
          <w:b/>
          <w:bCs/>
        </w:rPr>
        <w:t>Flexible Application</w:t>
      </w:r>
      <w:r w:rsidRPr="0027707D">
        <w:t>: The test applies to use restrictions, selling arrangements, and other measures (</w:t>
      </w:r>
      <w:r w:rsidRPr="0027707D">
        <w:rPr>
          <w:i/>
          <w:iCs/>
        </w:rPr>
        <w:t>Handout</w:t>
      </w:r>
      <w:r w:rsidRPr="0027707D">
        <w:t xml:space="preserve">, p. 27). In </w:t>
      </w:r>
      <w:r w:rsidRPr="0027707D">
        <w:rPr>
          <w:i/>
          <w:iCs/>
        </w:rPr>
        <w:t>Commission v Poland</w:t>
      </w:r>
      <w:r w:rsidRPr="0027707D">
        <w:t>, Case C-639/11, right-hand drive car restrictions were MEQRs, demonstrating versatility (</w:t>
      </w:r>
      <w:r w:rsidRPr="0027707D">
        <w:rPr>
          <w:i/>
          <w:iCs/>
        </w:rPr>
        <w:t>Commission v Poland</w:t>
      </w:r>
      <w:r w:rsidRPr="0027707D">
        <w:t>, Case C-639/11).</w:t>
      </w:r>
    </w:p>
    <w:p w14:paraId="115A5393" w14:textId="77777777" w:rsidR="0027707D" w:rsidRPr="0027707D" w:rsidRDefault="0027707D" w:rsidP="0027707D">
      <w:pPr>
        <w:spacing w:before="100" w:beforeAutospacing="1" w:after="100" w:afterAutospacing="1"/>
      </w:pPr>
      <w:r w:rsidRPr="0027707D">
        <w:rPr>
          <w:b/>
          <w:bCs/>
        </w:rPr>
        <w:t>Drawbacks</w:t>
      </w:r>
      <w:r w:rsidRPr="0027707D">
        <w:t>:</w:t>
      </w:r>
    </w:p>
    <w:p w14:paraId="5144DFEE" w14:textId="77777777" w:rsidR="0027707D" w:rsidRPr="0027707D" w:rsidRDefault="0027707D" w:rsidP="0027707D">
      <w:pPr>
        <w:numPr>
          <w:ilvl w:val="0"/>
          <w:numId w:val="98"/>
        </w:numPr>
        <w:spacing w:before="100" w:beforeAutospacing="1" w:after="100" w:afterAutospacing="1"/>
      </w:pPr>
      <w:r w:rsidRPr="0027707D">
        <w:rPr>
          <w:b/>
          <w:bCs/>
        </w:rPr>
        <w:t>Overbroad Scope</w:t>
      </w:r>
      <w:r w:rsidRPr="0027707D">
        <w:t>: The broad interpretation risks capturing non-protectionist measures, reducing autonomy (</w:t>
      </w:r>
      <w:proofErr w:type="spellStart"/>
      <w:r w:rsidRPr="0027707D">
        <w:rPr>
          <w:i/>
          <w:iCs/>
        </w:rPr>
        <w:t>Lianos</w:t>
      </w:r>
      <w:proofErr w:type="spellEnd"/>
      <w:r w:rsidRPr="0027707D">
        <w:rPr>
          <w:i/>
          <w:iCs/>
        </w:rPr>
        <w:t>, In Memoriam Keck</w:t>
      </w:r>
      <w:r w:rsidRPr="0027707D">
        <w:t xml:space="preserve">, p. 239; Handout, p. 27). In </w:t>
      </w:r>
      <w:r w:rsidRPr="0027707D">
        <w:rPr>
          <w:i/>
          <w:iCs/>
        </w:rPr>
        <w:t>Commission v Spain</w:t>
      </w:r>
      <w:r w:rsidRPr="0027707D">
        <w:t xml:space="preserve">, Case C-428/12, vehicle age limits were MEQRs without clear discrimination, unlike </w:t>
      </w:r>
      <w:proofErr w:type="spellStart"/>
      <w:r w:rsidRPr="0027707D">
        <w:rPr>
          <w:i/>
          <w:iCs/>
        </w:rPr>
        <w:t>Tankstation</w:t>
      </w:r>
      <w:r w:rsidRPr="0027707D">
        <w:t>’s</w:t>
      </w:r>
      <w:proofErr w:type="spellEnd"/>
      <w:r w:rsidRPr="0027707D">
        <w:t xml:space="preserve"> upheld restrictions, creating unpredictability (</w:t>
      </w:r>
      <w:r w:rsidRPr="0027707D">
        <w:rPr>
          <w:i/>
          <w:iCs/>
        </w:rPr>
        <w:t>Commission v Spain</w:t>
      </w:r>
      <w:r w:rsidRPr="0027707D">
        <w:t xml:space="preserve">, Case C-428/12; </w:t>
      </w:r>
      <w:proofErr w:type="spellStart"/>
      <w:r w:rsidRPr="0027707D">
        <w:rPr>
          <w:i/>
          <w:iCs/>
        </w:rPr>
        <w:t>Tankstation</w:t>
      </w:r>
      <w:proofErr w:type="spellEnd"/>
      <w:r w:rsidRPr="0027707D">
        <w:rPr>
          <w:i/>
          <w:iCs/>
        </w:rPr>
        <w:t xml:space="preserve"> ‘t </w:t>
      </w:r>
      <w:proofErr w:type="spellStart"/>
      <w:r w:rsidRPr="0027707D">
        <w:rPr>
          <w:i/>
          <w:iCs/>
        </w:rPr>
        <w:t>Heukske</w:t>
      </w:r>
      <w:proofErr w:type="spellEnd"/>
      <w:r w:rsidRPr="0027707D">
        <w:rPr>
          <w:i/>
          <w:iCs/>
        </w:rPr>
        <w:t xml:space="preserve"> </w:t>
      </w:r>
      <w:proofErr w:type="spellStart"/>
      <w:r w:rsidRPr="0027707D">
        <w:rPr>
          <w:i/>
          <w:iCs/>
        </w:rPr>
        <w:t>vof</w:t>
      </w:r>
      <w:proofErr w:type="spellEnd"/>
      <w:r w:rsidRPr="0027707D">
        <w:rPr>
          <w:i/>
          <w:iCs/>
        </w:rPr>
        <w:t xml:space="preserve"> and JBE Boermans</w:t>
      </w:r>
      <w:r w:rsidRPr="0027707D">
        <w:t>, Cases C-401 &amp; 402/92).</w:t>
      </w:r>
    </w:p>
    <w:p w14:paraId="5A4F89C5" w14:textId="77777777" w:rsidR="0027707D" w:rsidRPr="0027707D" w:rsidRDefault="0027707D" w:rsidP="0027707D">
      <w:pPr>
        <w:numPr>
          <w:ilvl w:val="0"/>
          <w:numId w:val="98"/>
        </w:numPr>
        <w:spacing w:before="100" w:beforeAutospacing="1" w:after="100" w:afterAutospacing="1"/>
      </w:pPr>
      <w:r w:rsidRPr="0027707D">
        <w:rPr>
          <w:b/>
          <w:bCs/>
        </w:rPr>
        <w:t>Undefined Threshold</w:t>
      </w:r>
      <w:r w:rsidRPr="0027707D">
        <w:t>: The lack of a “substantial hindrance” threshold causes uncertainty (</w:t>
      </w:r>
      <w:proofErr w:type="spellStart"/>
      <w:r w:rsidRPr="0027707D">
        <w:rPr>
          <w:i/>
          <w:iCs/>
        </w:rPr>
        <w:t>Lianos</w:t>
      </w:r>
      <w:proofErr w:type="spellEnd"/>
      <w:r w:rsidRPr="0027707D">
        <w:rPr>
          <w:i/>
          <w:iCs/>
        </w:rPr>
        <w:t>, In Memoriam Keck</w:t>
      </w:r>
      <w:r w:rsidRPr="0027707D">
        <w:t xml:space="preserve">, p. 237; </w:t>
      </w:r>
      <w:r w:rsidRPr="0027707D">
        <w:rPr>
          <w:i/>
          <w:iCs/>
        </w:rPr>
        <w:t>Leclerc-</w:t>
      </w:r>
      <w:proofErr w:type="spellStart"/>
      <w:r w:rsidRPr="0027707D">
        <w:rPr>
          <w:i/>
          <w:iCs/>
        </w:rPr>
        <w:t>Siplec</w:t>
      </w:r>
      <w:proofErr w:type="spellEnd"/>
      <w:r w:rsidRPr="0027707D">
        <w:rPr>
          <w:i/>
          <w:iCs/>
        </w:rPr>
        <w:t xml:space="preserve"> v TF1 </w:t>
      </w:r>
      <w:proofErr w:type="spellStart"/>
      <w:r w:rsidRPr="0027707D">
        <w:rPr>
          <w:i/>
          <w:iCs/>
        </w:rPr>
        <w:t>Publicité</w:t>
      </w:r>
      <w:proofErr w:type="spellEnd"/>
      <w:r w:rsidRPr="0027707D">
        <w:rPr>
          <w:i/>
          <w:iCs/>
        </w:rPr>
        <w:t xml:space="preserve"> SA</w:t>
      </w:r>
      <w:r w:rsidRPr="0027707D">
        <w:t xml:space="preserve">, Case C-412/93). In </w:t>
      </w:r>
      <w:r w:rsidRPr="0027707D">
        <w:rPr>
          <w:i/>
          <w:iCs/>
        </w:rPr>
        <w:t>Leclerc-</w:t>
      </w:r>
      <w:proofErr w:type="spellStart"/>
      <w:r w:rsidRPr="0027707D">
        <w:rPr>
          <w:i/>
          <w:iCs/>
        </w:rPr>
        <w:t>Siplec</w:t>
      </w:r>
      <w:proofErr w:type="spellEnd"/>
      <w:r w:rsidRPr="0027707D">
        <w:t xml:space="preserve">, Advocate General Jacobs proposed a substantial hindrance test, but the CJEU’s abstract consumer </w:t>
      </w:r>
      <w:proofErr w:type="spellStart"/>
      <w:r w:rsidRPr="0027707D">
        <w:t>behavior</w:t>
      </w:r>
      <w:proofErr w:type="spellEnd"/>
      <w:r w:rsidRPr="0027707D">
        <w:t xml:space="preserve"> analysis in </w:t>
      </w:r>
      <w:r w:rsidRPr="0027707D">
        <w:rPr>
          <w:i/>
          <w:iCs/>
        </w:rPr>
        <w:t>Commission v Italy (Trailers)</w:t>
      </w:r>
      <w:r w:rsidRPr="0027707D">
        <w:t xml:space="preserve"> lacks rigor, risking inconsistent rulings (</w:t>
      </w:r>
      <w:r w:rsidRPr="0027707D">
        <w:rPr>
          <w:i/>
          <w:iCs/>
        </w:rPr>
        <w:t>Leclerc-</w:t>
      </w:r>
      <w:proofErr w:type="spellStart"/>
      <w:r w:rsidRPr="0027707D">
        <w:rPr>
          <w:i/>
          <w:iCs/>
        </w:rPr>
        <w:t>Siplec</w:t>
      </w:r>
      <w:proofErr w:type="spellEnd"/>
      <w:r w:rsidRPr="0027707D">
        <w:rPr>
          <w:i/>
          <w:iCs/>
        </w:rPr>
        <w:t xml:space="preserve"> v TF1 </w:t>
      </w:r>
      <w:proofErr w:type="spellStart"/>
      <w:r w:rsidRPr="0027707D">
        <w:rPr>
          <w:i/>
          <w:iCs/>
        </w:rPr>
        <w:t>Publicité</w:t>
      </w:r>
      <w:proofErr w:type="spellEnd"/>
      <w:r w:rsidRPr="0027707D">
        <w:rPr>
          <w:i/>
          <w:iCs/>
        </w:rPr>
        <w:t xml:space="preserve"> SA</w:t>
      </w:r>
      <w:r w:rsidRPr="0027707D">
        <w:t xml:space="preserve">, Case C-412/93; </w:t>
      </w:r>
      <w:r w:rsidRPr="0027707D">
        <w:rPr>
          <w:i/>
          <w:iCs/>
        </w:rPr>
        <w:t>Commission v Italy (Trailers)</w:t>
      </w:r>
      <w:r w:rsidRPr="0027707D">
        <w:t>, Case C-110/05).</w:t>
      </w:r>
    </w:p>
    <w:p w14:paraId="01F11817" w14:textId="43637267" w:rsidR="00C341F2" w:rsidRDefault="0027707D" w:rsidP="003B5060">
      <w:pPr>
        <w:numPr>
          <w:ilvl w:val="0"/>
          <w:numId w:val="98"/>
        </w:numPr>
        <w:spacing w:before="100" w:beforeAutospacing="1" w:after="100" w:afterAutospacing="1"/>
      </w:pPr>
      <w:r w:rsidRPr="0027707D">
        <w:rPr>
          <w:b/>
          <w:bCs/>
        </w:rPr>
        <w:t>Judicial Overreach</w:t>
      </w:r>
      <w:r w:rsidRPr="0027707D">
        <w:t xml:space="preserve">: The shift to market access sidelines </w:t>
      </w:r>
      <w:r w:rsidRPr="0027707D">
        <w:rPr>
          <w:i/>
          <w:iCs/>
        </w:rPr>
        <w:t>Keck</w:t>
      </w:r>
      <w:r w:rsidRPr="0027707D">
        <w:t>’s categorization, increasing scrutiny (</w:t>
      </w:r>
      <w:proofErr w:type="spellStart"/>
      <w:r w:rsidRPr="0027707D">
        <w:rPr>
          <w:i/>
          <w:iCs/>
        </w:rPr>
        <w:t>Lianos</w:t>
      </w:r>
      <w:proofErr w:type="spellEnd"/>
      <w:r w:rsidRPr="0027707D">
        <w:rPr>
          <w:i/>
          <w:iCs/>
        </w:rPr>
        <w:t>, In Memoriam Keck</w:t>
      </w:r>
      <w:r w:rsidRPr="0027707D">
        <w:t xml:space="preserve">, pp. 235–236; Handout, p. 27). In </w:t>
      </w:r>
      <w:r w:rsidRPr="0027707D">
        <w:rPr>
          <w:i/>
          <w:iCs/>
        </w:rPr>
        <w:t>Scotch Whisky Association and Others v Lord Advocate</w:t>
      </w:r>
      <w:r w:rsidRPr="0027707D">
        <w:t xml:space="preserve">, Case C-333/14, minimum pricing was scrutinized despite public health aims, unlike </w:t>
      </w:r>
      <w:r w:rsidRPr="0027707D">
        <w:rPr>
          <w:i/>
          <w:iCs/>
        </w:rPr>
        <w:t>Punto Casa</w:t>
      </w:r>
      <w:r w:rsidRPr="0027707D">
        <w:t>’s leniency, highlighting inconsistent application (</w:t>
      </w:r>
      <w:r w:rsidRPr="0027707D">
        <w:rPr>
          <w:i/>
          <w:iCs/>
        </w:rPr>
        <w:t>Scotch Whisky Association and Others v Lord Advocate</w:t>
      </w:r>
      <w:r w:rsidRPr="0027707D">
        <w:t xml:space="preserve">, Case C-333/14; </w:t>
      </w:r>
      <w:r w:rsidRPr="0027707D">
        <w:rPr>
          <w:i/>
          <w:iCs/>
        </w:rPr>
        <w:t>Punto Casa</w:t>
      </w:r>
      <w:r w:rsidRPr="0027707D">
        <w:t>, Cases C-69/93).</w:t>
      </w:r>
    </w:p>
    <w:p w14:paraId="4191F14E" w14:textId="77777777" w:rsidR="00C341F2" w:rsidRPr="00C341F2" w:rsidRDefault="00C341F2" w:rsidP="003B5060">
      <w:pPr>
        <w:pStyle w:val="NormalWeb"/>
      </w:pPr>
    </w:p>
    <w:p w14:paraId="7E2A92DD" w14:textId="77777777" w:rsidR="00C341F2" w:rsidRPr="00C341F2" w:rsidRDefault="00794072" w:rsidP="00AC7077">
      <w:pPr>
        <w:pStyle w:val="NormalWeb"/>
        <w:numPr>
          <w:ilvl w:val="0"/>
          <w:numId w:val="1"/>
        </w:numPr>
        <w:outlineLvl w:val="2"/>
        <w:rPr>
          <w:b/>
          <w:bCs/>
        </w:rPr>
      </w:pPr>
      <w:r w:rsidRPr="00C341F2">
        <w:t xml:space="preserve">How are Vale and </w:t>
      </w:r>
      <w:proofErr w:type="spellStart"/>
      <w:r w:rsidRPr="00C341F2">
        <w:t>Polbud</w:t>
      </w:r>
      <w:proofErr w:type="spellEnd"/>
      <w:r w:rsidRPr="00C341F2">
        <w:t xml:space="preserve"> different from </w:t>
      </w:r>
      <w:proofErr w:type="spellStart"/>
      <w:r w:rsidRPr="00C341F2">
        <w:t>Centros</w:t>
      </w:r>
      <w:proofErr w:type="spellEnd"/>
      <w:r w:rsidRPr="00C341F2">
        <w:t xml:space="preserve"> and Daily Mail?  </w:t>
      </w:r>
    </w:p>
    <w:p w14:paraId="7C401631" w14:textId="77777777" w:rsidR="00C341F2" w:rsidRPr="00C341F2" w:rsidRDefault="00C341F2" w:rsidP="00C341F2">
      <w:pPr>
        <w:spacing w:before="100" w:beforeAutospacing="1" w:after="100" w:afterAutospacing="1"/>
        <w:outlineLvl w:val="2"/>
        <w:rPr>
          <w:b/>
          <w:bCs/>
          <w:sz w:val="27"/>
          <w:szCs w:val="27"/>
        </w:rPr>
      </w:pPr>
      <w:r w:rsidRPr="00C341F2">
        <w:rPr>
          <w:b/>
          <w:bCs/>
          <w:sz w:val="27"/>
          <w:szCs w:val="27"/>
        </w:rPr>
        <w:t>1. Summary of Cases</w:t>
      </w:r>
    </w:p>
    <w:p w14:paraId="41A06224" w14:textId="77777777" w:rsidR="00C341F2" w:rsidRPr="00C341F2" w:rsidRDefault="00C341F2" w:rsidP="00C341F2">
      <w:pPr>
        <w:spacing w:before="100" w:beforeAutospacing="1" w:after="100" w:afterAutospacing="1"/>
        <w:outlineLvl w:val="3"/>
        <w:rPr>
          <w:b/>
          <w:bCs/>
        </w:rPr>
      </w:pPr>
      <w:r w:rsidRPr="00C341F2">
        <w:rPr>
          <w:b/>
          <w:bCs/>
        </w:rPr>
        <w:t>Case C-81/87, Daily Mail [1988] ECR 5483</w:t>
      </w:r>
    </w:p>
    <w:p w14:paraId="40E1E129" w14:textId="77777777" w:rsidR="00C341F2" w:rsidRPr="00C341F2" w:rsidRDefault="00C341F2" w:rsidP="00C341F2">
      <w:pPr>
        <w:numPr>
          <w:ilvl w:val="0"/>
          <w:numId w:val="76"/>
        </w:numPr>
        <w:spacing w:before="100" w:beforeAutospacing="1" w:after="100" w:afterAutospacing="1"/>
      </w:pPr>
      <w:r w:rsidRPr="00C341F2">
        <w:rPr>
          <w:b/>
          <w:bCs/>
        </w:rPr>
        <w:t>Facts</w:t>
      </w:r>
      <w:r w:rsidRPr="00C341F2">
        <w:t>: Daily Mail, a UK-incorporated company, sought to transfer its central management to the Netherlands to reduce tax liability while retaining UK legal personality. UK law required Treasury consent, which Daily Mail challenged as violating Articles 52 (now 49 TFEU) and 58 (now 54 TFEU).</w:t>
      </w:r>
    </w:p>
    <w:p w14:paraId="3487B2D1" w14:textId="77777777" w:rsidR="00C341F2" w:rsidRPr="00C341F2" w:rsidRDefault="00C341F2" w:rsidP="00C341F2">
      <w:pPr>
        <w:numPr>
          <w:ilvl w:val="0"/>
          <w:numId w:val="76"/>
        </w:numPr>
        <w:spacing w:before="100" w:beforeAutospacing="1" w:after="100" w:afterAutospacing="1"/>
      </w:pPr>
      <w:r w:rsidRPr="00C341F2">
        <w:rPr>
          <w:b/>
          <w:bCs/>
        </w:rPr>
        <w:lastRenderedPageBreak/>
        <w:t>Holding</w:t>
      </w:r>
      <w:r w:rsidRPr="00C341F2">
        <w:t>: Articles 52 and 58 do not grant a company the right to transfer its central management to another Member State while retaining its original legal status. Directive 73/148 applies only to natural persons.</w:t>
      </w:r>
    </w:p>
    <w:p w14:paraId="54E3DC5C" w14:textId="77777777" w:rsidR="00C341F2" w:rsidRPr="00C341F2" w:rsidRDefault="00C341F2" w:rsidP="00C341F2">
      <w:pPr>
        <w:numPr>
          <w:ilvl w:val="0"/>
          <w:numId w:val="76"/>
        </w:numPr>
        <w:spacing w:before="100" w:beforeAutospacing="1" w:after="100" w:afterAutospacing="1"/>
      </w:pPr>
      <w:r w:rsidRPr="00C341F2">
        <w:rPr>
          <w:b/>
          <w:bCs/>
        </w:rPr>
        <w:t>Reasoning</w:t>
      </w:r>
      <w:r w:rsidRPr="00C341F2">
        <w:t>: Companies are governed by national law, which determines connecting factors (e.g., registered office). Absent EU harmonization, Member States can regulate exit conditions (paras 19-24).</w:t>
      </w:r>
    </w:p>
    <w:p w14:paraId="4489867F" w14:textId="77777777" w:rsidR="00C341F2" w:rsidRPr="00C341F2" w:rsidRDefault="00C341F2" w:rsidP="00C341F2">
      <w:pPr>
        <w:spacing w:before="100" w:beforeAutospacing="1" w:after="100" w:afterAutospacing="1"/>
        <w:outlineLvl w:val="3"/>
        <w:rPr>
          <w:b/>
          <w:bCs/>
        </w:rPr>
      </w:pPr>
      <w:r w:rsidRPr="00C341F2">
        <w:rPr>
          <w:b/>
          <w:bCs/>
        </w:rPr>
        <w:t xml:space="preserve">Case C-212/97, </w:t>
      </w:r>
      <w:proofErr w:type="spellStart"/>
      <w:r w:rsidRPr="00C341F2">
        <w:rPr>
          <w:b/>
          <w:bCs/>
        </w:rPr>
        <w:t>Centros</w:t>
      </w:r>
      <w:proofErr w:type="spellEnd"/>
      <w:r w:rsidRPr="00C341F2">
        <w:rPr>
          <w:b/>
          <w:bCs/>
        </w:rPr>
        <w:t xml:space="preserve"> [1999] ECR I-1459</w:t>
      </w:r>
    </w:p>
    <w:p w14:paraId="6AF97E24" w14:textId="77777777" w:rsidR="00C341F2" w:rsidRPr="00C341F2" w:rsidRDefault="00C341F2" w:rsidP="00C341F2">
      <w:pPr>
        <w:numPr>
          <w:ilvl w:val="0"/>
          <w:numId w:val="77"/>
        </w:numPr>
        <w:spacing w:before="100" w:beforeAutospacing="1" w:after="100" w:afterAutospacing="1"/>
      </w:pPr>
      <w:r w:rsidRPr="00C341F2">
        <w:rPr>
          <w:b/>
          <w:bCs/>
        </w:rPr>
        <w:t>Facts</w:t>
      </w:r>
      <w:r w:rsidRPr="00C341F2">
        <w:t xml:space="preserve">: </w:t>
      </w:r>
      <w:proofErr w:type="spellStart"/>
      <w:r w:rsidRPr="00C341F2">
        <w:t>Centros</w:t>
      </w:r>
      <w:proofErr w:type="spellEnd"/>
      <w:r w:rsidRPr="00C341F2">
        <w:t>, a UK-incorporated company owned by Danish nationals, sought to register a branch in Denmark to operate there, avoiding Denmark’s minimum capital requirements. Denmark refused, citing circumvention of national law.</w:t>
      </w:r>
    </w:p>
    <w:p w14:paraId="00691A47" w14:textId="77777777" w:rsidR="00C341F2" w:rsidRPr="00C341F2" w:rsidRDefault="00C341F2" w:rsidP="00C341F2">
      <w:pPr>
        <w:numPr>
          <w:ilvl w:val="0"/>
          <w:numId w:val="77"/>
        </w:numPr>
        <w:spacing w:before="100" w:beforeAutospacing="1" w:after="100" w:afterAutospacing="1"/>
      </w:pPr>
      <w:r w:rsidRPr="00C341F2">
        <w:rPr>
          <w:b/>
          <w:bCs/>
        </w:rPr>
        <w:t>Holding</w:t>
      </w:r>
      <w:r w:rsidRPr="00C341F2">
        <w:t>: Articles 52 and 58 preclude a Member State from refusing to register a branch of a lawfully incorporated company from another Member State, even if it seeks to avoid stricter national rules.</w:t>
      </w:r>
    </w:p>
    <w:p w14:paraId="5B21B82F" w14:textId="77777777" w:rsidR="00C341F2" w:rsidRPr="00C341F2" w:rsidRDefault="00C341F2" w:rsidP="00C341F2">
      <w:pPr>
        <w:numPr>
          <w:ilvl w:val="0"/>
          <w:numId w:val="77"/>
        </w:numPr>
        <w:spacing w:before="100" w:beforeAutospacing="1" w:after="100" w:afterAutospacing="1"/>
      </w:pPr>
      <w:r w:rsidRPr="00C341F2">
        <w:rPr>
          <w:b/>
          <w:bCs/>
        </w:rPr>
        <w:t>Reasoning</w:t>
      </w:r>
      <w:r w:rsidRPr="00C341F2">
        <w:t>: Freedom of establishment includes setting up branches in another Member State, regardless of business activity in the state of incorporation. Refusal restricts this right and is not justified by creditor protection or fraud prevention, as incorporation in a less restrictive state is not abuse (paras 17, 27, 30).</w:t>
      </w:r>
    </w:p>
    <w:p w14:paraId="37A3CB3A" w14:textId="77777777" w:rsidR="00C341F2" w:rsidRPr="00C341F2" w:rsidRDefault="00C341F2" w:rsidP="00C341F2">
      <w:pPr>
        <w:spacing w:before="100" w:beforeAutospacing="1" w:after="100" w:afterAutospacing="1"/>
        <w:outlineLvl w:val="3"/>
        <w:rPr>
          <w:b/>
          <w:bCs/>
        </w:rPr>
      </w:pPr>
      <w:r w:rsidRPr="00C341F2">
        <w:rPr>
          <w:b/>
          <w:bCs/>
        </w:rPr>
        <w:t xml:space="preserve">Case C-378/10, VALE </w:t>
      </w:r>
      <w:proofErr w:type="spellStart"/>
      <w:r w:rsidRPr="00C341F2">
        <w:rPr>
          <w:b/>
          <w:bCs/>
        </w:rPr>
        <w:t>Építési</w:t>
      </w:r>
      <w:proofErr w:type="spellEnd"/>
      <w:r w:rsidRPr="00C341F2">
        <w:rPr>
          <w:b/>
          <w:bCs/>
        </w:rPr>
        <w:t xml:space="preserve"> </w:t>
      </w:r>
      <w:proofErr w:type="spellStart"/>
      <w:r w:rsidRPr="00C341F2">
        <w:rPr>
          <w:b/>
          <w:bCs/>
        </w:rPr>
        <w:t>kft</w:t>
      </w:r>
      <w:proofErr w:type="spellEnd"/>
      <w:r w:rsidRPr="00C341F2">
        <w:rPr>
          <w:b/>
          <w:bCs/>
        </w:rPr>
        <w:t xml:space="preserve"> [2012] ECR 00000</w:t>
      </w:r>
    </w:p>
    <w:p w14:paraId="21B8445E" w14:textId="77777777" w:rsidR="00C341F2" w:rsidRPr="00C341F2" w:rsidRDefault="00C341F2" w:rsidP="00C341F2">
      <w:pPr>
        <w:numPr>
          <w:ilvl w:val="0"/>
          <w:numId w:val="78"/>
        </w:numPr>
        <w:spacing w:before="100" w:beforeAutospacing="1" w:after="100" w:afterAutospacing="1"/>
      </w:pPr>
      <w:r w:rsidRPr="00C341F2">
        <w:rPr>
          <w:b/>
          <w:bCs/>
        </w:rPr>
        <w:t>Facts</w:t>
      </w:r>
      <w:r w:rsidRPr="00C341F2">
        <w:t xml:space="preserve">: VALE </w:t>
      </w:r>
      <w:proofErr w:type="spellStart"/>
      <w:r w:rsidRPr="00C341F2">
        <w:t>Costruzioni</w:t>
      </w:r>
      <w:proofErr w:type="spellEnd"/>
      <w:r w:rsidRPr="00C341F2">
        <w:t xml:space="preserve">, an Italian company, sought to convert into a Hungarian company (VALE </w:t>
      </w:r>
      <w:proofErr w:type="spellStart"/>
      <w:r w:rsidRPr="00C341F2">
        <w:t>Építési</w:t>
      </w:r>
      <w:proofErr w:type="spellEnd"/>
      <w:r w:rsidRPr="00C341F2">
        <w:t>) after transferring its seat. Hungary refused registration, as its law allowed conversions only for domestic companies.</w:t>
      </w:r>
    </w:p>
    <w:p w14:paraId="35238AE3" w14:textId="77777777" w:rsidR="00C341F2" w:rsidRPr="00C341F2" w:rsidRDefault="00C341F2" w:rsidP="00C341F2">
      <w:pPr>
        <w:numPr>
          <w:ilvl w:val="0"/>
          <w:numId w:val="78"/>
        </w:numPr>
        <w:spacing w:before="100" w:beforeAutospacing="1" w:after="100" w:afterAutospacing="1"/>
      </w:pPr>
      <w:r w:rsidRPr="00C341F2">
        <w:rPr>
          <w:b/>
          <w:bCs/>
        </w:rPr>
        <w:t>Holding</w:t>
      </w:r>
      <w:r w:rsidRPr="00C341F2">
        <w:t>: Articles 49 and 54 TFEU preclude national laws that permit domestic conversions but prohibit cross-border conversions. Host states may apply domestic rules but must respect equivalence and effectiveness principles.</w:t>
      </w:r>
    </w:p>
    <w:p w14:paraId="2F93FDE8" w14:textId="77777777" w:rsidR="00C341F2" w:rsidRPr="00C341F2" w:rsidRDefault="00C341F2" w:rsidP="00C341F2">
      <w:pPr>
        <w:numPr>
          <w:ilvl w:val="0"/>
          <w:numId w:val="78"/>
        </w:numPr>
        <w:spacing w:before="100" w:beforeAutospacing="1" w:after="100" w:afterAutospacing="1"/>
      </w:pPr>
      <w:r w:rsidRPr="00C341F2">
        <w:rPr>
          <w:b/>
          <w:bCs/>
        </w:rPr>
        <w:t>Reasoning</w:t>
      </w:r>
      <w:r w:rsidRPr="00C341F2">
        <w:t>: Cross-border conversions fall within freedom of establishment. Hungary’s prohibition was a restriction, unjustified as it was not tailored to protect creditors or others. Host states must treat foreign companies equivalently and consider origin state documents (paras 36, 40, 55-61).</w:t>
      </w:r>
    </w:p>
    <w:p w14:paraId="5B808625" w14:textId="77777777" w:rsidR="00C341F2" w:rsidRPr="00C341F2" w:rsidRDefault="00C341F2" w:rsidP="00C341F2">
      <w:pPr>
        <w:spacing w:before="100" w:beforeAutospacing="1" w:after="100" w:afterAutospacing="1"/>
        <w:outlineLvl w:val="3"/>
        <w:rPr>
          <w:b/>
          <w:bCs/>
        </w:rPr>
      </w:pPr>
      <w:r w:rsidRPr="00C341F2">
        <w:rPr>
          <w:b/>
          <w:bCs/>
        </w:rPr>
        <w:t xml:space="preserve">Case C-106/16, </w:t>
      </w:r>
      <w:proofErr w:type="spellStart"/>
      <w:r w:rsidRPr="00C341F2">
        <w:rPr>
          <w:b/>
          <w:bCs/>
        </w:rPr>
        <w:t>Polbud</w:t>
      </w:r>
      <w:proofErr w:type="spellEnd"/>
      <w:r w:rsidRPr="00C341F2">
        <w:rPr>
          <w:b/>
          <w:bCs/>
        </w:rPr>
        <w:t xml:space="preserve"> [2017] ECLI:EU:C:2017:804</w:t>
      </w:r>
    </w:p>
    <w:p w14:paraId="6CA7239D" w14:textId="77777777" w:rsidR="00C341F2" w:rsidRPr="00C341F2" w:rsidRDefault="00C341F2" w:rsidP="00C341F2">
      <w:pPr>
        <w:numPr>
          <w:ilvl w:val="0"/>
          <w:numId w:val="79"/>
        </w:numPr>
        <w:spacing w:before="100" w:beforeAutospacing="1" w:after="100" w:afterAutospacing="1"/>
      </w:pPr>
      <w:r w:rsidRPr="00C341F2">
        <w:rPr>
          <w:b/>
          <w:bCs/>
        </w:rPr>
        <w:t>Facts</w:t>
      </w:r>
      <w:r w:rsidRPr="00C341F2">
        <w:t xml:space="preserve">: </w:t>
      </w:r>
      <w:proofErr w:type="spellStart"/>
      <w:r w:rsidRPr="00C341F2">
        <w:t>Polbud</w:t>
      </w:r>
      <w:proofErr w:type="spellEnd"/>
      <w:r w:rsidRPr="00C341F2">
        <w:t xml:space="preserve">, a Polish company, transferred its registered office to Luxembourg to convert into a Luxembourg company without moving its real head office. Polish law required liquidation, which </w:t>
      </w:r>
      <w:proofErr w:type="spellStart"/>
      <w:r w:rsidRPr="00C341F2">
        <w:t>Polbud</w:t>
      </w:r>
      <w:proofErr w:type="spellEnd"/>
      <w:r w:rsidRPr="00C341F2">
        <w:t xml:space="preserve"> challenged.</w:t>
      </w:r>
    </w:p>
    <w:p w14:paraId="630E26A2" w14:textId="77777777" w:rsidR="00C341F2" w:rsidRPr="00C341F2" w:rsidRDefault="00C341F2" w:rsidP="00C341F2">
      <w:pPr>
        <w:numPr>
          <w:ilvl w:val="0"/>
          <w:numId w:val="79"/>
        </w:numPr>
        <w:spacing w:before="100" w:beforeAutospacing="1" w:after="100" w:afterAutospacing="1"/>
      </w:pPr>
      <w:r w:rsidRPr="00C341F2">
        <w:rPr>
          <w:b/>
          <w:bCs/>
        </w:rPr>
        <w:t>Holding</w:t>
      </w:r>
      <w:r w:rsidRPr="00C341F2">
        <w:t>: Articles 49 and 54 TFEU apply to registered office transfers for conversion, even without real head office movement, and preclude laws requiring liquidation.</w:t>
      </w:r>
    </w:p>
    <w:p w14:paraId="30ED0492" w14:textId="77777777" w:rsidR="00C341F2" w:rsidRPr="00C341F2" w:rsidRDefault="00C341F2" w:rsidP="00C341F2">
      <w:pPr>
        <w:numPr>
          <w:ilvl w:val="0"/>
          <w:numId w:val="79"/>
        </w:numPr>
        <w:spacing w:before="100" w:beforeAutospacing="1" w:after="100" w:afterAutospacing="1"/>
      </w:pPr>
      <w:r w:rsidRPr="00C341F2">
        <w:rPr>
          <w:b/>
          <w:bCs/>
        </w:rPr>
        <w:t>Reasoning</w:t>
      </w:r>
      <w:r w:rsidRPr="00C341F2">
        <w:t>: Conversion is part of freedom of establishment, regardless of economic activity in the host state. Poland’s liquidation requirement was a disproportionate restriction, unjustified for protecting creditors, shareholders, or preventing abuse (paras 41, 51, 59, 63).</w:t>
      </w:r>
    </w:p>
    <w:p w14:paraId="0FD52836" w14:textId="77777777" w:rsidR="00C341F2" w:rsidRPr="00C341F2" w:rsidRDefault="0050512A" w:rsidP="00C341F2">
      <w:r w:rsidRPr="0050512A">
        <w:rPr>
          <w:noProof/>
          <w14:ligatures w14:val="standardContextual"/>
        </w:rPr>
        <w:pict w14:anchorId="5E1C3C3F">
          <v:rect id="_x0000_i1025" alt="" style="width:451.3pt;height:.05pt;mso-width-percent:0;mso-height-percent:0;mso-width-percent:0;mso-height-percent:0" o:hralign="center" o:hrstd="t" o:hr="t" fillcolor="#a0a0a0" stroked="f"/>
        </w:pict>
      </w:r>
    </w:p>
    <w:p w14:paraId="7F746AEB" w14:textId="77777777" w:rsidR="00C341F2" w:rsidRPr="00C341F2" w:rsidRDefault="00C341F2" w:rsidP="00C341F2">
      <w:pPr>
        <w:spacing w:before="100" w:beforeAutospacing="1" w:after="100" w:afterAutospacing="1"/>
        <w:outlineLvl w:val="2"/>
        <w:rPr>
          <w:b/>
          <w:bCs/>
          <w:sz w:val="27"/>
          <w:szCs w:val="27"/>
        </w:rPr>
      </w:pPr>
      <w:r w:rsidRPr="00C341F2">
        <w:rPr>
          <w:b/>
          <w:bCs/>
          <w:sz w:val="27"/>
          <w:szCs w:val="27"/>
        </w:rPr>
        <w:t xml:space="preserve">2. Differences Between </w:t>
      </w:r>
      <w:r w:rsidRPr="00C341F2">
        <w:rPr>
          <w:b/>
          <w:bCs/>
          <w:i/>
          <w:iCs/>
          <w:sz w:val="27"/>
          <w:szCs w:val="27"/>
        </w:rPr>
        <w:t>Vale</w:t>
      </w:r>
      <w:r w:rsidRPr="00C341F2">
        <w:rPr>
          <w:b/>
          <w:bCs/>
          <w:sz w:val="27"/>
          <w:szCs w:val="27"/>
        </w:rPr>
        <w:t xml:space="preserve"> and </w:t>
      </w:r>
      <w:proofErr w:type="spellStart"/>
      <w:r w:rsidRPr="00C341F2">
        <w:rPr>
          <w:b/>
          <w:bCs/>
          <w:i/>
          <w:iCs/>
          <w:sz w:val="27"/>
          <w:szCs w:val="27"/>
        </w:rPr>
        <w:t>Polbud</w:t>
      </w:r>
      <w:proofErr w:type="spellEnd"/>
      <w:r w:rsidRPr="00C341F2">
        <w:rPr>
          <w:b/>
          <w:bCs/>
          <w:sz w:val="27"/>
          <w:szCs w:val="27"/>
        </w:rPr>
        <w:t xml:space="preserve"> vs. </w:t>
      </w:r>
      <w:proofErr w:type="spellStart"/>
      <w:r w:rsidRPr="00C341F2">
        <w:rPr>
          <w:b/>
          <w:bCs/>
          <w:i/>
          <w:iCs/>
          <w:sz w:val="27"/>
          <w:szCs w:val="27"/>
        </w:rPr>
        <w:t>Centros</w:t>
      </w:r>
      <w:proofErr w:type="spellEnd"/>
      <w:r w:rsidRPr="00C341F2">
        <w:rPr>
          <w:b/>
          <w:bCs/>
          <w:sz w:val="27"/>
          <w:szCs w:val="27"/>
        </w:rPr>
        <w:t xml:space="preserve"> and </w:t>
      </w:r>
      <w:r w:rsidRPr="00C341F2">
        <w:rPr>
          <w:b/>
          <w:bCs/>
          <w:i/>
          <w:iCs/>
          <w:sz w:val="27"/>
          <w:szCs w:val="27"/>
        </w:rPr>
        <w:t>Daily Mail</w:t>
      </w:r>
    </w:p>
    <w:p w14:paraId="3036A844" w14:textId="77777777" w:rsidR="00C341F2" w:rsidRPr="00C341F2" w:rsidRDefault="00C341F2" w:rsidP="00C341F2">
      <w:pPr>
        <w:spacing w:before="100" w:beforeAutospacing="1" w:after="100" w:afterAutospacing="1"/>
        <w:outlineLvl w:val="3"/>
        <w:rPr>
          <w:b/>
          <w:bCs/>
        </w:rPr>
      </w:pPr>
      <w:r w:rsidRPr="00C341F2">
        <w:rPr>
          <w:b/>
          <w:bCs/>
        </w:rPr>
        <w:t>A. Corporate Action</w:t>
      </w:r>
    </w:p>
    <w:p w14:paraId="3BE20BF3" w14:textId="77777777" w:rsidR="00C341F2" w:rsidRPr="00C341F2" w:rsidRDefault="00C341F2" w:rsidP="00C341F2">
      <w:pPr>
        <w:numPr>
          <w:ilvl w:val="0"/>
          <w:numId w:val="80"/>
        </w:numPr>
        <w:spacing w:before="100" w:beforeAutospacing="1" w:after="100" w:afterAutospacing="1"/>
      </w:pPr>
      <w:r w:rsidRPr="00C341F2">
        <w:rPr>
          <w:b/>
          <w:bCs/>
        </w:rPr>
        <w:lastRenderedPageBreak/>
        <w:t xml:space="preserve">Vale and </w:t>
      </w:r>
      <w:proofErr w:type="spellStart"/>
      <w:r w:rsidRPr="00C341F2">
        <w:rPr>
          <w:b/>
          <w:bCs/>
        </w:rPr>
        <w:t>Polbud</w:t>
      </w:r>
      <w:proofErr w:type="spellEnd"/>
      <w:r w:rsidRPr="00C341F2">
        <w:t xml:space="preserve">: Focus on </w:t>
      </w:r>
      <w:r w:rsidRPr="00C341F2">
        <w:rPr>
          <w:b/>
          <w:bCs/>
        </w:rPr>
        <w:t>cross-border conversions</w:t>
      </w:r>
      <w:r w:rsidRPr="00C341F2">
        <w:t>, where companies reincorporate under another Member State’s law while maintaining legal personality (</w:t>
      </w:r>
      <w:r w:rsidRPr="00C341F2">
        <w:rPr>
          <w:i/>
          <w:iCs/>
        </w:rPr>
        <w:t>Vale</w:t>
      </w:r>
      <w:r w:rsidRPr="00C341F2">
        <w:t xml:space="preserve">: Italian to Hungarian; </w:t>
      </w:r>
      <w:proofErr w:type="spellStart"/>
      <w:r w:rsidRPr="00C341F2">
        <w:rPr>
          <w:i/>
          <w:iCs/>
        </w:rPr>
        <w:t>Polbud</w:t>
      </w:r>
      <w:proofErr w:type="spellEnd"/>
      <w:r w:rsidRPr="00C341F2">
        <w:t xml:space="preserve">: Polish to Luxembourg). This involves changing the governing legal system. </w:t>
      </w:r>
    </w:p>
    <w:p w14:paraId="69F13B8C" w14:textId="77777777" w:rsidR="00C341F2" w:rsidRPr="00C341F2" w:rsidRDefault="00C341F2" w:rsidP="00C341F2">
      <w:pPr>
        <w:numPr>
          <w:ilvl w:val="1"/>
          <w:numId w:val="80"/>
        </w:numPr>
        <w:spacing w:before="100" w:beforeAutospacing="1" w:after="100" w:afterAutospacing="1"/>
      </w:pPr>
      <w:r w:rsidRPr="00C341F2">
        <w:rPr>
          <w:b/>
          <w:bCs/>
        </w:rPr>
        <w:t>Implication</w:t>
      </w:r>
      <w:r w:rsidRPr="00C341F2">
        <w:t>: Requires coordination of origin and host state laws, engaging both states’ regulatory frameworks.</w:t>
      </w:r>
    </w:p>
    <w:p w14:paraId="668654A1" w14:textId="77777777" w:rsidR="00C341F2" w:rsidRPr="00C341F2" w:rsidRDefault="00C341F2" w:rsidP="00C341F2">
      <w:pPr>
        <w:numPr>
          <w:ilvl w:val="0"/>
          <w:numId w:val="80"/>
        </w:numPr>
        <w:spacing w:before="100" w:beforeAutospacing="1" w:after="100" w:afterAutospacing="1"/>
      </w:pPr>
      <w:proofErr w:type="spellStart"/>
      <w:r w:rsidRPr="00C341F2">
        <w:rPr>
          <w:b/>
          <w:bCs/>
        </w:rPr>
        <w:t>Centros</w:t>
      </w:r>
      <w:proofErr w:type="spellEnd"/>
      <w:r w:rsidRPr="00C341F2">
        <w:rPr>
          <w:b/>
          <w:bCs/>
        </w:rPr>
        <w:t xml:space="preserve"> and Daily Mail</w:t>
      </w:r>
      <w:r w:rsidRPr="00C341F2">
        <w:t xml:space="preserve">: Address </w:t>
      </w:r>
      <w:r w:rsidRPr="00C341F2">
        <w:rPr>
          <w:b/>
          <w:bCs/>
        </w:rPr>
        <w:t>establishment or exit without conversion</w:t>
      </w:r>
      <w:r w:rsidRPr="00C341F2">
        <w:t xml:space="preserve">. </w:t>
      </w:r>
      <w:proofErr w:type="spellStart"/>
      <w:r w:rsidRPr="00C341F2">
        <w:rPr>
          <w:i/>
          <w:iCs/>
        </w:rPr>
        <w:t>Centros</w:t>
      </w:r>
      <w:proofErr w:type="spellEnd"/>
      <w:r w:rsidRPr="00C341F2">
        <w:t xml:space="preserve"> involves secondary establishment (branch in Denmark) without altering UK incorporation. </w:t>
      </w:r>
      <w:r w:rsidRPr="00C341F2">
        <w:rPr>
          <w:i/>
          <w:iCs/>
        </w:rPr>
        <w:t>Daily Mail</w:t>
      </w:r>
      <w:r w:rsidRPr="00C341F2">
        <w:t xml:space="preserve"> concerns transferring central management to the Netherlands while retaining UK status. </w:t>
      </w:r>
    </w:p>
    <w:p w14:paraId="4A699E79" w14:textId="77777777" w:rsidR="00C341F2" w:rsidRPr="00C341F2" w:rsidRDefault="00C341F2" w:rsidP="00C341F2">
      <w:pPr>
        <w:numPr>
          <w:ilvl w:val="1"/>
          <w:numId w:val="80"/>
        </w:numPr>
        <w:spacing w:before="100" w:beforeAutospacing="1" w:after="100" w:afterAutospacing="1"/>
      </w:pPr>
      <w:r w:rsidRPr="00C341F2">
        <w:rPr>
          <w:b/>
          <w:bCs/>
        </w:rPr>
        <w:t>Implication</w:t>
      </w:r>
      <w:r w:rsidRPr="00C341F2">
        <w:t>: Involves mobility within the existing legal personality, simpler than conversion but still contentious for regulatory arbitrage.</w:t>
      </w:r>
    </w:p>
    <w:p w14:paraId="50F156B5" w14:textId="77777777" w:rsidR="00C341F2" w:rsidRPr="00C341F2" w:rsidRDefault="00C341F2" w:rsidP="00C341F2">
      <w:pPr>
        <w:spacing w:before="100" w:beforeAutospacing="1" w:after="100" w:afterAutospacing="1"/>
      </w:pPr>
      <w:r w:rsidRPr="00C341F2">
        <w:rPr>
          <w:b/>
          <w:bCs/>
        </w:rPr>
        <w:t>Analysis</w:t>
      </w:r>
      <w:r w:rsidRPr="00C341F2">
        <w:t xml:space="preserve">: </w:t>
      </w:r>
      <w:r w:rsidRPr="00C341F2">
        <w:rPr>
          <w:i/>
          <w:iCs/>
        </w:rPr>
        <w:t>Vale</w:t>
      </w:r>
      <w:r w:rsidRPr="00C341F2">
        <w:t xml:space="preserve"> and </w:t>
      </w:r>
      <w:proofErr w:type="spellStart"/>
      <w:r w:rsidRPr="00C341F2">
        <w:rPr>
          <w:i/>
          <w:iCs/>
        </w:rPr>
        <w:t>Polbud</w:t>
      </w:r>
      <w:proofErr w:type="spellEnd"/>
      <w:r w:rsidRPr="00C341F2">
        <w:t xml:space="preserve"> tackle the complex issue of legal transformation across borders, unlike </w:t>
      </w:r>
      <w:proofErr w:type="spellStart"/>
      <w:r w:rsidRPr="00C341F2">
        <w:rPr>
          <w:i/>
          <w:iCs/>
        </w:rPr>
        <w:t>Centros</w:t>
      </w:r>
      <w:r w:rsidRPr="00C341F2">
        <w:t>’s</w:t>
      </w:r>
      <w:proofErr w:type="spellEnd"/>
      <w:r w:rsidRPr="00C341F2">
        <w:t xml:space="preserve"> branch establishment or </w:t>
      </w:r>
      <w:r w:rsidRPr="00C341F2">
        <w:rPr>
          <w:i/>
          <w:iCs/>
        </w:rPr>
        <w:t>Daily Mail</w:t>
      </w:r>
      <w:r w:rsidRPr="00C341F2">
        <w:t>’s exit attempt. Conversion cases demand mutual recognition, making them more integrative than the establishment or exit scenarios.</w:t>
      </w:r>
    </w:p>
    <w:p w14:paraId="559833EC" w14:textId="77777777" w:rsidR="00C341F2" w:rsidRPr="00C341F2" w:rsidRDefault="00C341F2" w:rsidP="00C341F2">
      <w:pPr>
        <w:spacing w:before="100" w:beforeAutospacing="1" w:after="100" w:afterAutospacing="1"/>
        <w:outlineLvl w:val="3"/>
        <w:rPr>
          <w:b/>
          <w:bCs/>
        </w:rPr>
      </w:pPr>
      <w:r w:rsidRPr="00C341F2">
        <w:rPr>
          <w:b/>
          <w:bCs/>
        </w:rPr>
        <w:t>B. Legal Issues and Freedom of Establishment</w:t>
      </w:r>
    </w:p>
    <w:p w14:paraId="4B0CBA3A" w14:textId="77777777" w:rsidR="00C341F2" w:rsidRPr="00C341F2" w:rsidRDefault="00C341F2" w:rsidP="00C341F2">
      <w:pPr>
        <w:numPr>
          <w:ilvl w:val="0"/>
          <w:numId w:val="81"/>
        </w:numPr>
        <w:spacing w:before="100" w:beforeAutospacing="1" w:after="100" w:afterAutospacing="1"/>
      </w:pPr>
      <w:r w:rsidRPr="00C341F2">
        <w:rPr>
          <w:b/>
          <w:bCs/>
        </w:rPr>
        <w:t xml:space="preserve">Vale and </w:t>
      </w:r>
      <w:proofErr w:type="spellStart"/>
      <w:r w:rsidRPr="00C341F2">
        <w:rPr>
          <w:b/>
          <w:bCs/>
        </w:rPr>
        <w:t>Polbud</w:t>
      </w:r>
      <w:proofErr w:type="spellEnd"/>
      <w:r w:rsidRPr="00C341F2">
        <w:t xml:space="preserve">: Extend Articles 49 and 54 TFEU to </w:t>
      </w:r>
      <w:r w:rsidRPr="00C341F2">
        <w:rPr>
          <w:b/>
          <w:bCs/>
        </w:rPr>
        <w:t>cross-border conversions</w:t>
      </w:r>
      <w:r w:rsidRPr="00C341F2">
        <w:t>, even without economic activity in the host state (</w:t>
      </w:r>
      <w:proofErr w:type="spellStart"/>
      <w:r w:rsidRPr="00C341F2">
        <w:rPr>
          <w:i/>
          <w:iCs/>
        </w:rPr>
        <w:t>Polbud</w:t>
      </w:r>
      <w:proofErr w:type="spellEnd"/>
      <w:r w:rsidRPr="00C341F2">
        <w:t xml:space="preserve">, para 41). </w:t>
      </w:r>
      <w:r w:rsidRPr="00C341F2">
        <w:rPr>
          <w:i/>
          <w:iCs/>
        </w:rPr>
        <w:t>Vale</w:t>
      </w:r>
      <w:r w:rsidRPr="00C341F2">
        <w:t xml:space="preserve"> requires host states to permit conversions if allowed domestically, applying equivalence (similar treatment) and effectiveness (feasible registration) (</w:t>
      </w:r>
      <w:r w:rsidRPr="00C341F2">
        <w:rPr>
          <w:i/>
          <w:iCs/>
        </w:rPr>
        <w:t>Vale</w:t>
      </w:r>
      <w:r w:rsidRPr="00C341F2">
        <w:t xml:space="preserve">, para 62). </w:t>
      </w:r>
      <w:proofErr w:type="spellStart"/>
      <w:r w:rsidRPr="00C341F2">
        <w:rPr>
          <w:i/>
          <w:iCs/>
        </w:rPr>
        <w:t>Polbud</w:t>
      </w:r>
      <w:proofErr w:type="spellEnd"/>
      <w:r w:rsidRPr="00C341F2">
        <w:t xml:space="preserve"> prohibits origin states from imposing disproportionate exit barriers like liquidation (</w:t>
      </w:r>
      <w:proofErr w:type="spellStart"/>
      <w:r w:rsidRPr="00C341F2">
        <w:rPr>
          <w:i/>
          <w:iCs/>
        </w:rPr>
        <w:t>Polbud</w:t>
      </w:r>
      <w:proofErr w:type="spellEnd"/>
      <w:r w:rsidRPr="00C341F2">
        <w:t>, para 65).</w:t>
      </w:r>
    </w:p>
    <w:p w14:paraId="42512693" w14:textId="77777777" w:rsidR="00C341F2" w:rsidRPr="00C341F2" w:rsidRDefault="00C341F2" w:rsidP="00C341F2">
      <w:pPr>
        <w:numPr>
          <w:ilvl w:val="0"/>
          <w:numId w:val="81"/>
        </w:numPr>
        <w:spacing w:before="100" w:beforeAutospacing="1" w:after="100" w:afterAutospacing="1"/>
      </w:pPr>
      <w:proofErr w:type="spellStart"/>
      <w:r w:rsidRPr="00C341F2">
        <w:rPr>
          <w:b/>
          <w:bCs/>
        </w:rPr>
        <w:t>Centros</w:t>
      </w:r>
      <w:proofErr w:type="spellEnd"/>
      <w:r w:rsidRPr="00C341F2">
        <w:rPr>
          <w:b/>
          <w:bCs/>
        </w:rPr>
        <w:t xml:space="preserve"> and Daily Mail</w:t>
      </w:r>
      <w:r w:rsidRPr="00C341F2">
        <w:t xml:space="preserve">: Focus on </w:t>
      </w:r>
      <w:r w:rsidRPr="00C341F2">
        <w:rPr>
          <w:b/>
          <w:bCs/>
        </w:rPr>
        <w:t>secondary establishment</w:t>
      </w:r>
      <w:r w:rsidRPr="00C341F2">
        <w:t xml:space="preserve"> (</w:t>
      </w:r>
      <w:proofErr w:type="spellStart"/>
      <w:r w:rsidRPr="00C341F2">
        <w:rPr>
          <w:i/>
          <w:iCs/>
        </w:rPr>
        <w:t>Centros</w:t>
      </w:r>
      <w:proofErr w:type="spellEnd"/>
      <w:r w:rsidRPr="00C341F2">
        <w:t xml:space="preserve">) or </w:t>
      </w:r>
      <w:r w:rsidRPr="00C341F2">
        <w:rPr>
          <w:b/>
          <w:bCs/>
        </w:rPr>
        <w:t>exit rights</w:t>
      </w:r>
      <w:r w:rsidRPr="00C341F2">
        <w:t xml:space="preserve"> (</w:t>
      </w:r>
      <w:r w:rsidRPr="00C341F2">
        <w:rPr>
          <w:i/>
          <w:iCs/>
        </w:rPr>
        <w:t>Daily Mail</w:t>
      </w:r>
      <w:r w:rsidRPr="00C341F2">
        <w:t xml:space="preserve">). </w:t>
      </w:r>
      <w:proofErr w:type="spellStart"/>
      <w:r w:rsidRPr="00C341F2">
        <w:rPr>
          <w:i/>
          <w:iCs/>
        </w:rPr>
        <w:t>Centros</w:t>
      </w:r>
      <w:proofErr w:type="spellEnd"/>
      <w:r w:rsidRPr="00C341F2">
        <w:t xml:space="preserve"> protects branch creation, rejecting host state restrictions based on arbitrage concerns (</w:t>
      </w:r>
      <w:proofErr w:type="spellStart"/>
      <w:r w:rsidRPr="00C341F2">
        <w:rPr>
          <w:i/>
          <w:iCs/>
        </w:rPr>
        <w:t>Centros</w:t>
      </w:r>
      <w:proofErr w:type="spellEnd"/>
      <w:r w:rsidRPr="00C341F2">
        <w:t xml:space="preserve">, para 30). </w:t>
      </w:r>
      <w:r w:rsidRPr="00C341F2">
        <w:rPr>
          <w:i/>
          <w:iCs/>
        </w:rPr>
        <w:t>Daily Mail</w:t>
      </w:r>
      <w:r w:rsidRPr="00C341F2">
        <w:t xml:space="preserve"> denies a Treaty-based exit right, deferring to national law absent EU harmonization (</w:t>
      </w:r>
      <w:r w:rsidRPr="00C341F2">
        <w:rPr>
          <w:i/>
          <w:iCs/>
        </w:rPr>
        <w:t>Daily Mail</w:t>
      </w:r>
      <w:r w:rsidRPr="00C341F2">
        <w:t>, para 24).</w:t>
      </w:r>
    </w:p>
    <w:p w14:paraId="3E41B7A2" w14:textId="77777777" w:rsidR="00C341F2" w:rsidRPr="00C341F2" w:rsidRDefault="00C341F2" w:rsidP="00C341F2">
      <w:pPr>
        <w:spacing w:before="100" w:beforeAutospacing="1" w:after="100" w:afterAutospacing="1"/>
      </w:pPr>
      <w:r w:rsidRPr="00C341F2">
        <w:rPr>
          <w:b/>
          <w:bCs/>
        </w:rPr>
        <w:t>Analysis</w:t>
      </w:r>
      <w:r w:rsidRPr="00C341F2">
        <w:t xml:space="preserve">: </w:t>
      </w:r>
      <w:r w:rsidRPr="00C341F2">
        <w:rPr>
          <w:i/>
          <w:iCs/>
        </w:rPr>
        <w:t>Vale</w:t>
      </w:r>
      <w:r w:rsidRPr="00C341F2">
        <w:t xml:space="preserve"> and </w:t>
      </w:r>
      <w:proofErr w:type="spellStart"/>
      <w:r w:rsidRPr="00C341F2">
        <w:rPr>
          <w:i/>
          <w:iCs/>
        </w:rPr>
        <w:t>Polbud</w:t>
      </w:r>
      <w:proofErr w:type="spellEnd"/>
      <w:r w:rsidRPr="00C341F2">
        <w:t xml:space="preserve"> broaden freedom of establishment to include conversion, overturning </w:t>
      </w:r>
      <w:r w:rsidRPr="00C341F2">
        <w:rPr>
          <w:i/>
          <w:iCs/>
        </w:rPr>
        <w:t>Daily Mail</w:t>
      </w:r>
      <w:r w:rsidRPr="00C341F2">
        <w:t xml:space="preserve">’s restrictive stance on exit and building on </w:t>
      </w:r>
      <w:proofErr w:type="spellStart"/>
      <w:r w:rsidRPr="00C341F2">
        <w:rPr>
          <w:i/>
          <w:iCs/>
        </w:rPr>
        <w:t>Centros</w:t>
      </w:r>
      <w:r w:rsidRPr="00C341F2">
        <w:t>’s</w:t>
      </w:r>
      <w:proofErr w:type="spellEnd"/>
      <w:r w:rsidRPr="00C341F2">
        <w:t xml:space="preserve"> liberal approach to establishment. They impose duties on both host (</w:t>
      </w:r>
      <w:r w:rsidRPr="00C341F2">
        <w:rPr>
          <w:i/>
          <w:iCs/>
        </w:rPr>
        <w:t>Vale</w:t>
      </w:r>
      <w:r w:rsidRPr="00C341F2">
        <w:t>) and origin (</w:t>
      </w:r>
      <w:proofErr w:type="spellStart"/>
      <w:r w:rsidRPr="00C341F2">
        <w:rPr>
          <w:i/>
          <w:iCs/>
        </w:rPr>
        <w:t>Polbud</w:t>
      </w:r>
      <w:proofErr w:type="spellEnd"/>
      <w:r w:rsidRPr="00C341F2">
        <w:t xml:space="preserve">) states, unlike the singular focus in </w:t>
      </w:r>
      <w:proofErr w:type="spellStart"/>
      <w:r w:rsidRPr="00C341F2">
        <w:rPr>
          <w:i/>
          <w:iCs/>
        </w:rPr>
        <w:t>Centros</w:t>
      </w:r>
      <w:proofErr w:type="spellEnd"/>
      <w:r w:rsidRPr="00C341F2">
        <w:t xml:space="preserve"> (host) or </w:t>
      </w:r>
      <w:r w:rsidRPr="00C341F2">
        <w:rPr>
          <w:i/>
          <w:iCs/>
        </w:rPr>
        <w:t>Daily Mail</w:t>
      </w:r>
      <w:r w:rsidRPr="00C341F2">
        <w:t xml:space="preserve"> (origin).</w:t>
      </w:r>
    </w:p>
    <w:p w14:paraId="7A2EA0B5" w14:textId="77777777" w:rsidR="00C341F2" w:rsidRPr="00C341F2" w:rsidRDefault="00C341F2" w:rsidP="00C341F2">
      <w:pPr>
        <w:spacing w:before="100" w:beforeAutospacing="1" w:after="100" w:afterAutospacing="1"/>
        <w:outlineLvl w:val="3"/>
        <w:rPr>
          <w:b/>
          <w:bCs/>
        </w:rPr>
      </w:pPr>
      <w:r w:rsidRPr="00C341F2">
        <w:rPr>
          <w:b/>
          <w:bCs/>
        </w:rPr>
        <w:t>C. Regulatory Arbitrage</w:t>
      </w:r>
    </w:p>
    <w:p w14:paraId="69D83E4E" w14:textId="77777777" w:rsidR="00C341F2" w:rsidRPr="00C341F2" w:rsidRDefault="00C341F2" w:rsidP="00C341F2">
      <w:pPr>
        <w:numPr>
          <w:ilvl w:val="0"/>
          <w:numId w:val="82"/>
        </w:numPr>
        <w:spacing w:before="100" w:beforeAutospacing="1" w:after="100" w:afterAutospacing="1"/>
      </w:pPr>
      <w:r w:rsidRPr="00C341F2">
        <w:rPr>
          <w:b/>
          <w:bCs/>
        </w:rPr>
        <w:t xml:space="preserve">Vale and </w:t>
      </w:r>
      <w:proofErr w:type="spellStart"/>
      <w:r w:rsidRPr="00C341F2">
        <w:rPr>
          <w:b/>
          <w:bCs/>
        </w:rPr>
        <w:t>Polbud</w:t>
      </w:r>
      <w:proofErr w:type="spellEnd"/>
      <w:r w:rsidRPr="00C341F2">
        <w:t xml:space="preserve">: Facilitate </w:t>
      </w:r>
      <w:r w:rsidRPr="00C341F2">
        <w:rPr>
          <w:b/>
          <w:bCs/>
        </w:rPr>
        <w:t>regulatory arbitrage</w:t>
      </w:r>
      <w:r w:rsidRPr="00C341F2">
        <w:t xml:space="preserve"> by allowing conversion to </w:t>
      </w:r>
      <w:proofErr w:type="spellStart"/>
      <w:r w:rsidRPr="00C341F2">
        <w:t>favorable</w:t>
      </w:r>
      <w:proofErr w:type="spellEnd"/>
      <w:r w:rsidRPr="00C341F2">
        <w:t xml:space="preserve"> legal regimes (</w:t>
      </w:r>
      <w:proofErr w:type="spellStart"/>
      <w:r w:rsidRPr="00C341F2">
        <w:rPr>
          <w:i/>
          <w:iCs/>
        </w:rPr>
        <w:t>Polbud</w:t>
      </w:r>
      <w:proofErr w:type="spellEnd"/>
      <w:r w:rsidRPr="00C341F2">
        <w:t xml:space="preserve">: Luxembourg; </w:t>
      </w:r>
      <w:r w:rsidRPr="00C341F2">
        <w:rPr>
          <w:i/>
          <w:iCs/>
        </w:rPr>
        <w:t>Vale</w:t>
      </w:r>
      <w:r w:rsidRPr="00C341F2">
        <w:t xml:space="preserve">: Hungary). The CJEU deems this non-abusive, but </w:t>
      </w:r>
      <w:r w:rsidRPr="00C341F2">
        <w:rPr>
          <w:i/>
          <w:iCs/>
        </w:rPr>
        <w:t>Vale</w:t>
      </w:r>
      <w:r w:rsidRPr="00C341F2">
        <w:t xml:space="preserve"> balances it with equivalence and effectiveness to ensure regulatory oversight (</w:t>
      </w:r>
      <w:r w:rsidRPr="00C341F2">
        <w:rPr>
          <w:i/>
          <w:iCs/>
        </w:rPr>
        <w:t>Vale</w:t>
      </w:r>
      <w:r w:rsidRPr="00C341F2">
        <w:t xml:space="preserve">, para 55; </w:t>
      </w:r>
      <w:proofErr w:type="spellStart"/>
      <w:r w:rsidRPr="00C341F2">
        <w:rPr>
          <w:i/>
          <w:iCs/>
        </w:rPr>
        <w:t>Polbud</w:t>
      </w:r>
      <w:proofErr w:type="spellEnd"/>
      <w:r w:rsidRPr="00C341F2">
        <w:t>, para 63).</w:t>
      </w:r>
    </w:p>
    <w:p w14:paraId="27DB2E99" w14:textId="77777777" w:rsidR="00C341F2" w:rsidRPr="00C341F2" w:rsidRDefault="00C341F2" w:rsidP="00C341F2">
      <w:pPr>
        <w:numPr>
          <w:ilvl w:val="0"/>
          <w:numId w:val="82"/>
        </w:numPr>
        <w:spacing w:before="100" w:beforeAutospacing="1" w:after="100" w:afterAutospacing="1"/>
      </w:pPr>
      <w:proofErr w:type="spellStart"/>
      <w:r w:rsidRPr="00C341F2">
        <w:rPr>
          <w:b/>
          <w:bCs/>
        </w:rPr>
        <w:t>Centros</w:t>
      </w:r>
      <w:proofErr w:type="spellEnd"/>
      <w:r w:rsidRPr="00C341F2">
        <w:rPr>
          <w:b/>
          <w:bCs/>
        </w:rPr>
        <w:t xml:space="preserve"> and Daily Mail</w:t>
      </w:r>
      <w:r w:rsidRPr="00C341F2">
        <w:t xml:space="preserve">: </w:t>
      </w:r>
      <w:proofErr w:type="spellStart"/>
      <w:r w:rsidRPr="00C341F2">
        <w:rPr>
          <w:i/>
          <w:iCs/>
        </w:rPr>
        <w:t>Centros</w:t>
      </w:r>
      <w:proofErr w:type="spellEnd"/>
      <w:r w:rsidRPr="00C341F2">
        <w:t xml:space="preserve"> endorses arbitrage, allowing incorporation in the UK to bypass Danish rules (</w:t>
      </w:r>
      <w:proofErr w:type="spellStart"/>
      <w:r w:rsidRPr="00C341F2">
        <w:rPr>
          <w:i/>
          <w:iCs/>
        </w:rPr>
        <w:t>Centros</w:t>
      </w:r>
      <w:proofErr w:type="spellEnd"/>
      <w:r w:rsidRPr="00C341F2">
        <w:t xml:space="preserve">, para 27). </w:t>
      </w:r>
      <w:r w:rsidRPr="00C341F2">
        <w:rPr>
          <w:i/>
          <w:iCs/>
        </w:rPr>
        <w:t>Daily Mail</w:t>
      </w:r>
      <w:r w:rsidRPr="00C341F2">
        <w:t xml:space="preserve"> restricts arbitrage by upholding UK exit controls to prevent tax avoidance (</w:t>
      </w:r>
      <w:r w:rsidRPr="00C341F2">
        <w:rPr>
          <w:i/>
          <w:iCs/>
        </w:rPr>
        <w:t>Daily Mail</w:t>
      </w:r>
      <w:r w:rsidRPr="00C341F2">
        <w:t>, para 7).</w:t>
      </w:r>
    </w:p>
    <w:p w14:paraId="1E976B84" w14:textId="77777777" w:rsidR="00C341F2" w:rsidRPr="00C341F2" w:rsidRDefault="00C341F2" w:rsidP="00C341F2">
      <w:pPr>
        <w:spacing w:before="100" w:beforeAutospacing="1" w:after="100" w:afterAutospacing="1"/>
      </w:pPr>
      <w:r w:rsidRPr="00C341F2">
        <w:rPr>
          <w:b/>
          <w:bCs/>
        </w:rPr>
        <w:t>Analysis</w:t>
      </w:r>
      <w:r w:rsidRPr="00C341F2">
        <w:t xml:space="preserve">: </w:t>
      </w:r>
      <w:r w:rsidRPr="00C341F2">
        <w:rPr>
          <w:i/>
          <w:iCs/>
        </w:rPr>
        <w:t>Vale</w:t>
      </w:r>
      <w:r w:rsidRPr="00C341F2">
        <w:t xml:space="preserve"> and </w:t>
      </w:r>
      <w:proofErr w:type="spellStart"/>
      <w:r w:rsidRPr="00C341F2">
        <w:rPr>
          <w:i/>
          <w:iCs/>
        </w:rPr>
        <w:t>Polbud</w:t>
      </w:r>
      <w:proofErr w:type="spellEnd"/>
      <w:r w:rsidRPr="00C341F2">
        <w:t xml:space="preserve"> align with </w:t>
      </w:r>
      <w:proofErr w:type="spellStart"/>
      <w:r w:rsidRPr="00C341F2">
        <w:rPr>
          <w:i/>
          <w:iCs/>
        </w:rPr>
        <w:t>Centros</w:t>
      </w:r>
      <w:proofErr w:type="spellEnd"/>
      <w:r w:rsidRPr="00C341F2">
        <w:t xml:space="preserve"> in supporting arbitrage but go further by enabling full legal reincorporation, not just branch establishment. </w:t>
      </w:r>
      <w:proofErr w:type="spellStart"/>
      <w:r w:rsidRPr="00C341F2">
        <w:rPr>
          <w:i/>
          <w:iCs/>
        </w:rPr>
        <w:t>Polbud</w:t>
      </w:r>
      <w:proofErr w:type="spellEnd"/>
      <w:r w:rsidRPr="00C341F2">
        <w:t xml:space="preserve"> reverses </w:t>
      </w:r>
      <w:r w:rsidRPr="00C341F2">
        <w:rPr>
          <w:i/>
          <w:iCs/>
        </w:rPr>
        <w:t>Daily Mail</w:t>
      </w:r>
      <w:r w:rsidRPr="00C341F2">
        <w:t>’s deference to origin state restrictions, promoting mobility but challenging regulatory control.</w:t>
      </w:r>
    </w:p>
    <w:p w14:paraId="320468D1" w14:textId="77777777" w:rsidR="00C341F2" w:rsidRPr="00C341F2" w:rsidRDefault="00C341F2" w:rsidP="00C341F2">
      <w:pPr>
        <w:spacing w:before="100" w:beforeAutospacing="1" w:after="100" w:afterAutospacing="1"/>
        <w:outlineLvl w:val="3"/>
        <w:rPr>
          <w:b/>
          <w:bCs/>
        </w:rPr>
      </w:pPr>
      <w:r w:rsidRPr="00C341F2">
        <w:rPr>
          <w:b/>
          <w:bCs/>
        </w:rPr>
        <w:lastRenderedPageBreak/>
        <w:t>D. Implications for Mobility</w:t>
      </w:r>
    </w:p>
    <w:p w14:paraId="6E35E6CD" w14:textId="77777777" w:rsidR="00C341F2" w:rsidRPr="00C341F2" w:rsidRDefault="00C341F2" w:rsidP="00C341F2">
      <w:pPr>
        <w:numPr>
          <w:ilvl w:val="0"/>
          <w:numId w:val="83"/>
        </w:numPr>
        <w:spacing w:before="100" w:beforeAutospacing="1" w:after="100" w:afterAutospacing="1"/>
      </w:pPr>
      <w:r w:rsidRPr="00C341F2">
        <w:rPr>
          <w:b/>
          <w:bCs/>
        </w:rPr>
        <w:t xml:space="preserve">Vale and </w:t>
      </w:r>
      <w:proofErr w:type="spellStart"/>
      <w:r w:rsidRPr="00C341F2">
        <w:rPr>
          <w:b/>
          <w:bCs/>
        </w:rPr>
        <w:t>Polbud</w:t>
      </w:r>
      <w:proofErr w:type="spellEnd"/>
      <w:r w:rsidRPr="00C341F2">
        <w:t xml:space="preserve">: Enhance </w:t>
      </w:r>
      <w:r w:rsidRPr="00C341F2">
        <w:rPr>
          <w:b/>
          <w:bCs/>
        </w:rPr>
        <w:t>company mobility</w:t>
      </w:r>
      <w:r w:rsidRPr="00C341F2">
        <w:t xml:space="preserve"> by recognizing conversion rights, limiting origin state barriers (</w:t>
      </w:r>
      <w:proofErr w:type="spellStart"/>
      <w:r w:rsidRPr="00C341F2">
        <w:rPr>
          <w:i/>
          <w:iCs/>
        </w:rPr>
        <w:t>Polbud</w:t>
      </w:r>
      <w:proofErr w:type="spellEnd"/>
      <w:r w:rsidRPr="00C341F2">
        <w:t>), and requiring host state accommodation (</w:t>
      </w:r>
      <w:r w:rsidRPr="00C341F2">
        <w:rPr>
          <w:i/>
          <w:iCs/>
        </w:rPr>
        <w:t>Vale</w:t>
      </w:r>
      <w:r w:rsidRPr="00C341F2">
        <w:t>). They promote competition but ensure some oversight via equivalence.</w:t>
      </w:r>
    </w:p>
    <w:p w14:paraId="24E42E40" w14:textId="77777777" w:rsidR="00C341F2" w:rsidRPr="00C341F2" w:rsidRDefault="00C341F2" w:rsidP="00C341F2">
      <w:pPr>
        <w:numPr>
          <w:ilvl w:val="0"/>
          <w:numId w:val="83"/>
        </w:numPr>
        <w:spacing w:before="100" w:beforeAutospacing="1" w:after="100" w:afterAutospacing="1"/>
      </w:pPr>
      <w:proofErr w:type="spellStart"/>
      <w:r w:rsidRPr="00C341F2">
        <w:rPr>
          <w:b/>
          <w:bCs/>
        </w:rPr>
        <w:t>Centros</w:t>
      </w:r>
      <w:proofErr w:type="spellEnd"/>
      <w:r w:rsidRPr="00C341F2">
        <w:rPr>
          <w:b/>
          <w:bCs/>
        </w:rPr>
        <w:t xml:space="preserve"> and Daily Mail</w:t>
      </w:r>
      <w:r w:rsidRPr="00C341F2">
        <w:t xml:space="preserve">: </w:t>
      </w:r>
      <w:proofErr w:type="spellStart"/>
      <w:r w:rsidRPr="00C341F2">
        <w:rPr>
          <w:i/>
          <w:iCs/>
        </w:rPr>
        <w:t>Centros</w:t>
      </w:r>
      <w:proofErr w:type="spellEnd"/>
      <w:r w:rsidRPr="00C341F2">
        <w:t xml:space="preserve"> boosts mobility for secondary establishment, while </w:t>
      </w:r>
      <w:r w:rsidRPr="00C341F2">
        <w:rPr>
          <w:i/>
          <w:iCs/>
        </w:rPr>
        <w:t>Daily Mail</w:t>
      </w:r>
      <w:r w:rsidRPr="00C341F2">
        <w:t xml:space="preserve"> limits it by upholding exit restrictions.</w:t>
      </w:r>
    </w:p>
    <w:p w14:paraId="46F4396D" w14:textId="3F3CFF3A" w:rsidR="00210513" w:rsidRPr="00C341F2" w:rsidRDefault="00C341F2" w:rsidP="00C341F2">
      <w:pPr>
        <w:spacing w:before="100" w:beforeAutospacing="1" w:after="100" w:afterAutospacing="1"/>
      </w:pPr>
      <w:r w:rsidRPr="00C341F2">
        <w:rPr>
          <w:b/>
          <w:bCs/>
        </w:rPr>
        <w:t>Analysis</w:t>
      </w:r>
      <w:r w:rsidRPr="00C341F2">
        <w:t xml:space="preserve">: </w:t>
      </w:r>
      <w:r w:rsidRPr="00C341F2">
        <w:rPr>
          <w:i/>
          <w:iCs/>
        </w:rPr>
        <w:t>Vale</w:t>
      </w:r>
      <w:r w:rsidRPr="00C341F2">
        <w:t xml:space="preserve"> and </w:t>
      </w:r>
      <w:proofErr w:type="spellStart"/>
      <w:r w:rsidRPr="00C341F2">
        <w:rPr>
          <w:i/>
          <w:iCs/>
        </w:rPr>
        <w:t>Polbud</w:t>
      </w:r>
      <w:proofErr w:type="spellEnd"/>
      <w:r w:rsidRPr="00C341F2">
        <w:t xml:space="preserve"> advance mobility beyond </w:t>
      </w:r>
      <w:proofErr w:type="spellStart"/>
      <w:r w:rsidRPr="00C341F2">
        <w:rPr>
          <w:i/>
          <w:iCs/>
        </w:rPr>
        <w:t>Centros</w:t>
      </w:r>
      <w:r w:rsidRPr="00C341F2">
        <w:t>’s</w:t>
      </w:r>
      <w:proofErr w:type="spellEnd"/>
      <w:r w:rsidRPr="00C341F2">
        <w:t xml:space="preserve"> branch focus and </w:t>
      </w:r>
      <w:r w:rsidRPr="00C341F2">
        <w:rPr>
          <w:i/>
          <w:iCs/>
        </w:rPr>
        <w:t>Daily Mail</w:t>
      </w:r>
      <w:r w:rsidRPr="00C341F2">
        <w:t>’s conservatism, fostering deeper market integration. However, they risk reducing Member State autonomy, as conversion requires harmonized treatment across jurisdictions.</w:t>
      </w:r>
    </w:p>
    <w:p w14:paraId="2E83DBAC" w14:textId="77777777" w:rsidR="00794072" w:rsidRPr="00C341F2" w:rsidRDefault="00794072" w:rsidP="00794072">
      <w:pPr>
        <w:pStyle w:val="NormalWeb"/>
        <w:numPr>
          <w:ilvl w:val="0"/>
          <w:numId w:val="1"/>
        </w:numPr>
      </w:pPr>
      <w:r w:rsidRPr="00C341F2">
        <w:t xml:space="preserve">What are the most important decisions by the Court of Justice on the free movement of goods? Can you explain why you think that these decisions are important? </w:t>
      </w:r>
    </w:p>
    <w:p w14:paraId="17276B5A" w14:textId="77777777" w:rsidR="0074168A" w:rsidRPr="0074168A" w:rsidRDefault="0074168A" w:rsidP="0074168A">
      <w:pPr>
        <w:spacing w:before="100" w:beforeAutospacing="1" w:after="100" w:afterAutospacing="1"/>
        <w:outlineLvl w:val="3"/>
        <w:rPr>
          <w:b/>
          <w:bCs/>
        </w:rPr>
      </w:pPr>
      <w:r w:rsidRPr="0074168A">
        <w:rPr>
          <w:b/>
          <w:bCs/>
        </w:rPr>
        <w:t xml:space="preserve">1. Procureur du Roi v </w:t>
      </w:r>
      <w:proofErr w:type="spellStart"/>
      <w:r w:rsidRPr="0074168A">
        <w:rPr>
          <w:b/>
          <w:bCs/>
        </w:rPr>
        <w:t>Dassonville</w:t>
      </w:r>
      <w:proofErr w:type="spellEnd"/>
      <w:r w:rsidRPr="0074168A">
        <w:rPr>
          <w:b/>
          <w:bCs/>
        </w:rPr>
        <w:t xml:space="preserve"> (Case 8/74) [1974] ECR 837</w:t>
      </w:r>
    </w:p>
    <w:p w14:paraId="5E4E0CEC" w14:textId="77777777" w:rsidR="0074168A" w:rsidRPr="0074168A" w:rsidRDefault="0074168A" w:rsidP="0074168A">
      <w:pPr>
        <w:spacing w:before="100" w:beforeAutospacing="1" w:after="100" w:afterAutospacing="1"/>
      </w:pPr>
      <w:r w:rsidRPr="0074168A">
        <w:rPr>
          <w:b/>
          <w:bCs/>
        </w:rPr>
        <w:t>Facts</w:t>
      </w:r>
      <w:r w:rsidRPr="0074168A">
        <w:t>: Belgian legislation required imported goods bearing a designation of origin to be accompanied by a certificate issued by the state of origin. Traders importing Scotch whisky from France into Belgium were prosecuted for non-compliance and argued that the requirement was a measure equivalent to a quantitative restriction (MEQR) under Article 34 TFEU (</w:t>
      </w:r>
      <w:proofErr w:type="spellStart"/>
      <w:r w:rsidRPr="0074168A">
        <w:rPr>
          <w:i/>
          <w:iCs/>
        </w:rPr>
        <w:t>Dassonville</w:t>
      </w:r>
      <w:proofErr w:type="spellEnd"/>
      <w:r w:rsidRPr="0074168A">
        <w:t xml:space="preserve"> text).</w:t>
      </w:r>
    </w:p>
    <w:p w14:paraId="7352A088" w14:textId="77777777" w:rsidR="0074168A" w:rsidRPr="0074168A" w:rsidRDefault="0074168A" w:rsidP="0074168A">
      <w:pPr>
        <w:spacing w:before="100" w:beforeAutospacing="1" w:after="100" w:afterAutospacing="1"/>
      </w:pPr>
      <w:r w:rsidRPr="0074168A">
        <w:rPr>
          <w:b/>
          <w:bCs/>
        </w:rPr>
        <w:t>Held</w:t>
      </w:r>
      <w:r w:rsidRPr="0074168A">
        <w:t>: The CJEU defined MEQRs as “all trading rules enacted by Member States which are capable of hindering, directly or indirectly, actually or potentially, intra-Community trade.” The Belgian certificate requirement was a distinctly applicable MEQR, breaching Article 34 TFEU, as it imposed an additional burden on imports (</w:t>
      </w:r>
      <w:proofErr w:type="spellStart"/>
      <w:r w:rsidRPr="0074168A">
        <w:rPr>
          <w:i/>
          <w:iCs/>
        </w:rPr>
        <w:t>Dassonville</w:t>
      </w:r>
      <w:proofErr w:type="spellEnd"/>
      <w:r w:rsidRPr="0074168A">
        <w:t xml:space="preserve"> text).</w:t>
      </w:r>
    </w:p>
    <w:p w14:paraId="43E589B3" w14:textId="77777777" w:rsidR="0074168A" w:rsidRPr="0074168A" w:rsidRDefault="0074168A" w:rsidP="0074168A">
      <w:pPr>
        <w:spacing w:before="100" w:beforeAutospacing="1" w:after="100" w:afterAutospacing="1"/>
      </w:pPr>
      <w:r w:rsidRPr="0074168A">
        <w:rPr>
          <w:b/>
          <w:bCs/>
        </w:rPr>
        <w:t>Importance</w:t>
      </w:r>
      <w:r w:rsidRPr="0074168A">
        <w:t>:</w:t>
      </w:r>
    </w:p>
    <w:p w14:paraId="57E08173" w14:textId="77777777" w:rsidR="0074168A" w:rsidRPr="0074168A" w:rsidRDefault="0074168A" w:rsidP="0074168A">
      <w:pPr>
        <w:numPr>
          <w:ilvl w:val="0"/>
          <w:numId w:val="99"/>
        </w:numPr>
        <w:spacing w:before="100" w:beforeAutospacing="1" w:after="100" w:afterAutospacing="1"/>
      </w:pPr>
      <w:r w:rsidRPr="0074168A">
        <w:rPr>
          <w:b/>
          <w:bCs/>
        </w:rPr>
        <w:t>Broad MEQR Definition</w:t>
      </w:r>
      <w:r w:rsidRPr="0074168A">
        <w:t xml:space="preserve">: The </w:t>
      </w:r>
      <w:proofErr w:type="spellStart"/>
      <w:r w:rsidRPr="0074168A">
        <w:rPr>
          <w:i/>
          <w:iCs/>
        </w:rPr>
        <w:t>Dassonville</w:t>
      </w:r>
      <w:proofErr w:type="spellEnd"/>
      <w:r w:rsidRPr="0074168A">
        <w:t xml:space="preserve"> formula established a wide-ranging test for identifying MEQRs, encompassing any rule that could potentially hinder trade, whether through direct barriers (e.g., import quotas) or indirect ones (e.g., administrative requirements). This breadth was critical because it allowed the CJEU to scrutinize diverse national measures, ensuring robust enforcement of Article 34 TFEU. For example, in </w:t>
      </w:r>
      <w:proofErr w:type="spellStart"/>
      <w:r w:rsidRPr="0074168A">
        <w:rPr>
          <w:i/>
          <w:iCs/>
        </w:rPr>
        <w:t>Rewe-Zentralfinanz</w:t>
      </w:r>
      <w:proofErr w:type="spellEnd"/>
      <w:r w:rsidRPr="0074168A">
        <w:rPr>
          <w:i/>
          <w:iCs/>
        </w:rPr>
        <w:t xml:space="preserve"> v </w:t>
      </w:r>
      <w:proofErr w:type="spellStart"/>
      <w:r w:rsidRPr="0074168A">
        <w:rPr>
          <w:i/>
          <w:iCs/>
        </w:rPr>
        <w:t>Landwirtschaftskammer</w:t>
      </w:r>
      <w:proofErr w:type="spellEnd"/>
      <w:r w:rsidRPr="0074168A">
        <w:rPr>
          <w:i/>
          <w:iCs/>
        </w:rPr>
        <w:t xml:space="preserve"> Bonn (San Jose Scale)</w:t>
      </w:r>
      <w:r w:rsidRPr="0074168A">
        <w:t xml:space="preserve">, Case 4/75, German inspections applied only to imported apples were ruled MEQRs, illustrating how </w:t>
      </w:r>
      <w:proofErr w:type="spellStart"/>
      <w:r w:rsidRPr="0074168A">
        <w:rPr>
          <w:i/>
          <w:iCs/>
        </w:rPr>
        <w:t>Dassonville</w:t>
      </w:r>
      <w:r w:rsidRPr="0074168A">
        <w:t>’s</w:t>
      </w:r>
      <w:proofErr w:type="spellEnd"/>
      <w:r w:rsidRPr="0074168A">
        <w:t xml:space="preserve"> formula captured discriminatory measures. This expansive scope is important because it laid the foundation for negative integration, enabling traders to challenge protectionist rules across Member States, thus fostering a unified market (</w:t>
      </w:r>
      <w:proofErr w:type="spellStart"/>
      <w:r w:rsidRPr="0074168A">
        <w:rPr>
          <w:i/>
          <w:iCs/>
        </w:rPr>
        <w:t>Lianos</w:t>
      </w:r>
      <w:proofErr w:type="spellEnd"/>
      <w:r w:rsidRPr="0074168A">
        <w:rPr>
          <w:i/>
          <w:iCs/>
        </w:rPr>
        <w:t>, In Memoriam Keck</w:t>
      </w:r>
      <w:r w:rsidRPr="0074168A">
        <w:t>, p. 226).</w:t>
      </w:r>
    </w:p>
    <w:p w14:paraId="5AD3086B" w14:textId="77777777" w:rsidR="0074168A" w:rsidRPr="0074168A" w:rsidRDefault="0074168A" w:rsidP="0074168A">
      <w:pPr>
        <w:numPr>
          <w:ilvl w:val="0"/>
          <w:numId w:val="99"/>
        </w:numPr>
        <w:spacing w:before="100" w:beforeAutospacing="1" w:after="100" w:afterAutospacing="1"/>
      </w:pPr>
      <w:r w:rsidRPr="0074168A">
        <w:rPr>
          <w:b/>
          <w:bCs/>
        </w:rPr>
        <w:t>Catalyst for Market Integration</w:t>
      </w:r>
      <w:r w:rsidRPr="0074168A">
        <w:t xml:space="preserve">: By targeting even potential trade barriers, </w:t>
      </w:r>
      <w:proofErr w:type="spellStart"/>
      <w:r w:rsidRPr="0074168A">
        <w:rPr>
          <w:i/>
          <w:iCs/>
        </w:rPr>
        <w:t>Dassonville</w:t>
      </w:r>
      <w:proofErr w:type="spellEnd"/>
      <w:r w:rsidRPr="0074168A">
        <w:t xml:space="preserve"> promoted the free flow of goods, a cornerstone of the internal market. The case’s principle was applied in </w:t>
      </w:r>
      <w:r w:rsidRPr="0074168A">
        <w:rPr>
          <w:i/>
          <w:iCs/>
        </w:rPr>
        <w:t>Commission v Ireland (‘Buy Irish’ Campaign)</w:t>
      </w:r>
      <w:r w:rsidRPr="0074168A">
        <w:t xml:space="preserve">, Case 249/81, where a state-backed campaign promoting domestic products was struck down as an MEQR, demonstrating how </w:t>
      </w:r>
      <w:proofErr w:type="spellStart"/>
      <w:r w:rsidRPr="0074168A">
        <w:rPr>
          <w:i/>
          <w:iCs/>
        </w:rPr>
        <w:t>Dassonville</w:t>
      </w:r>
      <w:proofErr w:type="spellEnd"/>
      <w:r w:rsidRPr="0074168A">
        <w:t xml:space="preserve"> prevented Member States from </w:t>
      </w:r>
      <w:proofErr w:type="spellStart"/>
      <w:r w:rsidRPr="0074168A">
        <w:t>favoring</w:t>
      </w:r>
      <w:proofErr w:type="spellEnd"/>
      <w:r w:rsidRPr="0074168A">
        <w:t xml:space="preserve"> local goods. This is significant because it ensured that goods could move freely without arbitrary restrictions, directly advancing economic integration. The formula’s influence persists in modern cases like </w:t>
      </w:r>
      <w:r w:rsidRPr="0074168A">
        <w:rPr>
          <w:i/>
          <w:iCs/>
        </w:rPr>
        <w:t>Commission v Poland</w:t>
      </w:r>
      <w:r w:rsidRPr="0074168A">
        <w:t xml:space="preserve">, Case C-639/11, where right-hand drive car restrictions were assessed under a </w:t>
      </w:r>
      <w:proofErr w:type="spellStart"/>
      <w:r w:rsidRPr="0074168A">
        <w:rPr>
          <w:i/>
          <w:iCs/>
        </w:rPr>
        <w:t>Dassonville</w:t>
      </w:r>
      <w:proofErr w:type="spellEnd"/>
      <w:r w:rsidRPr="0074168A">
        <w:t>-</w:t>
      </w:r>
      <w:r w:rsidRPr="0074168A">
        <w:lastRenderedPageBreak/>
        <w:t>style approach, highlighting its enduring role in dismantling trade barriers (</w:t>
      </w:r>
      <w:proofErr w:type="spellStart"/>
      <w:r w:rsidRPr="0074168A">
        <w:rPr>
          <w:i/>
          <w:iCs/>
        </w:rPr>
        <w:t>Lianos</w:t>
      </w:r>
      <w:proofErr w:type="spellEnd"/>
      <w:r w:rsidRPr="0074168A">
        <w:rPr>
          <w:i/>
          <w:iCs/>
        </w:rPr>
        <w:t>, In Memoriam Keck</w:t>
      </w:r>
      <w:r w:rsidRPr="0074168A">
        <w:t>, p. 235).</w:t>
      </w:r>
    </w:p>
    <w:p w14:paraId="6CF6E36F" w14:textId="77777777" w:rsidR="0074168A" w:rsidRPr="0074168A" w:rsidRDefault="0074168A" w:rsidP="0074168A">
      <w:pPr>
        <w:numPr>
          <w:ilvl w:val="0"/>
          <w:numId w:val="99"/>
        </w:numPr>
        <w:spacing w:before="100" w:beforeAutospacing="1" w:after="100" w:afterAutospacing="1"/>
      </w:pPr>
      <w:r w:rsidRPr="0074168A">
        <w:rPr>
          <w:b/>
          <w:bCs/>
        </w:rPr>
        <w:t>Regulatory Tension and Evolution</w:t>
      </w:r>
      <w:r w:rsidRPr="0074168A">
        <w:t xml:space="preserve">: The broad definition sparked debates over Member State autonomy, as it subjected many national rules to justification requirements, increasing regulatory scrutiny. This tension led to </w:t>
      </w:r>
      <w:r w:rsidRPr="0074168A">
        <w:rPr>
          <w:i/>
          <w:iCs/>
        </w:rPr>
        <w:t xml:space="preserve">Keck and </w:t>
      </w:r>
      <w:proofErr w:type="spellStart"/>
      <w:r w:rsidRPr="0074168A">
        <w:rPr>
          <w:i/>
          <w:iCs/>
        </w:rPr>
        <w:t>Mithouard</w:t>
      </w:r>
      <w:proofErr w:type="spellEnd"/>
      <w:r w:rsidRPr="0074168A">
        <w:t xml:space="preserve">, Cases C-267 &amp; 268/91, which sought to limit Article 34 TFEU’s scope by excluding certain selling arrangements. </w:t>
      </w:r>
      <w:proofErr w:type="spellStart"/>
      <w:r w:rsidRPr="0074168A">
        <w:rPr>
          <w:i/>
          <w:iCs/>
        </w:rPr>
        <w:t>Dassonville</w:t>
      </w:r>
      <w:r w:rsidRPr="0074168A">
        <w:t>’s</w:t>
      </w:r>
      <w:proofErr w:type="spellEnd"/>
      <w:r w:rsidRPr="0074168A">
        <w:t xml:space="preserve"> importance lies in prompting this judicial evolution, as its expansive approach necessitated refinements to balance trade liberalization with Member State sovereignty. Unlike </w:t>
      </w:r>
      <w:r w:rsidRPr="0074168A">
        <w:rPr>
          <w:i/>
          <w:iCs/>
        </w:rPr>
        <w:t>Keck</w:t>
      </w:r>
      <w:r w:rsidRPr="0074168A">
        <w:t xml:space="preserve">, which narrowed scrutiny for specific rules, </w:t>
      </w:r>
      <w:proofErr w:type="spellStart"/>
      <w:r w:rsidRPr="0074168A">
        <w:rPr>
          <w:i/>
          <w:iCs/>
        </w:rPr>
        <w:t>Dassonville</w:t>
      </w:r>
      <w:r w:rsidRPr="0074168A">
        <w:t>’s</w:t>
      </w:r>
      <w:proofErr w:type="spellEnd"/>
      <w:r w:rsidRPr="0074168A">
        <w:t xml:space="preserve"> principle remains the default test for non-categorized measures, underscoring its foundational impact (</w:t>
      </w:r>
      <w:proofErr w:type="spellStart"/>
      <w:r w:rsidRPr="0074168A">
        <w:rPr>
          <w:i/>
          <w:iCs/>
        </w:rPr>
        <w:t>Lianos</w:t>
      </w:r>
      <w:proofErr w:type="spellEnd"/>
      <w:r w:rsidRPr="0074168A">
        <w:rPr>
          <w:i/>
          <w:iCs/>
        </w:rPr>
        <w:t>, In Memoriam Keck</w:t>
      </w:r>
      <w:r w:rsidRPr="0074168A">
        <w:t>, p. 227).</w:t>
      </w:r>
    </w:p>
    <w:p w14:paraId="56800F1C" w14:textId="77777777" w:rsidR="0074168A" w:rsidRPr="0074168A" w:rsidRDefault="0074168A" w:rsidP="0074168A">
      <w:pPr>
        <w:spacing w:before="100" w:beforeAutospacing="1" w:after="100" w:afterAutospacing="1"/>
        <w:outlineLvl w:val="3"/>
        <w:rPr>
          <w:b/>
          <w:bCs/>
        </w:rPr>
      </w:pPr>
      <w:r w:rsidRPr="0074168A">
        <w:rPr>
          <w:b/>
          <w:bCs/>
        </w:rPr>
        <w:t xml:space="preserve">2. </w:t>
      </w:r>
      <w:proofErr w:type="spellStart"/>
      <w:r w:rsidRPr="0074168A">
        <w:rPr>
          <w:b/>
          <w:bCs/>
        </w:rPr>
        <w:t>Rewe-Zentral</w:t>
      </w:r>
      <w:proofErr w:type="spellEnd"/>
      <w:r w:rsidRPr="0074168A">
        <w:rPr>
          <w:b/>
          <w:bCs/>
        </w:rPr>
        <w:t xml:space="preserve"> AG v </w:t>
      </w:r>
      <w:proofErr w:type="spellStart"/>
      <w:r w:rsidRPr="0074168A">
        <w:rPr>
          <w:b/>
          <w:bCs/>
        </w:rPr>
        <w:t>Bundesmonopolverwaltung</w:t>
      </w:r>
      <w:proofErr w:type="spellEnd"/>
      <w:r w:rsidRPr="0074168A">
        <w:rPr>
          <w:b/>
          <w:bCs/>
        </w:rPr>
        <w:t xml:space="preserve"> für </w:t>
      </w:r>
      <w:proofErr w:type="spellStart"/>
      <w:r w:rsidRPr="0074168A">
        <w:rPr>
          <w:b/>
          <w:bCs/>
        </w:rPr>
        <w:t>Branntwein</w:t>
      </w:r>
      <w:proofErr w:type="spellEnd"/>
      <w:r w:rsidRPr="0074168A">
        <w:rPr>
          <w:b/>
          <w:bCs/>
        </w:rPr>
        <w:t xml:space="preserve"> (Cassis de Dijon) (Case 120/78) [1979] ECR 649</w:t>
      </w:r>
    </w:p>
    <w:p w14:paraId="09D093B2" w14:textId="77777777" w:rsidR="0074168A" w:rsidRPr="0074168A" w:rsidRDefault="0074168A" w:rsidP="0074168A">
      <w:pPr>
        <w:spacing w:before="100" w:beforeAutospacing="1" w:after="100" w:afterAutospacing="1"/>
      </w:pPr>
      <w:r w:rsidRPr="0074168A">
        <w:rPr>
          <w:b/>
          <w:bCs/>
        </w:rPr>
        <w:t>Facts</w:t>
      </w:r>
      <w:r w:rsidRPr="0074168A">
        <w:t>: Germany prohibited importing French Cassis de Dijon liqueur because its alcohol content (15–20%) fell below the 25% required for fruit liqueurs. The importer argued this was an MEQR under Article 34 TFEU. Germany claimed the rule protected public health and ensured fair trading (</w:t>
      </w:r>
      <w:r w:rsidRPr="0074168A">
        <w:rPr>
          <w:i/>
          <w:iCs/>
        </w:rPr>
        <w:t>Cassis de Dijon</w:t>
      </w:r>
      <w:r w:rsidRPr="0074168A">
        <w:t xml:space="preserve"> text).</w:t>
      </w:r>
    </w:p>
    <w:p w14:paraId="21BEC412" w14:textId="77777777" w:rsidR="0074168A" w:rsidRPr="0074168A" w:rsidRDefault="0074168A" w:rsidP="0074168A">
      <w:pPr>
        <w:spacing w:before="100" w:beforeAutospacing="1" w:after="100" w:afterAutospacing="1"/>
      </w:pPr>
      <w:r w:rsidRPr="0074168A">
        <w:rPr>
          <w:b/>
          <w:bCs/>
        </w:rPr>
        <w:t>Held</w:t>
      </w:r>
      <w:r w:rsidRPr="0074168A">
        <w:t xml:space="preserve">: The CJEU introduced the </w:t>
      </w:r>
      <w:r w:rsidRPr="0074168A">
        <w:rPr>
          <w:b/>
          <w:bCs/>
        </w:rPr>
        <w:t>principle of mutual recognition</w:t>
      </w:r>
      <w:r w:rsidRPr="0074168A">
        <w:t xml:space="preserve">, presuming that goods lawfully produced and marketed in one Member State are acceptable in others. Indistinctly applicable MEQRs, like Germany’s alcohol rule, could be justified by </w:t>
      </w:r>
      <w:r w:rsidRPr="0074168A">
        <w:rPr>
          <w:b/>
          <w:bCs/>
        </w:rPr>
        <w:t>mandatory requirements</w:t>
      </w:r>
      <w:r w:rsidRPr="0074168A">
        <w:t xml:space="preserve"> (e.g., public health, consumer protection) if proportionate. The rule was disproportionate, as </w:t>
      </w:r>
      <w:proofErr w:type="spellStart"/>
      <w:r w:rsidRPr="0074168A">
        <w:t>labeling</w:t>
      </w:r>
      <w:proofErr w:type="spellEnd"/>
      <w:r w:rsidRPr="0074168A">
        <w:t xml:space="preserve"> could achieve the same objectives, breaching Article 34 TFEU (</w:t>
      </w:r>
      <w:r w:rsidRPr="0074168A">
        <w:rPr>
          <w:i/>
          <w:iCs/>
        </w:rPr>
        <w:t>Cassis de Dijon</w:t>
      </w:r>
      <w:r w:rsidRPr="0074168A">
        <w:t xml:space="preserve"> text).</w:t>
      </w:r>
    </w:p>
    <w:p w14:paraId="2E74A70E" w14:textId="77777777" w:rsidR="0074168A" w:rsidRPr="0074168A" w:rsidRDefault="0074168A" w:rsidP="0074168A">
      <w:pPr>
        <w:spacing w:before="100" w:beforeAutospacing="1" w:after="100" w:afterAutospacing="1"/>
      </w:pPr>
      <w:r w:rsidRPr="0074168A">
        <w:rPr>
          <w:b/>
          <w:bCs/>
        </w:rPr>
        <w:t>Importance</w:t>
      </w:r>
      <w:r w:rsidRPr="0074168A">
        <w:t>:</w:t>
      </w:r>
    </w:p>
    <w:p w14:paraId="4C39869F" w14:textId="77777777" w:rsidR="0074168A" w:rsidRPr="0074168A" w:rsidRDefault="0074168A" w:rsidP="0074168A">
      <w:pPr>
        <w:numPr>
          <w:ilvl w:val="0"/>
          <w:numId w:val="100"/>
        </w:numPr>
        <w:spacing w:before="100" w:beforeAutospacing="1" w:after="100" w:afterAutospacing="1"/>
      </w:pPr>
      <w:r w:rsidRPr="0074168A">
        <w:rPr>
          <w:b/>
          <w:bCs/>
        </w:rPr>
        <w:t>Mutual Recognition and Dual Burdens</w:t>
      </w:r>
      <w:r w:rsidRPr="0074168A">
        <w:t xml:space="preserve">: The mutual recognition principle eliminated </w:t>
      </w:r>
      <w:r w:rsidRPr="0074168A">
        <w:rPr>
          <w:b/>
          <w:bCs/>
        </w:rPr>
        <w:t>dual burdens</w:t>
      </w:r>
      <w:r w:rsidRPr="0074168A">
        <w:t xml:space="preserve">, where imported goods must comply with both the exporting and importing Member State’s regulations. In </w:t>
      </w:r>
      <w:r w:rsidRPr="0074168A">
        <w:rPr>
          <w:i/>
          <w:iCs/>
        </w:rPr>
        <w:t xml:space="preserve">Criminal Proceedings against Karl </w:t>
      </w:r>
      <w:proofErr w:type="spellStart"/>
      <w:r w:rsidRPr="0074168A">
        <w:rPr>
          <w:i/>
          <w:iCs/>
        </w:rPr>
        <w:t>Prantl</w:t>
      </w:r>
      <w:proofErr w:type="spellEnd"/>
      <w:r w:rsidRPr="0074168A">
        <w:t xml:space="preserve">, Case 16/83, German law restricted Bocksbeutel bottles to certain domestic wines, but Italian wines using the same traditional bottle were allowed under mutual recognition. Here, dual burdens meant Italian producers would need to repackage their wine, increasing costs and hindering trade. </w:t>
      </w:r>
      <w:r w:rsidRPr="0074168A">
        <w:rPr>
          <w:i/>
          <w:iCs/>
        </w:rPr>
        <w:t>Cassis</w:t>
      </w:r>
      <w:r w:rsidRPr="0074168A">
        <w:t>’s principle ensured that Italy’s lawful standards were accepted in Germany, reducing these burdens. This is important because it streamlined trade by preventing redundant regulatory compliance, directly driving market integration by allowing goods to flow freely across borders (</w:t>
      </w:r>
      <w:proofErr w:type="spellStart"/>
      <w:r w:rsidRPr="0074168A">
        <w:rPr>
          <w:i/>
          <w:iCs/>
        </w:rPr>
        <w:t>Lianos</w:t>
      </w:r>
      <w:proofErr w:type="spellEnd"/>
      <w:r w:rsidRPr="0074168A">
        <w:rPr>
          <w:i/>
          <w:iCs/>
        </w:rPr>
        <w:t>, In Memoriam Keck</w:t>
      </w:r>
      <w:r w:rsidRPr="0074168A">
        <w:t>, p. 226).</w:t>
      </w:r>
    </w:p>
    <w:p w14:paraId="55EE66FD" w14:textId="77777777" w:rsidR="0074168A" w:rsidRPr="0074168A" w:rsidRDefault="0074168A" w:rsidP="0074168A">
      <w:pPr>
        <w:numPr>
          <w:ilvl w:val="0"/>
          <w:numId w:val="100"/>
        </w:numPr>
        <w:spacing w:before="100" w:beforeAutospacing="1" w:after="100" w:afterAutospacing="1"/>
      </w:pPr>
      <w:r w:rsidRPr="0074168A">
        <w:rPr>
          <w:b/>
          <w:bCs/>
        </w:rPr>
        <w:t>Flexible Justifications via Mandatory Requirements</w:t>
      </w:r>
      <w:r w:rsidRPr="0074168A">
        <w:t xml:space="preserve">: The creation of an open category of mandatory requirements (e.g., consumer protection, public health) allowed Member States to justify indistinctly applicable MEQRs, balancing trade with public interest. In </w:t>
      </w:r>
      <w:r w:rsidRPr="0074168A">
        <w:rPr>
          <w:i/>
          <w:iCs/>
        </w:rPr>
        <w:t>Commission v Denmark (Danish Bottles)</w:t>
      </w:r>
      <w:r w:rsidRPr="0074168A">
        <w:t xml:space="preserve">, Case 302/86, Denmark’s reusable container rules were justified for environmental protection, a mandatory requirement expanded from </w:t>
      </w:r>
      <w:r w:rsidRPr="0074168A">
        <w:rPr>
          <w:i/>
          <w:iCs/>
        </w:rPr>
        <w:t>Cassis</w:t>
      </w:r>
      <w:r w:rsidRPr="0074168A">
        <w:t xml:space="preserve">. This flexibility is significant because it acknowledged diverse national priorities (e.g., environmental or social policies) while maintaining free movement, unlike the rigid Article 36 TFEU derogations applied in </w:t>
      </w:r>
      <w:r w:rsidRPr="0074168A">
        <w:rPr>
          <w:i/>
          <w:iCs/>
        </w:rPr>
        <w:t>Commission v Ireland (Restrictions on Importation of Souvenirs)</w:t>
      </w:r>
      <w:r w:rsidRPr="0074168A">
        <w:t xml:space="preserve">, Case 113/80. </w:t>
      </w:r>
      <w:r w:rsidRPr="0074168A">
        <w:rPr>
          <w:i/>
          <w:iCs/>
        </w:rPr>
        <w:lastRenderedPageBreak/>
        <w:t>Cassis</w:t>
      </w:r>
      <w:r w:rsidRPr="0074168A">
        <w:t>’s framework thus shaped a nuanced approach to justifications, critical for harmonizing trade and regulation (</w:t>
      </w:r>
      <w:proofErr w:type="spellStart"/>
      <w:r w:rsidRPr="0074168A">
        <w:rPr>
          <w:i/>
          <w:iCs/>
        </w:rPr>
        <w:t>Lianos</w:t>
      </w:r>
      <w:proofErr w:type="spellEnd"/>
      <w:r w:rsidRPr="0074168A">
        <w:rPr>
          <w:i/>
          <w:iCs/>
        </w:rPr>
        <w:t>, In Memoriam Keck</w:t>
      </w:r>
      <w:r w:rsidRPr="0074168A">
        <w:t>, p. 226).</w:t>
      </w:r>
    </w:p>
    <w:p w14:paraId="35F1E0F6" w14:textId="77777777" w:rsidR="0074168A" w:rsidRPr="0074168A" w:rsidRDefault="0074168A" w:rsidP="0074168A">
      <w:pPr>
        <w:numPr>
          <w:ilvl w:val="0"/>
          <w:numId w:val="100"/>
        </w:numPr>
        <w:spacing w:before="100" w:beforeAutospacing="1" w:after="100" w:afterAutospacing="1"/>
      </w:pPr>
      <w:r w:rsidRPr="0074168A">
        <w:rPr>
          <w:b/>
          <w:bCs/>
        </w:rPr>
        <w:t>Proportionality as a Core Standard</w:t>
      </w:r>
      <w:r w:rsidRPr="0074168A">
        <w:t xml:space="preserve">: </w:t>
      </w:r>
      <w:r w:rsidRPr="0074168A">
        <w:rPr>
          <w:i/>
          <w:iCs/>
        </w:rPr>
        <w:t>Cassis</w:t>
      </w:r>
      <w:r w:rsidRPr="0074168A">
        <w:t xml:space="preserve"> established that justifications must be proportionate, requiring less restrictive alternatives. In </w:t>
      </w:r>
      <w:r w:rsidRPr="0074168A">
        <w:rPr>
          <w:i/>
          <w:iCs/>
        </w:rPr>
        <w:t>Cassis</w:t>
      </w:r>
      <w:r w:rsidRPr="0074168A">
        <w:t xml:space="preserve">, </w:t>
      </w:r>
      <w:proofErr w:type="spellStart"/>
      <w:r w:rsidRPr="0074168A">
        <w:t>labeling</w:t>
      </w:r>
      <w:proofErr w:type="spellEnd"/>
      <w:r w:rsidRPr="0074168A">
        <w:t xml:space="preserve"> was deemed sufficient, rendering the alcohol rule unnecessary. This principle was pivotal in </w:t>
      </w:r>
      <w:r w:rsidRPr="0074168A">
        <w:rPr>
          <w:i/>
          <w:iCs/>
        </w:rPr>
        <w:t>Scotch Whisky Association and Others v Lord Advocate</w:t>
      </w:r>
      <w:r w:rsidRPr="0074168A">
        <w:t xml:space="preserve">, Case C-333/14, where Scotland’s minimum alcohol pricing was scrutinized for proportionality, with the CJEU suggesting taxation as a less restrictive alternative. The importance lies in setting a rigorous standard that prevents Member States from imposing excessive trade barriers under the guise of public interest, ensuring that free movement remains the default. Unlike </w:t>
      </w:r>
      <w:proofErr w:type="spellStart"/>
      <w:r w:rsidRPr="0074168A">
        <w:rPr>
          <w:i/>
          <w:iCs/>
        </w:rPr>
        <w:t>Dassonville</w:t>
      </w:r>
      <w:r w:rsidRPr="0074168A">
        <w:t>’s</w:t>
      </w:r>
      <w:proofErr w:type="spellEnd"/>
      <w:r w:rsidRPr="0074168A">
        <w:t xml:space="preserve"> broad breach test, </w:t>
      </w:r>
      <w:r w:rsidRPr="0074168A">
        <w:rPr>
          <w:i/>
          <w:iCs/>
        </w:rPr>
        <w:t>Cassis</w:t>
      </w:r>
      <w:r w:rsidRPr="0074168A">
        <w:t>’s proportionality focus provides a structured justification process, influencing all free movement law (</w:t>
      </w:r>
      <w:proofErr w:type="spellStart"/>
      <w:r w:rsidRPr="0074168A">
        <w:rPr>
          <w:i/>
          <w:iCs/>
        </w:rPr>
        <w:t>Lianos</w:t>
      </w:r>
      <w:proofErr w:type="spellEnd"/>
      <w:r w:rsidRPr="0074168A">
        <w:rPr>
          <w:i/>
          <w:iCs/>
        </w:rPr>
        <w:t>, In Memoriam Keck</w:t>
      </w:r>
      <w:r w:rsidRPr="0074168A">
        <w:t>, p. 226).</w:t>
      </w:r>
    </w:p>
    <w:p w14:paraId="1B500A2C" w14:textId="77777777" w:rsidR="0074168A" w:rsidRPr="0074168A" w:rsidRDefault="0074168A" w:rsidP="0074168A">
      <w:pPr>
        <w:spacing w:before="100" w:beforeAutospacing="1" w:after="100" w:afterAutospacing="1"/>
        <w:outlineLvl w:val="3"/>
        <w:rPr>
          <w:b/>
          <w:bCs/>
        </w:rPr>
      </w:pPr>
      <w:r w:rsidRPr="0074168A">
        <w:rPr>
          <w:b/>
          <w:bCs/>
        </w:rPr>
        <w:t xml:space="preserve">3. Keck and </w:t>
      </w:r>
      <w:proofErr w:type="spellStart"/>
      <w:r w:rsidRPr="0074168A">
        <w:rPr>
          <w:b/>
          <w:bCs/>
        </w:rPr>
        <w:t>Mithouard</w:t>
      </w:r>
      <w:proofErr w:type="spellEnd"/>
      <w:r w:rsidRPr="0074168A">
        <w:rPr>
          <w:b/>
          <w:bCs/>
        </w:rPr>
        <w:t xml:space="preserve"> (Cases C-267 &amp; 268/91) [1993] ECR I-6097</w:t>
      </w:r>
    </w:p>
    <w:p w14:paraId="68A2F46D" w14:textId="77777777" w:rsidR="0074168A" w:rsidRPr="0074168A" w:rsidRDefault="0074168A" w:rsidP="0074168A">
      <w:pPr>
        <w:spacing w:before="100" w:beforeAutospacing="1" w:after="100" w:afterAutospacing="1"/>
      </w:pPr>
      <w:r w:rsidRPr="0074168A">
        <w:rPr>
          <w:b/>
          <w:bCs/>
        </w:rPr>
        <w:t>Facts</w:t>
      </w:r>
      <w:r w:rsidRPr="0074168A">
        <w:t xml:space="preserve">: Keck and </w:t>
      </w:r>
      <w:proofErr w:type="spellStart"/>
      <w:r w:rsidRPr="0074168A">
        <w:t>Mithouard</w:t>
      </w:r>
      <w:proofErr w:type="spellEnd"/>
      <w:r w:rsidRPr="0074168A">
        <w:t xml:space="preserve"> were prosecuted for reselling goods at a loss, breaching French competition law. They argued that the prohibition restricted import sales, violating Article 34 TFEU (</w:t>
      </w:r>
      <w:r w:rsidRPr="0074168A">
        <w:rPr>
          <w:i/>
          <w:iCs/>
        </w:rPr>
        <w:t xml:space="preserve">Keck and </w:t>
      </w:r>
      <w:proofErr w:type="spellStart"/>
      <w:r w:rsidRPr="0074168A">
        <w:rPr>
          <w:i/>
          <w:iCs/>
        </w:rPr>
        <w:t>Mithouard</w:t>
      </w:r>
      <w:proofErr w:type="spellEnd"/>
      <w:r w:rsidRPr="0074168A">
        <w:t xml:space="preserve"> text).</w:t>
      </w:r>
    </w:p>
    <w:p w14:paraId="4E87ED83" w14:textId="77777777" w:rsidR="0074168A" w:rsidRPr="0074168A" w:rsidRDefault="0074168A" w:rsidP="0074168A">
      <w:pPr>
        <w:spacing w:before="100" w:beforeAutospacing="1" w:after="100" w:afterAutospacing="1"/>
      </w:pPr>
      <w:r w:rsidRPr="0074168A">
        <w:rPr>
          <w:b/>
          <w:bCs/>
        </w:rPr>
        <w:t>Held</w:t>
      </w:r>
      <w:r w:rsidRPr="0074168A">
        <w:t xml:space="preserve">: The CJEU held that </w:t>
      </w:r>
      <w:r w:rsidRPr="0074168A">
        <w:rPr>
          <w:b/>
          <w:bCs/>
        </w:rPr>
        <w:t>selling arrangements</w:t>
      </w:r>
      <w:r w:rsidRPr="0074168A">
        <w:t xml:space="preserve"> (e.g., marketing rules) fall outside Article 34 TFEU if they apply to all traders operating within the national territory and affect domestic and imported goods equally in law and fact. The French rule was a non-discriminatory selling arrangement, not an MEQR (</w:t>
      </w:r>
      <w:r w:rsidRPr="0074168A">
        <w:rPr>
          <w:i/>
          <w:iCs/>
        </w:rPr>
        <w:t xml:space="preserve">Keck and </w:t>
      </w:r>
      <w:proofErr w:type="spellStart"/>
      <w:r w:rsidRPr="0074168A">
        <w:rPr>
          <w:i/>
          <w:iCs/>
        </w:rPr>
        <w:t>Mithouard</w:t>
      </w:r>
      <w:proofErr w:type="spellEnd"/>
      <w:r w:rsidRPr="0074168A">
        <w:t xml:space="preserve"> text).</w:t>
      </w:r>
    </w:p>
    <w:p w14:paraId="4FAF945A" w14:textId="77777777" w:rsidR="0074168A" w:rsidRPr="0074168A" w:rsidRDefault="0074168A" w:rsidP="0074168A">
      <w:pPr>
        <w:spacing w:before="100" w:beforeAutospacing="1" w:after="100" w:afterAutospacing="1"/>
      </w:pPr>
      <w:r w:rsidRPr="0074168A">
        <w:rPr>
          <w:b/>
          <w:bCs/>
        </w:rPr>
        <w:t>Importance</w:t>
      </w:r>
      <w:r w:rsidRPr="0074168A">
        <w:t>:</w:t>
      </w:r>
    </w:p>
    <w:p w14:paraId="1DDB31C4" w14:textId="77777777" w:rsidR="0074168A" w:rsidRPr="0074168A" w:rsidRDefault="0074168A" w:rsidP="0074168A">
      <w:pPr>
        <w:numPr>
          <w:ilvl w:val="0"/>
          <w:numId w:val="101"/>
        </w:numPr>
        <w:spacing w:before="100" w:beforeAutospacing="1" w:after="100" w:afterAutospacing="1"/>
      </w:pPr>
      <w:r w:rsidRPr="0074168A">
        <w:rPr>
          <w:b/>
          <w:bCs/>
        </w:rPr>
        <w:t>Regulatory Safe Zone</w:t>
      </w:r>
      <w:r w:rsidRPr="0074168A">
        <w:t xml:space="preserve">: </w:t>
      </w:r>
      <w:r w:rsidRPr="0074168A">
        <w:rPr>
          <w:i/>
          <w:iCs/>
        </w:rPr>
        <w:t>Keck</w:t>
      </w:r>
      <w:r w:rsidRPr="0074168A">
        <w:t xml:space="preserve"> created a safe zone for non-discriminatory selling arrangements, preserving Member State autonomy to regulate marketing without Article 34 TFEU scrutiny. In </w:t>
      </w:r>
      <w:proofErr w:type="spellStart"/>
      <w:r w:rsidRPr="0074168A">
        <w:rPr>
          <w:i/>
          <w:iCs/>
        </w:rPr>
        <w:t>Tankstation</w:t>
      </w:r>
      <w:proofErr w:type="spellEnd"/>
      <w:r w:rsidRPr="0074168A">
        <w:rPr>
          <w:i/>
          <w:iCs/>
        </w:rPr>
        <w:t xml:space="preserve"> ‘t </w:t>
      </w:r>
      <w:proofErr w:type="spellStart"/>
      <w:r w:rsidRPr="0074168A">
        <w:rPr>
          <w:i/>
          <w:iCs/>
        </w:rPr>
        <w:t>Heukske</w:t>
      </w:r>
      <w:proofErr w:type="spellEnd"/>
      <w:r w:rsidRPr="0074168A">
        <w:rPr>
          <w:i/>
          <w:iCs/>
        </w:rPr>
        <w:t xml:space="preserve"> </w:t>
      </w:r>
      <w:proofErr w:type="spellStart"/>
      <w:r w:rsidRPr="0074168A">
        <w:rPr>
          <w:i/>
          <w:iCs/>
        </w:rPr>
        <w:t>vof</w:t>
      </w:r>
      <w:proofErr w:type="spellEnd"/>
      <w:r w:rsidRPr="0074168A">
        <w:rPr>
          <w:i/>
          <w:iCs/>
        </w:rPr>
        <w:t xml:space="preserve"> and JBE Boermans</w:t>
      </w:r>
      <w:r w:rsidRPr="0074168A">
        <w:t xml:space="preserve">, Cases C-401 &amp; 402/92, shop hour restrictions were upheld as non-discriminatory selling arrangements, allowing Member States to maintain local commercial practices. This is important because it addressed the overreach of </w:t>
      </w:r>
      <w:proofErr w:type="spellStart"/>
      <w:r w:rsidRPr="0074168A">
        <w:rPr>
          <w:i/>
          <w:iCs/>
        </w:rPr>
        <w:t>Dassonville</w:t>
      </w:r>
      <w:r w:rsidRPr="0074168A">
        <w:t>’s</w:t>
      </w:r>
      <w:proofErr w:type="spellEnd"/>
      <w:r w:rsidRPr="0074168A">
        <w:t xml:space="preserve"> broad MEQR test, which, in cases like </w:t>
      </w:r>
      <w:r w:rsidRPr="0074168A">
        <w:rPr>
          <w:i/>
          <w:iCs/>
        </w:rPr>
        <w:t>Torfaen Borough Council v B&amp;Q plc</w:t>
      </w:r>
      <w:r w:rsidRPr="0074168A">
        <w:t xml:space="preserve">, Case 145/88, subjected neutral Sunday trading rules to justification. By carving out a category exempt from scrutiny, </w:t>
      </w:r>
      <w:r w:rsidRPr="0074168A">
        <w:rPr>
          <w:i/>
          <w:iCs/>
        </w:rPr>
        <w:t>Keck</w:t>
      </w:r>
      <w:r w:rsidRPr="0074168A">
        <w:t xml:space="preserve"> reduced litigation and regulatory burden, enabling Member States to pursue legitimate policies without constant judicial challenge (</w:t>
      </w:r>
      <w:proofErr w:type="spellStart"/>
      <w:r w:rsidRPr="0074168A">
        <w:rPr>
          <w:i/>
          <w:iCs/>
        </w:rPr>
        <w:t>Lianos</w:t>
      </w:r>
      <w:proofErr w:type="spellEnd"/>
      <w:r w:rsidRPr="0074168A">
        <w:rPr>
          <w:i/>
          <w:iCs/>
        </w:rPr>
        <w:t>, In Memoriam Keck</w:t>
      </w:r>
      <w:r w:rsidRPr="0074168A">
        <w:t>, p. 227).</w:t>
      </w:r>
    </w:p>
    <w:p w14:paraId="7D10E359" w14:textId="77777777" w:rsidR="0074168A" w:rsidRPr="0074168A" w:rsidRDefault="0074168A" w:rsidP="0074168A">
      <w:pPr>
        <w:numPr>
          <w:ilvl w:val="0"/>
          <w:numId w:val="101"/>
        </w:numPr>
        <w:spacing w:before="100" w:beforeAutospacing="1" w:after="100" w:afterAutospacing="1"/>
      </w:pPr>
      <w:r w:rsidRPr="0074168A">
        <w:rPr>
          <w:b/>
          <w:bCs/>
        </w:rPr>
        <w:t>Categorical Framework for Analysis</w:t>
      </w:r>
      <w:r w:rsidRPr="0074168A">
        <w:t xml:space="preserve">: The distinction between product requirements (always MEQRs) and selling arrangements (conditionally exempt) structured Article 34 TFEU analysis, providing clarity for courts and traders. In </w:t>
      </w:r>
      <w:r w:rsidRPr="0074168A">
        <w:rPr>
          <w:i/>
          <w:iCs/>
        </w:rPr>
        <w:t xml:space="preserve">Verein </w:t>
      </w:r>
      <w:proofErr w:type="spellStart"/>
      <w:r w:rsidRPr="0074168A">
        <w:rPr>
          <w:i/>
          <w:iCs/>
        </w:rPr>
        <w:t>gegen</w:t>
      </w:r>
      <w:proofErr w:type="spellEnd"/>
      <w:r w:rsidRPr="0074168A">
        <w:rPr>
          <w:i/>
          <w:iCs/>
        </w:rPr>
        <w:t xml:space="preserve"> </w:t>
      </w:r>
      <w:proofErr w:type="spellStart"/>
      <w:r w:rsidRPr="0074168A">
        <w:rPr>
          <w:i/>
          <w:iCs/>
        </w:rPr>
        <w:t>Unwesen</w:t>
      </w:r>
      <w:proofErr w:type="spellEnd"/>
      <w:r w:rsidRPr="0074168A">
        <w:rPr>
          <w:i/>
          <w:iCs/>
        </w:rPr>
        <w:t xml:space="preserve"> in Handel und </w:t>
      </w:r>
      <w:proofErr w:type="spellStart"/>
      <w:r w:rsidRPr="0074168A">
        <w:rPr>
          <w:i/>
          <w:iCs/>
        </w:rPr>
        <w:t>Gewerbe</w:t>
      </w:r>
      <w:proofErr w:type="spellEnd"/>
      <w:r w:rsidRPr="0074168A">
        <w:rPr>
          <w:i/>
          <w:iCs/>
        </w:rPr>
        <w:t xml:space="preserve"> Köln eV v Mars GmbH</w:t>
      </w:r>
      <w:r w:rsidRPr="0074168A">
        <w:t xml:space="preserve">, Case C-470/93, packaging rules were product requirements requiring justification, whereas </w:t>
      </w:r>
      <w:proofErr w:type="spellStart"/>
      <w:r w:rsidRPr="0074168A">
        <w:rPr>
          <w:i/>
          <w:iCs/>
        </w:rPr>
        <w:t>Tankstation</w:t>
      </w:r>
      <w:r w:rsidRPr="0074168A">
        <w:t>’s</w:t>
      </w:r>
      <w:proofErr w:type="spellEnd"/>
      <w:r w:rsidRPr="0074168A">
        <w:t xml:space="preserve"> shop hours were exempt selling arrangements. This categorization is significant because it offered a predictable framework, unlike </w:t>
      </w:r>
      <w:proofErr w:type="spellStart"/>
      <w:r w:rsidRPr="0074168A">
        <w:rPr>
          <w:i/>
          <w:iCs/>
        </w:rPr>
        <w:t>Dassonville</w:t>
      </w:r>
      <w:r w:rsidRPr="0074168A">
        <w:t>’s</w:t>
      </w:r>
      <w:proofErr w:type="spellEnd"/>
      <w:r w:rsidRPr="0074168A">
        <w:t xml:space="preserve"> amorphous test, guiding subsequent cases like </w:t>
      </w:r>
      <w:proofErr w:type="spellStart"/>
      <w:r w:rsidRPr="0074168A">
        <w:rPr>
          <w:i/>
          <w:iCs/>
        </w:rPr>
        <w:t>Konsumentombudsmannen</w:t>
      </w:r>
      <w:proofErr w:type="spellEnd"/>
      <w:r w:rsidRPr="0074168A">
        <w:rPr>
          <w:i/>
          <w:iCs/>
        </w:rPr>
        <w:t xml:space="preserve"> (KO) v De Agostini (Svenska) </w:t>
      </w:r>
      <w:proofErr w:type="spellStart"/>
      <w:r w:rsidRPr="0074168A">
        <w:rPr>
          <w:i/>
          <w:iCs/>
        </w:rPr>
        <w:t>Förlag</w:t>
      </w:r>
      <w:proofErr w:type="spellEnd"/>
      <w:r w:rsidRPr="0074168A">
        <w:rPr>
          <w:i/>
          <w:iCs/>
        </w:rPr>
        <w:t xml:space="preserve"> AB</w:t>
      </w:r>
      <w:r w:rsidRPr="0074168A">
        <w:t xml:space="preserve">, Cases C-34–36/95. However, the framework’s complexity, as seen in disputes over classification (e.g., </w:t>
      </w:r>
      <w:proofErr w:type="spellStart"/>
      <w:r w:rsidRPr="0074168A">
        <w:rPr>
          <w:i/>
          <w:iCs/>
        </w:rPr>
        <w:t>Vereinigte</w:t>
      </w:r>
      <w:proofErr w:type="spellEnd"/>
      <w:r w:rsidRPr="0074168A">
        <w:rPr>
          <w:i/>
          <w:iCs/>
        </w:rPr>
        <w:t xml:space="preserve"> </w:t>
      </w:r>
      <w:proofErr w:type="spellStart"/>
      <w:r w:rsidRPr="0074168A">
        <w:rPr>
          <w:i/>
          <w:iCs/>
        </w:rPr>
        <w:t>Familiapress</w:t>
      </w:r>
      <w:proofErr w:type="spellEnd"/>
      <w:r w:rsidRPr="0074168A">
        <w:rPr>
          <w:i/>
          <w:iCs/>
        </w:rPr>
        <w:t xml:space="preserve"> </w:t>
      </w:r>
      <w:proofErr w:type="spellStart"/>
      <w:r w:rsidRPr="0074168A">
        <w:rPr>
          <w:i/>
          <w:iCs/>
        </w:rPr>
        <w:t>Zeitungsverlags</w:t>
      </w:r>
      <w:proofErr w:type="spellEnd"/>
      <w:r w:rsidRPr="0074168A">
        <w:rPr>
          <w:i/>
          <w:iCs/>
        </w:rPr>
        <w:t xml:space="preserve">- und </w:t>
      </w:r>
      <w:proofErr w:type="spellStart"/>
      <w:r w:rsidRPr="0074168A">
        <w:rPr>
          <w:i/>
          <w:iCs/>
        </w:rPr>
        <w:t>Vertriebs</w:t>
      </w:r>
      <w:proofErr w:type="spellEnd"/>
      <w:r w:rsidRPr="0074168A">
        <w:rPr>
          <w:i/>
          <w:iCs/>
        </w:rPr>
        <w:t xml:space="preserve"> GmbH v Heinrich Bauer Verlag</w:t>
      </w:r>
      <w:r w:rsidRPr="0074168A">
        <w:t xml:space="preserve">, Case C-368/95), underscores </w:t>
      </w:r>
      <w:r w:rsidRPr="0074168A">
        <w:rPr>
          <w:i/>
          <w:iCs/>
        </w:rPr>
        <w:t>Keck</w:t>
      </w:r>
      <w:r w:rsidRPr="0074168A">
        <w:t>’s role in shaping judicial debates (</w:t>
      </w:r>
      <w:proofErr w:type="spellStart"/>
      <w:r w:rsidRPr="0074168A">
        <w:rPr>
          <w:i/>
          <w:iCs/>
        </w:rPr>
        <w:t>Lianos</w:t>
      </w:r>
      <w:proofErr w:type="spellEnd"/>
      <w:r w:rsidRPr="0074168A">
        <w:rPr>
          <w:i/>
          <w:iCs/>
        </w:rPr>
        <w:t>, In Memoriam Keck</w:t>
      </w:r>
      <w:r w:rsidRPr="0074168A">
        <w:t>, p. 230).</w:t>
      </w:r>
    </w:p>
    <w:p w14:paraId="0BEEC18D" w14:textId="77777777" w:rsidR="0074168A" w:rsidRPr="0074168A" w:rsidRDefault="0074168A" w:rsidP="0074168A">
      <w:pPr>
        <w:numPr>
          <w:ilvl w:val="0"/>
          <w:numId w:val="101"/>
        </w:numPr>
        <w:spacing w:before="100" w:beforeAutospacing="1" w:after="100" w:afterAutospacing="1"/>
      </w:pPr>
      <w:r w:rsidRPr="0074168A">
        <w:rPr>
          <w:b/>
          <w:bCs/>
        </w:rPr>
        <w:lastRenderedPageBreak/>
        <w:t>Catalyst for Market Access Approach</w:t>
      </w:r>
      <w:r w:rsidRPr="0074168A">
        <w:t xml:space="preserve">: </w:t>
      </w:r>
      <w:r w:rsidRPr="0074168A">
        <w:rPr>
          <w:i/>
          <w:iCs/>
        </w:rPr>
        <w:t>Keck</w:t>
      </w:r>
      <w:r w:rsidRPr="0074168A">
        <w:t xml:space="preserve">’s strict provisos—that selling arrangements must not disproportionately affect imports—shifted focus to market access, as non-compliance automatically deemed measures MEQRs. In </w:t>
      </w:r>
      <w:proofErr w:type="spellStart"/>
      <w:r w:rsidRPr="0074168A">
        <w:rPr>
          <w:i/>
          <w:iCs/>
        </w:rPr>
        <w:t>Schutzverband</w:t>
      </w:r>
      <w:proofErr w:type="spellEnd"/>
      <w:r w:rsidRPr="0074168A">
        <w:rPr>
          <w:i/>
          <w:iCs/>
        </w:rPr>
        <w:t xml:space="preserve"> </w:t>
      </w:r>
      <w:proofErr w:type="spellStart"/>
      <w:r w:rsidRPr="0074168A">
        <w:rPr>
          <w:i/>
          <w:iCs/>
        </w:rPr>
        <w:t>gegen</w:t>
      </w:r>
      <w:proofErr w:type="spellEnd"/>
      <w:r w:rsidRPr="0074168A">
        <w:rPr>
          <w:i/>
          <w:iCs/>
        </w:rPr>
        <w:t xml:space="preserve"> </w:t>
      </w:r>
      <w:proofErr w:type="spellStart"/>
      <w:r w:rsidRPr="0074168A">
        <w:rPr>
          <w:i/>
          <w:iCs/>
        </w:rPr>
        <w:t>unlauteren</w:t>
      </w:r>
      <w:proofErr w:type="spellEnd"/>
      <w:r w:rsidRPr="0074168A">
        <w:rPr>
          <w:i/>
          <w:iCs/>
        </w:rPr>
        <w:t xml:space="preserve"> </w:t>
      </w:r>
      <w:proofErr w:type="spellStart"/>
      <w:r w:rsidRPr="0074168A">
        <w:rPr>
          <w:i/>
          <w:iCs/>
        </w:rPr>
        <w:t>Wettbewerb</w:t>
      </w:r>
      <w:proofErr w:type="spellEnd"/>
      <w:r w:rsidRPr="0074168A">
        <w:rPr>
          <w:i/>
          <w:iCs/>
        </w:rPr>
        <w:t xml:space="preserve"> v TK-</w:t>
      </w:r>
      <w:proofErr w:type="spellStart"/>
      <w:r w:rsidRPr="0074168A">
        <w:rPr>
          <w:i/>
          <w:iCs/>
        </w:rPr>
        <w:t>Heimdienst</w:t>
      </w:r>
      <w:proofErr w:type="spellEnd"/>
      <w:r w:rsidRPr="0074168A">
        <w:rPr>
          <w:i/>
          <w:iCs/>
        </w:rPr>
        <w:t xml:space="preserve"> Sass GmbH</w:t>
      </w:r>
      <w:r w:rsidRPr="0074168A">
        <w:t xml:space="preserve">, Case-254/98, door-to-door sales restrictions were MEQRs because they hindered import market access, requiring justification. This is important because it bridged </w:t>
      </w:r>
      <w:proofErr w:type="spellStart"/>
      <w:r w:rsidRPr="0074168A">
        <w:rPr>
          <w:i/>
          <w:iCs/>
        </w:rPr>
        <w:t>Dassonville</w:t>
      </w:r>
      <w:r w:rsidRPr="0074168A">
        <w:t>’s</w:t>
      </w:r>
      <w:proofErr w:type="spellEnd"/>
      <w:r w:rsidRPr="0074168A">
        <w:t xml:space="preserve"> broad approach with a targeted test for discrimination, influencing modern cases like </w:t>
      </w:r>
      <w:r w:rsidRPr="0074168A">
        <w:rPr>
          <w:i/>
          <w:iCs/>
        </w:rPr>
        <w:t xml:space="preserve">Deutsche </w:t>
      </w:r>
      <w:proofErr w:type="spellStart"/>
      <w:r w:rsidRPr="0074168A">
        <w:rPr>
          <w:i/>
          <w:iCs/>
        </w:rPr>
        <w:t>Apothekerverband</w:t>
      </w:r>
      <w:proofErr w:type="spellEnd"/>
      <w:r w:rsidRPr="0074168A">
        <w:rPr>
          <w:i/>
          <w:iCs/>
        </w:rPr>
        <w:t xml:space="preserve"> v 0800 </w:t>
      </w:r>
      <w:proofErr w:type="spellStart"/>
      <w:r w:rsidRPr="0074168A">
        <w:rPr>
          <w:i/>
          <w:iCs/>
        </w:rPr>
        <w:t>DocMorris</w:t>
      </w:r>
      <w:proofErr w:type="spellEnd"/>
      <w:r w:rsidRPr="0074168A">
        <w:rPr>
          <w:i/>
          <w:iCs/>
        </w:rPr>
        <w:t xml:space="preserve"> NV</w:t>
      </w:r>
      <w:r w:rsidRPr="0074168A">
        <w:t xml:space="preserve">, Case C-322/01, and </w:t>
      </w:r>
      <w:r w:rsidRPr="0074168A">
        <w:rPr>
          <w:i/>
          <w:iCs/>
        </w:rPr>
        <w:t xml:space="preserve">Deutsche Parkinson </w:t>
      </w:r>
      <w:proofErr w:type="spellStart"/>
      <w:r w:rsidRPr="0074168A">
        <w:rPr>
          <w:i/>
          <w:iCs/>
        </w:rPr>
        <w:t>Vereinigung</w:t>
      </w:r>
      <w:proofErr w:type="spellEnd"/>
      <w:r w:rsidRPr="0074168A">
        <w:rPr>
          <w:i/>
          <w:iCs/>
        </w:rPr>
        <w:t xml:space="preserve"> v </w:t>
      </w:r>
      <w:proofErr w:type="spellStart"/>
      <w:r w:rsidRPr="0074168A">
        <w:rPr>
          <w:i/>
          <w:iCs/>
        </w:rPr>
        <w:t>Zentrale</w:t>
      </w:r>
      <w:proofErr w:type="spellEnd"/>
      <w:r w:rsidRPr="0074168A">
        <w:rPr>
          <w:i/>
          <w:iCs/>
        </w:rPr>
        <w:t xml:space="preserve"> </w:t>
      </w:r>
      <w:proofErr w:type="spellStart"/>
      <w:r w:rsidRPr="0074168A">
        <w:rPr>
          <w:i/>
          <w:iCs/>
        </w:rPr>
        <w:t>zur</w:t>
      </w:r>
      <w:proofErr w:type="spellEnd"/>
      <w:r w:rsidRPr="0074168A">
        <w:rPr>
          <w:i/>
          <w:iCs/>
        </w:rPr>
        <w:t xml:space="preserve"> </w:t>
      </w:r>
      <w:proofErr w:type="spellStart"/>
      <w:r w:rsidRPr="0074168A">
        <w:rPr>
          <w:i/>
          <w:iCs/>
        </w:rPr>
        <w:t>Bekämpfung</w:t>
      </w:r>
      <w:proofErr w:type="spellEnd"/>
      <w:r w:rsidRPr="0074168A">
        <w:rPr>
          <w:i/>
          <w:iCs/>
        </w:rPr>
        <w:t xml:space="preserve"> </w:t>
      </w:r>
      <w:proofErr w:type="spellStart"/>
      <w:r w:rsidRPr="0074168A">
        <w:rPr>
          <w:i/>
          <w:iCs/>
        </w:rPr>
        <w:t>unlauteren</w:t>
      </w:r>
      <w:proofErr w:type="spellEnd"/>
      <w:r w:rsidRPr="0074168A">
        <w:rPr>
          <w:i/>
          <w:iCs/>
        </w:rPr>
        <w:t xml:space="preserve"> </w:t>
      </w:r>
      <w:proofErr w:type="spellStart"/>
      <w:r w:rsidRPr="0074168A">
        <w:rPr>
          <w:i/>
          <w:iCs/>
        </w:rPr>
        <w:t>Wettbewerbs</w:t>
      </w:r>
      <w:proofErr w:type="spellEnd"/>
      <w:r w:rsidRPr="0074168A">
        <w:rPr>
          <w:i/>
          <w:iCs/>
        </w:rPr>
        <w:t xml:space="preserve"> eV</w:t>
      </w:r>
      <w:r w:rsidRPr="0074168A">
        <w:t xml:space="preserve">, Case C-148/15. </w:t>
      </w:r>
      <w:r w:rsidRPr="0074168A">
        <w:rPr>
          <w:i/>
          <w:iCs/>
        </w:rPr>
        <w:t>Keck</w:t>
      </w:r>
      <w:r w:rsidRPr="0074168A">
        <w:t>’s legacy lies in sparking this evolution, despite its partial erosion by market access tests (</w:t>
      </w:r>
      <w:proofErr w:type="spellStart"/>
      <w:r w:rsidRPr="0074168A">
        <w:rPr>
          <w:i/>
          <w:iCs/>
        </w:rPr>
        <w:t>Lianos</w:t>
      </w:r>
      <w:proofErr w:type="spellEnd"/>
      <w:r w:rsidRPr="0074168A">
        <w:rPr>
          <w:i/>
          <w:iCs/>
        </w:rPr>
        <w:t>, In Memoriam Keck</w:t>
      </w:r>
      <w:r w:rsidRPr="0074168A">
        <w:t>, p. 235).</w:t>
      </w:r>
    </w:p>
    <w:p w14:paraId="6183E735" w14:textId="77777777" w:rsidR="0074168A" w:rsidRPr="0074168A" w:rsidRDefault="0074168A" w:rsidP="0074168A">
      <w:pPr>
        <w:spacing w:before="100" w:beforeAutospacing="1" w:after="100" w:afterAutospacing="1"/>
        <w:outlineLvl w:val="3"/>
        <w:rPr>
          <w:b/>
          <w:bCs/>
        </w:rPr>
      </w:pPr>
      <w:r w:rsidRPr="0074168A">
        <w:rPr>
          <w:b/>
          <w:bCs/>
        </w:rPr>
        <w:t xml:space="preserve">4. </w:t>
      </w:r>
      <w:proofErr w:type="spellStart"/>
      <w:r w:rsidRPr="0074168A">
        <w:rPr>
          <w:b/>
          <w:bCs/>
        </w:rPr>
        <w:t>Konsumentombudsmannen</w:t>
      </w:r>
      <w:proofErr w:type="spellEnd"/>
      <w:r w:rsidRPr="0074168A">
        <w:rPr>
          <w:b/>
          <w:bCs/>
        </w:rPr>
        <w:t xml:space="preserve"> (KO) v De Agostini (Svenska) </w:t>
      </w:r>
      <w:proofErr w:type="spellStart"/>
      <w:r w:rsidRPr="0074168A">
        <w:rPr>
          <w:b/>
          <w:bCs/>
        </w:rPr>
        <w:t>Förlag</w:t>
      </w:r>
      <w:proofErr w:type="spellEnd"/>
      <w:r w:rsidRPr="0074168A">
        <w:rPr>
          <w:b/>
          <w:bCs/>
        </w:rPr>
        <w:t xml:space="preserve"> AB (Cases C-34–36/95) [1997] ECR I-3843</w:t>
      </w:r>
    </w:p>
    <w:p w14:paraId="1C49C3CF" w14:textId="77777777" w:rsidR="0074168A" w:rsidRPr="0074168A" w:rsidRDefault="0074168A" w:rsidP="0074168A">
      <w:pPr>
        <w:spacing w:before="100" w:beforeAutospacing="1" w:after="100" w:afterAutospacing="1"/>
      </w:pPr>
      <w:r w:rsidRPr="0074168A">
        <w:rPr>
          <w:b/>
          <w:bCs/>
        </w:rPr>
        <w:t>Facts</w:t>
      </w:r>
      <w:r w:rsidRPr="0074168A">
        <w:t>: Sweden’s Consumer Ombudsman sought injunctions against De Agostini and TV-Shop for television advertisements. De Agostini’s ads for a children’s magazine violated a ban on ads targeting children under 12, and both companies’ ads were deemed misleading. Broadcast from the UK, the ads raised issues under Articles 30, 34, 56 TFEU, and Directive 89/552/EEC (</w:t>
      </w:r>
      <w:r w:rsidRPr="0074168A">
        <w:rPr>
          <w:i/>
          <w:iCs/>
        </w:rPr>
        <w:t>KO v De Agostini</w:t>
      </w:r>
      <w:r w:rsidRPr="0074168A">
        <w:t xml:space="preserve"> text).</w:t>
      </w:r>
    </w:p>
    <w:p w14:paraId="54E990B9" w14:textId="77777777" w:rsidR="0074168A" w:rsidRPr="0074168A" w:rsidRDefault="0074168A" w:rsidP="0074168A">
      <w:pPr>
        <w:spacing w:before="100" w:beforeAutospacing="1" w:after="100" w:afterAutospacing="1"/>
      </w:pPr>
      <w:r w:rsidRPr="0074168A">
        <w:rPr>
          <w:b/>
          <w:bCs/>
        </w:rPr>
        <w:t>Held</w:t>
      </w:r>
      <w:r w:rsidRPr="0074168A">
        <w:t xml:space="preserve">: The CJEU ruled that Directive 89/552/EEC allowed Sweden to apply consumer protection laws against misleading ads to advertisers, provided retransmission was not blocked. The advertising restrictions were selling arrangements under </w:t>
      </w:r>
      <w:r w:rsidRPr="0074168A">
        <w:rPr>
          <w:i/>
          <w:iCs/>
        </w:rPr>
        <w:t>Keck</w:t>
      </w:r>
      <w:r w:rsidRPr="0074168A">
        <w:t>, but could be MEQRs if they disproportionately affected imports (e.g., if TV ads were critical for market entry). The ban on child-targeted ads could not apply to UK broadcasts under the Directive. The national court was to assess proportionality (</w:t>
      </w:r>
      <w:r w:rsidRPr="0074168A">
        <w:rPr>
          <w:i/>
          <w:iCs/>
        </w:rPr>
        <w:t>KO v De Agostini</w:t>
      </w:r>
      <w:r w:rsidRPr="0074168A">
        <w:t xml:space="preserve"> text).</w:t>
      </w:r>
    </w:p>
    <w:p w14:paraId="1F61EFB6" w14:textId="77777777" w:rsidR="0074168A" w:rsidRPr="0074168A" w:rsidRDefault="0074168A" w:rsidP="0074168A">
      <w:pPr>
        <w:spacing w:before="100" w:beforeAutospacing="1" w:after="100" w:afterAutospacing="1"/>
      </w:pPr>
      <w:r w:rsidRPr="0074168A">
        <w:rPr>
          <w:b/>
          <w:bCs/>
        </w:rPr>
        <w:t>Importance</w:t>
      </w:r>
      <w:r w:rsidRPr="0074168A">
        <w:t>:</w:t>
      </w:r>
    </w:p>
    <w:p w14:paraId="0B35DF2E" w14:textId="77777777" w:rsidR="0074168A" w:rsidRPr="0074168A" w:rsidRDefault="0074168A" w:rsidP="0074168A">
      <w:pPr>
        <w:numPr>
          <w:ilvl w:val="0"/>
          <w:numId w:val="102"/>
        </w:numPr>
        <w:spacing w:before="100" w:beforeAutospacing="1" w:after="100" w:afterAutospacing="1"/>
      </w:pPr>
      <w:r w:rsidRPr="0074168A">
        <w:rPr>
          <w:b/>
          <w:bCs/>
        </w:rPr>
        <w:t>Refinement of Keck’s Application</w:t>
      </w:r>
      <w:r w:rsidRPr="0074168A">
        <w:t xml:space="preserve">: </w:t>
      </w:r>
      <w:r w:rsidRPr="0074168A">
        <w:rPr>
          <w:i/>
          <w:iCs/>
        </w:rPr>
        <w:t>KO v De Agostini</w:t>
      </w:r>
      <w:r w:rsidRPr="0074168A">
        <w:t xml:space="preserve"> clarified that advertising restrictions are selling arrangements under </w:t>
      </w:r>
      <w:r w:rsidRPr="0074168A">
        <w:rPr>
          <w:i/>
          <w:iCs/>
        </w:rPr>
        <w:t>Keck</w:t>
      </w:r>
      <w:r w:rsidRPr="0074168A">
        <w:t xml:space="preserve">, but disproportionate import impact triggers Article 34 TFEU scrutiny. Here, the ban on child-targeted ads could hinder De Agostini’s magazine imports if TV advertising was essential for reaching Swedish children, requiring justification. This is important because it refined </w:t>
      </w:r>
      <w:r w:rsidRPr="0074168A">
        <w:rPr>
          <w:i/>
          <w:iCs/>
        </w:rPr>
        <w:t>Keck</w:t>
      </w:r>
      <w:r w:rsidRPr="0074168A">
        <w:t xml:space="preserve">’s scope, ensuring that only discriminatory or market-restrictive selling arrangements are MEQRs, as seen in </w:t>
      </w:r>
      <w:proofErr w:type="spellStart"/>
      <w:r w:rsidRPr="0074168A">
        <w:rPr>
          <w:i/>
          <w:iCs/>
        </w:rPr>
        <w:t>Konsumentombudsmannen</w:t>
      </w:r>
      <w:proofErr w:type="spellEnd"/>
      <w:r w:rsidRPr="0074168A">
        <w:rPr>
          <w:i/>
          <w:iCs/>
        </w:rPr>
        <w:t xml:space="preserve"> (KO) v Gourmet International Products AB (GIP)</w:t>
      </w:r>
      <w:r w:rsidRPr="0074168A">
        <w:t xml:space="preserve">, Case 405/98, where advertising limits were similarly scrutinized. Unlike </w:t>
      </w:r>
      <w:proofErr w:type="spellStart"/>
      <w:r w:rsidRPr="0074168A">
        <w:rPr>
          <w:i/>
          <w:iCs/>
        </w:rPr>
        <w:t>Tankstation</w:t>
      </w:r>
      <w:r w:rsidRPr="0074168A">
        <w:t>’s</w:t>
      </w:r>
      <w:proofErr w:type="spellEnd"/>
      <w:r w:rsidRPr="0074168A">
        <w:t xml:space="preserve"> exempt shop hours, </w:t>
      </w:r>
      <w:r w:rsidRPr="0074168A">
        <w:rPr>
          <w:i/>
          <w:iCs/>
        </w:rPr>
        <w:t>De Agostini</w:t>
      </w:r>
      <w:r w:rsidRPr="0074168A">
        <w:t>’s focus on import barriers sharpened the non-discrimination proviso, enhancing judicial precision (</w:t>
      </w:r>
      <w:proofErr w:type="spellStart"/>
      <w:r w:rsidRPr="0074168A">
        <w:rPr>
          <w:i/>
          <w:iCs/>
        </w:rPr>
        <w:t>Lianos</w:t>
      </w:r>
      <w:proofErr w:type="spellEnd"/>
      <w:r w:rsidRPr="0074168A">
        <w:rPr>
          <w:i/>
          <w:iCs/>
        </w:rPr>
        <w:t>, In Memoriam Keck</w:t>
      </w:r>
      <w:r w:rsidRPr="0074168A">
        <w:t>, p. 231).</w:t>
      </w:r>
    </w:p>
    <w:p w14:paraId="2CBF94D2" w14:textId="77777777" w:rsidR="0074168A" w:rsidRPr="0074168A" w:rsidRDefault="0074168A" w:rsidP="0074168A">
      <w:pPr>
        <w:numPr>
          <w:ilvl w:val="0"/>
          <w:numId w:val="102"/>
        </w:numPr>
        <w:spacing w:before="100" w:beforeAutospacing="1" w:after="100" w:afterAutospacing="1"/>
      </w:pPr>
      <w:r w:rsidRPr="0074168A">
        <w:rPr>
          <w:b/>
          <w:bCs/>
        </w:rPr>
        <w:t>Advancement of Market Access</w:t>
      </w:r>
      <w:r w:rsidRPr="0074168A">
        <w:t xml:space="preserve">: By emphasizing barriers to import market entry, the case advanced the market access test, where measures hindering access (e.g., via consumer reach) are MEQRs. In </w:t>
      </w:r>
      <w:r w:rsidRPr="0074168A">
        <w:rPr>
          <w:i/>
          <w:iCs/>
        </w:rPr>
        <w:t>De Agostini</w:t>
      </w:r>
      <w:r w:rsidRPr="0074168A">
        <w:t xml:space="preserve">, the CJEU noted that if TV ads were the primary market entry method, the restriction could breach Article 34 TFEU, a principle echoed in </w:t>
      </w:r>
      <w:r w:rsidRPr="0074168A">
        <w:rPr>
          <w:i/>
          <w:iCs/>
        </w:rPr>
        <w:t xml:space="preserve">Deutsche Parkinson </w:t>
      </w:r>
      <w:proofErr w:type="spellStart"/>
      <w:r w:rsidRPr="0074168A">
        <w:rPr>
          <w:i/>
          <w:iCs/>
        </w:rPr>
        <w:t>Vereinigung</w:t>
      </w:r>
      <w:proofErr w:type="spellEnd"/>
      <w:r w:rsidRPr="0074168A">
        <w:t xml:space="preserve">, Case C-148/15, where fixed pricing limited online pharmacy access. This is significant because it aligned Article 34 TFEU with economic realities, ensuring that rules impacting market entry are rigorously reviewed, unlike </w:t>
      </w:r>
      <w:r w:rsidRPr="0074168A">
        <w:rPr>
          <w:i/>
          <w:iCs/>
        </w:rPr>
        <w:t>Punto Casa</w:t>
      </w:r>
      <w:r w:rsidRPr="0074168A">
        <w:t xml:space="preserve">, Cases C-69/93, where neutral shop hours </w:t>
      </w:r>
      <w:r w:rsidRPr="0074168A">
        <w:lastRenderedPageBreak/>
        <w:t xml:space="preserve">were upheld. </w:t>
      </w:r>
      <w:r w:rsidRPr="0074168A">
        <w:rPr>
          <w:i/>
          <w:iCs/>
        </w:rPr>
        <w:t>De Agostini</w:t>
      </w:r>
      <w:r w:rsidRPr="0074168A">
        <w:t xml:space="preserve">’s market access focus bridged </w:t>
      </w:r>
      <w:r w:rsidRPr="0074168A">
        <w:rPr>
          <w:i/>
          <w:iCs/>
        </w:rPr>
        <w:t>Keck</w:t>
      </w:r>
      <w:r w:rsidRPr="0074168A">
        <w:t xml:space="preserve"> and modern tests (</w:t>
      </w:r>
      <w:proofErr w:type="spellStart"/>
      <w:r w:rsidRPr="0074168A">
        <w:rPr>
          <w:i/>
          <w:iCs/>
        </w:rPr>
        <w:t>Lianos</w:t>
      </w:r>
      <w:proofErr w:type="spellEnd"/>
      <w:r w:rsidRPr="0074168A">
        <w:rPr>
          <w:i/>
          <w:iCs/>
        </w:rPr>
        <w:t>, In Memoriam Keck</w:t>
      </w:r>
      <w:r w:rsidRPr="0074168A">
        <w:t>, p. 231).</w:t>
      </w:r>
    </w:p>
    <w:p w14:paraId="4CBCFD1A" w14:textId="77777777" w:rsidR="0074168A" w:rsidRPr="0074168A" w:rsidRDefault="0074168A" w:rsidP="0074168A">
      <w:pPr>
        <w:numPr>
          <w:ilvl w:val="0"/>
          <w:numId w:val="102"/>
        </w:numPr>
        <w:spacing w:before="100" w:beforeAutospacing="1" w:after="100" w:afterAutospacing="1"/>
      </w:pPr>
      <w:r w:rsidRPr="0074168A">
        <w:rPr>
          <w:b/>
          <w:bCs/>
        </w:rPr>
        <w:t>Integration of Goods and Services</w:t>
      </w:r>
      <w:r w:rsidRPr="0074168A">
        <w:t xml:space="preserve">: The case balanced free movement of goods (Article 34 TFEU) and services (Article 56 TFEU) under Directive 89/552/EEC, limiting Sweden’s ability to regulate UK broadcasts. This cross-border media regulation is important because it addressed the interplay of freedoms in a globalized market, impacting advertising and broadcasting law. Unlike </w:t>
      </w:r>
      <w:proofErr w:type="spellStart"/>
      <w:r w:rsidRPr="0074168A">
        <w:rPr>
          <w:i/>
          <w:iCs/>
        </w:rPr>
        <w:t>Schmidberger</w:t>
      </w:r>
      <w:proofErr w:type="spellEnd"/>
      <w:r w:rsidRPr="0074168A">
        <w:rPr>
          <w:i/>
          <w:iCs/>
        </w:rPr>
        <w:t xml:space="preserve"> v Austria</w:t>
      </w:r>
      <w:r w:rsidRPr="0074168A">
        <w:t xml:space="preserve">, Case C-112/00, which balanced goods with fundamental rights, </w:t>
      </w:r>
      <w:r w:rsidRPr="0074168A">
        <w:rPr>
          <w:i/>
          <w:iCs/>
        </w:rPr>
        <w:t>De Agostini</w:t>
      </w:r>
      <w:r w:rsidRPr="0074168A">
        <w:t>’s focus on harmonized media rules set a precedent for multi-faceted free movement disputes, enhancing the internal market’s coherence (</w:t>
      </w:r>
      <w:r w:rsidRPr="0074168A">
        <w:rPr>
          <w:i/>
          <w:iCs/>
        </w:rPr>
        <w:t>KO v De Agostini</w:t>
      </w:r>
      <w:r w:rsidRPr="0074168A">
        <w:t xml:space="preserve"> text).</w:t>
      </w:r>
    </w:p>
    <w:p w14:paraId="0946ACDC" w14:textId="77777777" w:rsidR="0074168A" w:rsidRPr="0074168A" w:rsidRDefault="0074168A" w:rsidP="0074168A">
      <w:pPr>
        <w:spacing w:before="100" w:beforeAutospacing="1" w:after="100" w:afterAutospacing="1"/>
        <w:outlineLvl w:val="3"/>
        <w:rPr>
          <w:b/>
          <w:bCs/>
        </w:rPr>
      </w:pPr>
      <w:r w:rsidRPr="0074168A">
        <w:rPr>
          <w:b/>
          <w:bCs/>
        </w:rPr>
        <w:t>5. Commission v Italy (Trailers) (Case C-110/05) [2009] ECR I-519</w:t>
      </w:r>
    </w:p>
    <w:p w14:paraId="7762224D" w14:textId="77777777" w:rsidR="0074168A" w:rsidRPr="0074168A" w:rsidRDefault="0074168A" w:rsidP="0074168A">
      <w:pPr>
        <w:spacing w:before="100" w:beforeAutospacing="1" w:after="100" w:afterAutospacing="1"/>
      </w:pPr>
      <w:r w:rsidRPr="0074168A">
        <w:rPr>
          <w:b/>
          <w:bCs/>
        </w:rPr>
        <w:t>Facts</w:t>
      </w:r>
      <w:r w:rsidRPr="0074168A">
        <w:t>: Italian legislation prohibited motorcycles from towing trailers, affecting trailers designed for motorcycles. The Commission argued this was an MEQR under Article 34 TFEU, while Italy claimed it was a non-discriminatory restriction on use (</w:t>
      </w:r>
      <w:r w:rsidRPr="0074168A">
        <w:rPr>
          <w:i/>
          <w:iCs/>
        </w:rPr>
        <w:t>Commission v Italy (Trailers)</w:t>
      </w:r>
      <w:r w:rsidRPr="0074168A">
        <w:t xml:space="preserve"> text).</w:t>
      </w:r>
    </w:p>
    <w:p w14:paraId="0ACACE86" w14:textId="77777777" w:rsidR="0074168A" w:rsidRPr="0074168A" w:rsidRDefault="0074168A" w:rsidP="0074168A">
      <w:pPr>
        <w:spacing w:before="100" w:beforeAutospacing="1" w:after="100" w:afterAutospacing="1"/>
      </w:pPr>
      <w:r w:rsidRPr="0074168A">
        <w:rPr>
          <w:b/>
          <w:bCs/>
        </w:rPr>
        <w:t>Held</w:t>
      </w:r>
      <w:r w:rsidRPr="0074168A">
        <w:t xml:space="preserve">: The CJEU held that restrictions on product use that significantly influence consumer </w:t>
      </w:r>
      <w:proofErr w:type="spellStart"/>
      <w:r w:rsidRPr="0074168A">
        <w:t>behavior</w:t>
      </w:r>
      <w:proofErr w:type="spellEnd"/>
      <w:r w:rsidRPr="0074168A">
        <w:t>, thereby reducing demand, constitute MEQRs. The Italian ban hindered market access for motorcycle trailers, breaching Article 34 TFEU unless justified and proportionate (</w:t>
      </w:r>
      <w:r w:rsidRPr="0074168A">
        <w:rPr>
          <w:i/>
          <w:iCs/>
        </w:rPr>
        <w:t>Commission v Italy (Trailers)</w:t>
      </w:r>
      <w:r w:rsidRPr="0074168A">
        <w:t xml:space="preserve"> text).</w:t>
      </w:r>
    </w:p>
    <w:p w14:paraId="2161A966" w14:textId="77777777" w:rsidR="0074168A" w:rsidRPr="0074168A" w:rsidRDefault="0074168A" w:rsidP="0074168A">
      <w:pPr>
        <w:spacing w:before="100" w:beforeAutospacing="1" w:after="100" w:afterAutospacing="1"/>
      </w:pPr>
      <w:r w:rsidRPr="0074168A">
        <w:rPr>
          <w:b/>
          <w:bCs/>
        </w:rPr>
        <w:t>Importance</w:t>
      </w:r>
      <w:r w:rsidRPr="0074168A">
        <w:t>:</w:t>
      </w:r>
    </w:p>
    <w:p w14:paraId="3AAC62CE" w14:textId="77777777" w:rsidR="0074168A" w:rsidRPr="0074168A" w:rsidRDefault="0074168A" w:rsidP="0074168A">
      <w:pPr>
        <w:numPr>
          <w:ilvl w:val="0"/>
          <w:numId w:val="103"/>
        </w:numPr>
        <w:spacing w:before="100" w:beforeAutospacing="1" w:after="100" w:afterAutospacing="1"/>
      </w:pPr>
      <w:r w:rsidRPr="0074168A">
        <w:rPr>
          <w:b/>
          <w:bCs/>
        </w:rPr>
        <w:t>Establishment of Market Access Test for Use Restrictions</w:t>
      </w:r>
      <w:r w:rsidRPr="0074168A">
        <w:t xml:space="preserve">: The case introduced a specific test for use restrictions, deeming them MEQRs if they significantly reduce consumer demand by limiting a product’s inherent purpose. In </w:t>
      </w:r>
      <w:r w:rsidRPr="0074168A">
        <w:rPr>
          <w:i/>
          <w:iCs/>
        </w:rPr>
        <w:t>Trailers</w:t>
      </w:r>
      <w:r w:rsidRPr="0074168A">
        <w:t xml:space="preserve">, the ban prevented consumers from using motorcycle trailers, diminishing their interest and thus market access. This is important because it expanded Article 34 TFEU’s scope to include non-discriminatory rules with demand-side effects, as applied in </w:t>
      </w:r>
      <w:proofErr w:type="spellStart"/>
      <w:r w:rsidRPr="0074168A">
        <w:rPr>
          <w:i/>
          <w:iCs/>
        </w:rPr>
        <w:t>Aklagaren</w:t>
      </w:r>
      <w:proofErr w:type="spellEnd"/>
      <w:r w:rsidRPr="0074168A">
        <w:rPr>
          <w:i/>
          <w:iCs/>
        </w:rPr>
        <w:t xml:space="preserve"> v </w:t>
      </w:r>
      <w:proofErr w:type="spellStart"/>
      <w:r w:rsidRPr="0074168A">
        <w:rPr>
          <w:i/>
          <w:iCs/>
        </w:rPr>
        <w:t>Mickelsson</w:t>
      </w:r>
      <w:proofErr w:type="spellEnd"/>
      <w:r w:rsidRPr="0074168A">
        <w:rPr>
          <w:i/>
          <w:iCs/>
        </w:rPr>
        <w:t xml:space="preserve"> and </w:t>
      </w:r>
      <w:proofErr w:type="spellStart"/>
      <w:r w:rsidRPr="0074168A">
        <w:rPr>
          <w:i/>
          <w:iCs/>
        </w:rPr>
        <w:t>Roos</w:t>
      </w:r>
      <w:proofErr w:type="spellEnd"/>
      <w:r w:rsidRPr="0074168A">
        <w:t xml:space="preserve">, Case C-142/05, where jet ski use limits were MEQRs due to restricted consumer utility. Unlike </w:t>
      </w:r>
      <w:r w:rsidRPr="0074168A">
        <w:rPr>
          <w:i/>
          <w:iCs/>
        </w:rPr>
        <w:t>Keck</w:t>
      </w:r>
      <w:r w:rsidRPr="0074168A">
        <w:t xml:space="preserve">’s focus on marketing rules, </w:t>
      </w:r>
      <w:r w:rsidRPr="0074168A">
        <w:rPr>
          <w:i/>
          <w:iCs/>
        </w:rPr>
        <w:t>Trailers</w:t>
      </w:r>
      <w:r w:rsidRPr="0074168A">
        <w:t xml:space="preserve"> addressed product functionality, modernizing free movement law to reflect consumer-driven markets (</w:t>
      </w:r>
      <w:proofErr w:type="spellStart"/>
      <w:r w:rsidRPr="0074168A">
        <w:rPr>
          <w:i/>
          <w:iCs/>
        </w:rPr>
        <w:t>Lianos</w:t>
      </w:r>
      <w:proofErr w:type="spellEnd"/>
      <w:r w:rsidRPr="0074168A">
        <w:rPr>
          <w:i/>
          <w:iCs/>
        </w:rPr>
        <w:t>, In Memoriam Keck</w:t>
      </w:r>
      <w:r w:rsidRPr="0074168A">
        <w:t>, p. 233).</w:t>
      </w:r>
    </w:p>
    <w:p w14:paraId="02574DE2" w14:textId="77777777" w:rsidR="0074168A" w:rsidRPr="0074168A" w:rsidRDefault="0074168A" w:rsidP="0074168A">
      <w:pPr>
        <w:numPr>
          <w:ilvl w:val="0"/>
          <w:numId w:val="103"/>
        </w:numPr>
        <w:spacing w:before="100" w:beforeAutospacing="1" w:after="100" w:afterAutospacing="1"/>
      </w:pPr>
      <w:r w:rsidRPr="0074168A">
        <w:rPr>
          <w:b/>
          <w:bCs/>
        </w:rPr>
        <w:t>Erosion of Keck’s Categorical Approach</w:t>
      </w:r>
      <w:r w:rsidRPr="0074168A">
        <w:t xml:space="preserve">: By bypassing </w:t>
      </w:r>
      <w:r w:rsidRPr="0074168A">
        <w:rPr>
          <w:i/>
          <w:iCs/>
        </w:rPr>
        <w:t>Keck</w:t>
      </w:r>
      <w:r w:rsidRPr="0074168A">
        <w:t xml:space="preserve">’s product requirement/selling arrangement dichotomy, </w:t>
      </w:r>
      <w:r w:rsidRPr="0074168A">
        <w:rPr>
          <w:i/>
          <w:iCs/>
        </w:rPr>
        <w:t>Trailers</w:t>
      </w:r>
      <w:r w:rsidRPr="0074168A">
        <w:t xml:space="preserve"> </w:t>
      </w:r>
      <w:proofErr w:type="spellStart"/>
      <w:r w:rsidRPr="0074168A">
        <w:t>signaled</w:t>
      </w:r>
      <w:proofErr w:type="spellEnd"/>
      <w:r w:rsidRPr="0074168A">
        <w:t xml:space="preserve"> a return to </w:t>
      </w:r>
      <w:proofErr w:type="spellStart"/>
      <w:r w:rsidRPr="0074168A">
        <w:rPr>
          <w:i/>
          <w:iCs/>
        </w:rPr>
        <w:t>Dassonville</w:t>
      </w:r>
      <w:r w:rsidRPr="0074168A">
        <w:t>’s</w:t>
      </w:r>
      <w:proofErr w:type="spellEnd"/>
      <w:r w:rsidRPr="0074168A">
        <w:t xml:space="preserve"> broader obstacle-to-trade approach, emphasizing market access over rule type. In </w:t>
      </w:r>
      <w:r w:rsidRPr="0074168A">
        <w:rPr>
          <w:i/>
          <w:iCs/>
        </w:rPr>
        <w:t>Commission v Poland</w:t>
      </w:r>
      <w:r w:rsidRPr="0074168A">
        <w:t xml:space="preserve">, Case C-639/11, right-hand drive car restrictions were MEQRs without </w:t>
      </w:r>
      <w:r w:rsidRPr="0074168A">
        <w:rPr>
          <w:i/>
          <w:iCs/>
        </w:rPr>
        <w:t>Keck</w:t>
      </w:r>
      <w:r w:rsidRPr="0074168A">
        <w:t xml:space="preserve"> categorization, following </w:t>
      </w:r>
      <w:r w:rsidRPr="0074168A">
        <w:rPr>
          <w:i/>
          <w:iCs/>
        </w:rPr>
        <w:t>Trailers</w:t>
      </w:r>
      <w:r w:rsidRPr="0074168A">
        <w:t xml:space="preserve">’ logic. This is significant because it reduced reliance on </w:t>
      </w:r>
      <w:r w:rsidRPr="0074168A">
        <w:rPr>
          <w:i/>
          <w:iCs/>
        </w:rPr>
        <w:t>Keck</w:t>
      </w:r>
      <w:r w:rsidRPr="0074168A">
        <w:t xml:space="preserve">’s complex classifications, which caused inconsistencies in cases like </w:t>
      </w:r>
      <w:proofErr w:type="spellStart"/>
      <w:r w:rsidRPr="0074168A">
        <w:rPr>
          <w:i/>
          <w:iCs/>
        </w:rPr>
        <w:t>Vereinigte</w:t>
      </w:r>
      <w:proofErr w:type="spellEnd"/>
      <w:r w:rsidRPr="0074168A">
        <w:rPr>
          <w:i/>
          <w:iCs/>
        </w:rPr>
        <w:t xml:space="preserve"> </w:t>
      </w:r>
      <w:proofErr w:type="spellStart"/>
      <w:r w:rsidRPr="0074168A">
        <w:rPr>
          <w:i/>
          <w:iCs/>
        </w:rPr>
        <w:t>Familiapress</w:t>
      </w:r>
      <w:proofErr w:type="spellEnd"/>
      <w:r w:rsidRPr="0074168A">
        <w:t>, and aligned Article 34 TFEU with a unified market access test, enhancing judicial coherence (</w:t>
      </w:r>
      <w:proofErr w:type="spellStart"/>
      <w:r w:rsidRPr="0074168A">
        <w:rPr>
          <w:i/>
          <w:iCs/>
        </w:rPr>
        <w:t>Lianos</w:t>
      </w:r>
      <w:proofErr w:type="spellEnd"/>
      <w:r w:rsidRPr="0074168A">
        <w:rPr>
          <w:i/>
          <w:iCs/>
        </w:rPr>
        <w:t>, In Memoriam Keck</w:t>
      </w:r>
      <w:r w:rsidRPr="0074168A">
        <w:t>, p. 235).</w:t>
      </w:r>
    </w:p>
    <w:p w14:paraId="34B8C0ED" w14:textId="6992272B" w:rsidR="00223A12" w:rsidRPr="00223A12" w:rsidRDefault="0074168A" w:rsidP="0074168A">
      <w:pPr>
        <w:numPr>
          <w:ilvl w:val="0"/>
          <w:numId w:val="103"/>
        </w:numPr>
        <w:spacing w:before="100" w:beforeAutospacing="1" w:after="100" w:afterAutospacing="1"/>
      </w:pPr>
      <w:r w:rsidRPr="0074168A">
        <w:rPr>
          <w:b/>
          <w:bCs/>
        </w:rPr>
        <w:t xml:space="preserve">Consumer </w:t>
      </w:r>
      <w:proofErr w:type="spellStart"/>
      <w:r w:rsidRPr="0074168A">
        <w:rPr>
          <w:b/>
          <w:bCs/>
        </w:rPr>
        <w:t>Behavior</w:t>
      </w:r>
      <w:proofErr w:type="spellEnd"/>
      <w:r w:rsidRPr="0074168A">
        <w:rPr>
          <w:b/>
          <w:bCs/>
        </w:rPr>
        <w:t xml:space="preserve"> as a Legal Criterion</w:t>
      </w:r>
      <w:r w:rsidRPr="0074168A">
        <w:t xml:space="preserve">: </w:t>
      </w:r>
      <w:r w:rsidRPr="0074168A">
        <w:rPr>
          <w:i/>
          <w:iCs/>
        </w:rPr>
        <w:t>Trailers</w:t>
      </w:r>
      <w:r w:rsidRPr="0074168A">
        <w:t xml:space="preserve">’ focus on consumer </w:t>
      </w:r>
      <w:proofErr w:type="spellStart"/>
      <w:r w:rsidRPr="0074168A">
        <w:t>behavior</w:t>
      </w:r>
      <w:proofErr w:type="spellEnd"/>
      <w:r w:rsidRPr="0074168A">
        <w:t xml:space="preserve">—where use restrictions diminish demand—introduced a novel economic perspective to Article 34 TFEU. Unlike </w:t>
      </w:r>
      <w:r w:rsidRPr="0074168A">
        <w:rPr>
          <w:i/>
          <w:iCs/>
        </w:rPr>
        <w:t>Cassis</w:t>
      </w:r>
      <w:r w:rsidRPr="0074168A">
        <w:t xml:space="preserve">’s focus on regulatory burdens, </w:t>
      </w:r>
      <w:r w:rsidRPr="0074168A">
        <w:rPr>
          <w:i/>
          <w:iCs/>
        </w:rPr>
        <w:t>Trailers</w:t>
      </w:r>
      <w:r w:rsidRPr="0074168A">
        <w:t xml:space="preserve"> assessed market impact through consumer choices, as seen in </w:t>
      </w:r>
      <w:proofErr w:type="spellStart"/>
      <w:r w:rsidRPr="0074168A">
        <w:rPr>
          <w:i/>
          <w:iCs/>
        </w:rPr>
        <w:t>Mickelsson</w:t>
      </w:r>
      <w:proofErr w:type="spellEnd"/>
      <w:r w:rsidRPr="0074168A">
        <w:rPr>
          <w:i/>
          <w:iCs/>
        </w:rPr>
        <w:t xml:space="preserve"> and </w:t>
      </w:r>
      <w:proofErr w:type="spellStart"/>
      <w:r w:rsidRPr="0074168A">
        <w:rPr>
          <w:i/>
          <w:iCs/>
        </w:rPr>
        <w:t>Roos</w:t>
      </w:r>
      <w:proofErr w:type="spellEnd"/>
      <w:r w:rsidRPr="0074168A">
        <w:t xml:space="preserve">. This is important because it adapted free movement law to modern trade dynamics, where consumer preferences drive market access, ensuring that Article 34 TFEU remains </w:t>
      </w:r>
      <w:r w:rsidRPr="0074168A">
        <w:lastRenderedPageBreak/>
        <w:t xml:space="preserve">relevant in addressing indirect barriers. The case’s forward-looking approach distinguishes it from </w:t>
      </w:r>
      <w:r w:rsidRPr="0074168A">
        <w:rPr>
          <w:i/>
          <w:iCs/>
        </w:rPr>
        <w:t>Keck</w:t>
      </w:r>
      <w:r w:rsidRPr="0074168A">
        <w:t>’s static framework, marking a pivotal shift (</w:t>
      </w:r>
      <w:proofErr w:type="spellStart"/>
      <w:r w:rsidRPr="0074168A">
        <w:rPr>
          <w:i/>
          <w:iCs/>
        </w:rPr>
        <w:t>Lianos</w:t>
      </w:r>
      <w:proofErr w:type="spellEnd"/>
      <w:r w:rsidRPr="0074168A">
        <w:rPr>
          <w:i/>
          <w:iCs/>
        </w:rPr>
        <w:t>, In Memoriam Keck</w:t>
      </w:r>
      <w:r w:rsidRPr="0074168A">
        <w:t>, p. 234).</w:t>
      </w:r>
    </w:p>
    <w:p w14:paraId="0D5850EF" w14:textId="24674ABA" w:rsidR="0065603A" w:rsidRDefault="0065603A" w:rsidP="0065603A">
      <w:pPr>
        <w:pStyle w:val="NormalWeb"/>
      </w:pPr>
      <w:r>
        <w:rPr>
          <w:rFonts w:ascii="TimesNewRomanPS" w:hAnsi="TimesNewRomanPS"/>
          <w:b/>
          <w:bCs/>
        </w:rPr>
        <w:t xml:space="preserve">Problem Question: </w:t>
      </w:r>
    </w:p>
    <w:p w14:paraId="7DCD3491" w14:textId="29AA77E5" w:rsidR="0065603A" w:rsidRDefault="0065603A" w:rsidP="0065603A">
      <w:pPr>
        <w:pStyle w:val="NormalWeb"/>
      </w:pPr>
      <w:r>
        <w:rPr>
          <w:rFonts w:ascii="TimesNewRomanPSMT" w:hAnsi="TimesNewRomanPSMT"/>
        </w:rPr>
        <w:t xml:space="preserve">Markus is an Austrian computer engineer. He works in the technology department of a large company in Italy. He recently heard of a vacancy at a high-tech start-up firm in the Netherlands. The job opportunity looks promising. However, it offers considerably less salary. Moreover, Markus is conscious that upon leaving his company in Italy, he will not benefit from the special subsistence payment that he is entitled to under his contract of employment if the company terminates his employment. Nevertheless, Markus goes ahead and accepts the new job in the Netherlands. However, given that he is financially worse off, he decides to challenge non- payment of the special subsistence payment before the Italian courts. Whilst the case is pending before the Italian courts, Markus moves, together with his son, Dirk, to the Netherlands to start his new job. Markus enjoys his work and Dirk is popular at school. However, after a year, Markus becomes dissatisfied with his new job. He decides to leave the start-up firm. Markus looks for a new job for over a year. But he remains unsuccessful in finding a job that matches his specialised skills in the Netherlands. Eventually, the Dutch authorities tell Markus that he and Dirk must leave the country since Markus has remained unemployed for a year. Both are upset. To make matters worse, the Italian courts reject Markus’s challenge. They justify their decision by highlighting the need to maintain social cohesion in Italy. </w:t>
      </w:r>
    </w:p>
    <w:p w14:paraId="44668780" w14:textId="77777777" w:rsidR="0065603A" w:rsidRDefault="0065603A" w:rsidP="0065603A">
      <w:pPr>
        <w:pStyle w:val="NormalWeb"/>
      </w:pPr>
      <w:r>
        <w:rPr>
          <w:rFonts w:ascii="TimesNewRomanPSMT" w:hAnsi="TimesNewRomanPSMT"/>
        </w:rPr>
        <w:t xml:space="preserve">Brigitte is a Belgian waitress who works at the ‘Mushy Pea’ in Dublin, a high-end restaurant. She works there once a week for a couple of hours, serving lunch to customers. The job hardly pays, but she does benefit from the collective agreement governing the catering sector. She likes the catering sector, but dreams of moving up the career ladder. She decides to leave her work in order to enrol in an evening accountancy course at the Dublin ‘Ready for Work’ Academy. However, she soon finds herself short of money. She applies for maintenance assistance, but the Irish authorities refuse to grant her maintenance assistance. They argue that students do not have access to maintenance assistance. </w:t>
      </w:r>
    </w:p>
    <w:p w14:paraId="2C6917D6" w14:textId="77777777" w:rsidR="0065603A" w:rsidRDefault="0065603A" w:rsidP="0065603A">
      <w:pPr>
        <w:pStyle w:val="NormalWeb"/>
      </w:pPr>
      <w:r>
        <w:rPr>
          <w:rFonts w:ascii="TimesNewRomanPSMT" w:hAnsi="TimesNewRomanPSMT"/>
        </w:rPr>
        <w:t xml:space="preserve">Maria is a Spanish engineer who specialises in anti-missile technology. She applies for a fixed term job as person in charge of inter-ministerial coordination at the Polish Ministry of Defence in Warsaw. She is refused the job because she does not speak English and because she is not from a Member State that has a direct border with Poland. </w:t>
      </w:r>
    </w:p>
    <w:p w14:paraId="56C43A84" w14:textId="77777777" w:rsidR="0065603A" w:rsidRDefault="0065603A" w:rsidP="0065603A">
      <w:pPr>
        <w:pStyle w:val="NormalWeb"/>
      </w:pPr>
      <w:r>
        <w:rPr>
          <w:rFonts w:ascii="TimesNewRomanPSMT" w:hAnsi="TimesNewRomanPSMT"/>
        </w:rPr>
        <w:t xml:space="preserve">Markus, Brigitte and Maria seek your advice on their legal position under EU law. </w:t>
      </w:r>
    </w:p>
    <w:p w14:paraId="59201374" w14:textId="490391FF" w:rsidR="00CD39F1" w:rsidRPr="00C341F2" w:rsidRDefault="00CD39F1"/>
    <w:sectPr w:rsidR="00CD39F1" w:rsidRPr="00C341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TimesNewRomanPS">
    <w:altName w:val="Times New Roman"/>
    <w:panose1 w:val="020B0604020202020204"/>
    <w:charset w:val="00"/>
    <w:family w:val="roman"/>
    <w:notTrueType/>
    <w:pitch w:val="default"/>
  </w:font>
  <w:font w:name="TimesNewRomanPSMT">
    <w:altName w:val="Times New Roman"/>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110AE1"/>
    <w:multiLevelType w:val="multilevel"/>
    <w:tmpl w:val="21BEEDA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16F3D2A"/>
    <w:multiLevelType w:val="multilevel"/>
    <w:tmpl w:val="87C64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EE73DA"/>
    <w:multiLevelType w:val="multilevel"/>
    <w:tmpl w:val="7174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834357"/>
    <w:multiLevelType w:val="multilevel"/>
    <w:tmpl w:val="5394C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693101"/>
    <w:multiLevelType w:val="multilevel"/>
    <w:tmpl w:val="5A1069F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064F23C6"/>
    <w:multiLevelType w:val="multilevel"/>
    <w:tmpl w:val="2C9A924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360"/>
        </w:tabs>
        <w:ind w:left="36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264993"/>
    <w:multiLevelType w:val="multilevel"/>
    <w:tmpl w:val="94DC5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5C04D7"/>
    <w:multiLevelType w:val="multilevel"/>
    <w:tmpl w:val="AC34E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C74A71"/>
    <w:multiLevelType w:val="multilevel"/>
    <w:tmpl w:val="2CE226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423C69"/>
    <w:multiLevelType w:val="multilevel"/>
    <w:tmpl w:val="AEBC1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F514AE"/>
    <w:multiLevelType w:val="multilevel"/>
    <w:tmpl w:val="15FE2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6D0EA4"/>
    <w:multiLevelType w:val="multilevel"/>
    <w:tmpl w:val="AA483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A045D1"/>
    <w:multiLevelType w:val="multilevel"/>
    <w:tmpl w:val="5D5E45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A83CB5"/>
    <w:multiLevelType w:val="multilevel"/>
    <w:tmpl w:val="45A65D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2E6606"/>
    <w:multiLevelType w:val="multilevel"/>
    <w:tmpl w:val="6D92F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D466F1"/>
    <w:multiLevelType w:val="multilevel"/>
    <w:tmpl w:val="073E3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63579C"/>
    <w:multiLevelType w:val="multilevel"/>
    <w:tmpl w:val="9AA8B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727DFD"/>
    <w:multiLevelType w:val="multilevel"/>
    <w:tmpl w:val="6E368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097CC8"/>
    <w:multiLevelType w:val="multilevel"/>
    <w:tmpl w:val="D5F21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277728"/>
    <w:multiLevelType w:val="multilevel"/>
    <w:tmpl w:val="0100D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5E2D72"/>
    <w:multiLevelType w:val="multilevel"/>
    <w:tmpl w:val="40764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D15C60"/>
    <w:multiLevelType w:val="multilevel"/>
    <w:tmpl w:val="568CB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FF368A5"/>
    <w:multiLevelType w:val="multilevel"/>
    <w:tmpl w:val="9B3611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360"/>
        </w:tabs>
        <w:ind w:left="36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0382BE8"/>
    <w:multiLevelType w:val="multilevel"/>
    <w:tmpl w:val="243803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1351953"/>
    <w:multiLevelType w:val="multilevel"/>
    <w:tmpl w:val="72220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4440B4E"/>
    <w:multiLevelType w:val="multilevel"/>
    <w:tmpl w:val="B156D7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68E4559"/>
    <w:multiLevelType w:val="multilevel"/>
    <w:tmpl w:val="5E9AA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8674411"/>
    <w:multiLevelType w:val="multilevel"/>
    <w:tmpl w:val="F6ACB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8FE4410"/>
    <w:multiLevelType w:val="multilevel"/>
    <w:tmpl w:val="BBEA8C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BE70A0D"/>
    <w:multiLevelType w:val="multilevel"/>
    <w:tmpl w:val="ADE81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EE41367"/>
    <w:multiLevelType w:val="multilevel"/>
    <w:tmpl w:val="229C02EE"/>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1" w15:restartNumberingAfterBreak="0">
    <w:nsid w:val="31124D76"/>
    <w:multiLevelType w:val="multilevel"/>
    <w:tmpl w:val="B65EA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2A3580F"/>
    <w:multiLevelType w:val="multilevel"/>
    <w:tmpl w:val="01B4C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3032835"/>
    <w:multiLevelType w:val="multilevel"/>
    <w:tmpl w:val="5D96C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3476A6E"/>
    <w:multiLevelType w:val="multilevel"/>
    <w:tmpl w:val="A754B5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5D1412B"/>
    <w:multiLevelType w:val="multilevel"/>
    <w:tmpl w:val="9C8C3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63C555A"/>
    <w:multiLevelType w:val="multilevel"/>
    <w:tmpl w:val="2576ADE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360"/>
        </w:tabs>
        <w:ind w:left="360" w:hanging="360"/>
      </w:pPr>
      <w:rPr>
        <w:rFonts w:ascii="Courier New" w:hAnsi="Courier New" w:hint="default"/>
        <w:sz w:val="20"/>
      </w:rPr>
    </w:lvl>
    <w:lvl w:ilvl="2">
      <w:start w:val="1"/>
      <w:numFmt w:val="bullet"/>
      <w:lvlText w:val=""/>
      <w:lvlJc w:val="left"/>
      <w:pPr>
        <w:tabs>
          <w:tab w:val="num" w:pos="360"/>
        </w:tabs>
        <w:ind w:left="36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7" w15:restartNumberingAfterBreak="0">
    <w:nsid w:val="37D771B5"/>
    <w:multiLevelType w:val="multilevel"/>
    <w:tmpl w:val="FFE21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8183F68"/>
    <w:multiLevelType w:val="hybridMultilevel"/>
    <w:tmpl w:val="5178BAB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38BC41F6"/>
    <w:multiLevelType w:val="multilevel"/>
    <w:tmpl w:val="915E3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A336B0A"/>
    <w:multiLevelType w:val="multilevel"/>
    <w:tmpl w:val="6EDE9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A8427CD"/>
    <w:multiLevelType w:val="multilevel"/>
    <w:tmpl w:val="3162E9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360"/>
        </w:tabs>
        <w:ind w:left="36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B0D12B4"/>
    <w:multiLevelType w:val="multilevel"/>
    <w:tmpl w:val="4CE667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D0767BB"/>
    <w:multiLevelType w:val="multilevel"/>
    <w:tmpl w:val="725E0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D94222F"/>
    <w:multiLevelType w:val="multilevel"/>
    <w:tmpl w:val="388CC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EAE6C09"/>
    <w:multiLevelType w:val="multilevel"/>
    <w:tmpl w:val="B1B2A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F56095F"/>
    <w:multiLevelType w:val="multilevel"/>
    <w:tmpl w:val="6BF64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FD45F9F"/>
    <w:multiLevelType w:val="multilevel"/>
    <w:tmpl w:val="4378BCF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8" w15:restartNumberingAfterBreak="0">
    <w:nsid w:val="3FD91EF3"/>
    <w:multiLevelType w:val="multilevel"/>
    <w:tmpl w:val="FFAE4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202037D"/>
    <w:multiLevelType w:val="multilevel"/>
    <w:tmpl w:val="22FA1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2B016DC"/>
    <w:multiLevelType w:val="multilevel"/>
    <w:tmpl w:val="3432E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3BF29DA"/>
    <w:multiLevelType w:val="multilevel"/>
    <w:tmpl w:val="A1E2E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457060D"/>
    <w:multiLevelType w:val="multilevel"/>
    <w:tmpl w:val="A6965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50629E6"/>
    <w:multiLevelType w:val="multilevel"/>
    <w:tmpl w:val="320A26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360"/>
        </w:tabs>
        <w:ind w:left="36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57B4599"/>
    <w:multiLevelType w:val="multilevel"/>
    <w:tmpl w:val="6EE251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5B44AF8"/>
    <w:multiLevelType w:val="multilevel"/>
    <w:tmpl w:val="86F25D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6962EFE"/>
    <w:multiLevelType w:val="multilevel"/>
    <w:tmpl w:val="EAC41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75C4954"/>
    <w:multiLevelType w:val="multilevel"/>
    <w:tmpl w:val="D82007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7C334CA"/>
    <w:multiLevelType w:val="multilevel"/>
    <w:tmpl w:val="DD12B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87E4A07"/>
    <w:multiLevelType w:val="multilevel"/>
    <w:tmpl w:val="443AD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B1F1C1E"/>
    <w:multiLevelType w:val="multilevel"/>
    <w:tmpl w:val="9D2C4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B2A4CDF"/>
    <w:multiLevelType w:val="multilevel"/>
    <w:tmpl w:val="ABAC7D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360"/>
        </w:tabs>
        <w:ind w:left="36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B9A1931"/>
    <w:multiLevelType w:val="multilevel"/>
    <w:tmpl w:val="59AC82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BC80C7B"/>
    <w:multiLevelType w:val="multilevel"/>
    <w:tmpl w:val="097A0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DD35576"/>
    <w:multiLevelType w:val="multilevel"/>
    <w:tmpl w:val="AEA44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F0E0DD1"/>
    <w:multiLevelType w:val="multilevel"/>
    <w:tmpl w:val="5608D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1D75A3D"/>
    <w:multiLevelType w:val="multilevel"/>
    <w:tmpl w:val="2250A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25125C3"/>
    <w:multiLevelType w:val="multilevel"/>
    <w:tmpl w:val="BB543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9717CC0"/>
    <w:multiLevelType w:val="multilevel"/>
    <w:tmpl w:val="45740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9C23870"/>
    <w:multiLevelType w:val="multilevel"/>
    <w:tmpl w:val="BAF0F98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0" w15:restartNumberingAfterBreak="0">
    <w:nsid w:val="5B3C5EE6"/>
    <w:multiLevelType w:val="multilevel"/>
    <w:tmpl w:val="F1226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CC54150"/>
    <w:multiLevelType w:val="multilevel"/>
    <w:tmpl w:val="95902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D51284F"/>
    <w:multiLevelType w:val="multilevel"/>
    <w:tmpl w:val="4D8A27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D7D3CED"/>
    <w:multiLevelType w:val="multilevel"/>
    <w:tmpl w:val="23BA1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D985533"/>
    <w:multiLevelType w:val="multilevel"/>
    <w:tmpl w:val="8D72DF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E616A58"/>
    <w:multiLevelType w:val="multilevel"/>
    <w:tmpl w:val="F33015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360"/>
        </w:tabs>
        <w:ind w:left="36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F12713F"/>
    <w:multiLevelType w:val="multilevel"/>
    <w:tmpl w:val="A00ED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2F06E45"/>
    <w:multiLevelType w:val="multilevel"/>
    <w:tmpl w:val="5AFA99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4C658A9"/>
    <w:multiLevelType w:val="multilevel"/>
    <w:tmpl w:val="35CAD2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360"/>
        </w:tabs>
        <w:ind w:left="36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70C72B8"/>
    <w:multiLevelType w:val="multilevel"/>
    <w:tmpl w:val="984C3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8014759"/>
    <w:multiLevelType w:val="multilevel"/>
    <w:tmpl w:val="C5A24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A9F35AD"/>
    <w:multiLevelType w:val="multilevel"/>
    <w:tmpl w:val="CF70773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B741008"/>
    <w:multiLevelType w:val="multilevel"/>
    <w:tmpl w:val="504A8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D203985"/>
    <w:multiLevelType w:val="multilevel"/>
    <w:tmpl w:val="CA8E3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D48267E"/>
    <w:multiLevelType w:val="multilevel"/>
    <w:tmpl w:val="F830D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D7E4EC0"/>
    <w:multiLevelType w:val="multilevel"/>
    <w:tmpl w:val="D6925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EEF23E1"/>
    <w:multiLevelType w:val="multilevel"/>
    <w:tmpl w:val="64CA1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10A54CA"/>
    <w:multiLevelType w:val="multilevel"/>
    <w:tmpl w:val="0FAEE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255715F"/>
    <w:multiLevelType w:val="multilevel"/>
    <w:tmpl w:val="31B0A9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360"/>
        </w:tabs>
        <w:ind w:left="36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3AF5A77"/>
    <w:multiLevelType w:val="multilevel"/>
    <w:tmpl w:val="851E4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43A2555"/>
    <w:multiLevelType w:val="multilevel"/>
    <w:tmpl w:val="D6F28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4B51C3C"/>
    <w:multiLevelType w:val="multilevel"/>
    <w:tmpl w:val="C2501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56D155C"/>
    <w:multiLevelType w:val="multilevel"/>
    <w:tmpl w:val="4064C7B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3" w15:restartNumberingAfterBreak="0">
    <w:nsid w:val="75C56031"/>
    <w:multiLevelType w:val="multilevel"/>
    <w:tmpl w:val="030080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6113DD3"/>
    <w:multiLevelType w:val="multilevel"/>
    <w:tmpl w:val="02780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6FE49F9"/>
    <w:multiLevelType w:val="multilevel"/>
    <w:tmpl w:val="28D4A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8594923"/>
    <w:multiLevelType w:val="multilevel"/>
    <w:tmpl w:val="23F60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861615C"/>
    <w:multiLevelType w:val="multilevel"/>
    <w:tmpl w:val="C41863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C7578AB"/>
    <w:multiLevelType w:val="multilevel"/>
    <w:tmpl w:val="01A0C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D7A0CFA"/>
    <w:multiLevelType w:val="multilevel"/>
    <w:tmpl w:val="FECC8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E25234A"/>
    <w:multiLevelType w:val="multilevel"/>
    <w:tmpl w:val="1BBAF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E781F86"/>
    <w:multiLevelType w:val="multilevel"/>
    <w:tmpl w:val="43B60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FEE2950"/>
    <w:multiLevelType w:val="multilevel"/>
    <w:tmpl w:val="29309A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9171111">
    <w:abstractNumId w:val="30"/>
  </w:num>
  <w:num w:numId="2" w16cid:durableId="582111560">
    <w:abstractNumId w:val="4"/>
  </w:num>
  <w:num w:numId="3" w16cid:durableId="1806503215">
    <w:abstractNumId w:val="90"/>
  </w:num>
  <w:num w:numId="4" w16cid:durableId="1734423601">
    <w:abstractNumId w:val="94"/>
  </w:num>
  <w:num w:numId="5" w16cid:durableId="182981218">
    <w:abstractNumId w:val="0"/>
  </w:num>
  <w:num w:numId="6" w16cid:durableId="229853981">
    <w:abstractNumId w:val="36"/>
  </w:num>
  <w:num w:numId="7" w16cid:durableId="818499337">
    <w:abstractNumId w:val="75"/>
  </w:num>
  <w:num w:numId="8" w16cid:durableId="1327444239">
    <w:abstractNumId w:val="61"/>
  </w:num>
  <w:num w:numId="9" w16cid:durableId="822888702">
    <w:abstractNumId w:val="41"/>
  </w:num>
  <w:num w:numId="10" w16cid:durableId="389573537">
    <w:abstractNumId w:val="81"/>
  </w:num>
  <w:num w:numId="11" w16cid:durableId="484781366">
    <w:abstractNumId w:val="38"/>
  </w:num>
  <w:num w:numId="12" w16cid:durableId="1533573451">
    <w:abstractNumId w:val="47"/>
  </w:num>
  <w:num w:numId="13" w16cid:durableId="226720668">
    <w:abstractNumId w:val="3"/>
  </w:num>
  <w:num w:numId="14" w16cid:durableId="1935244798">
    <w:abstractNumId w:val="92"/>
  </w:num>
  <w:num w:numId="15" w16cid:durableId="406193847">
    <w:abstractNumId w:val="63"/>
  </w:num>
  <w:num w:numId="16" w16cid:durableId="554396261">
    <w:abstractNumId w:val="53"/>
  </w:num>
  <w:num w:numId="17" w16cid:durableId="1859351783">
    <w:abstractNumId w:val="88"/>
  </w:num>
  <w:num w:numId="18" w16cid:durableId="951090083">
    <w:abstractNumId w:val="22"/>
  </w:num>
  <w:num w:numId="19" w16cid:durableId="156000450">
    <w:abstractNumId w:val="78"/>
  </w:num>
  <w:num w:numId="20" w16cid:durableId="392312657">
    <w:abstractNumId w:val="40"/>
  </w:num>
  <w:num w:numId="21" w16cid:durableId="139276557">
    <w:abstractNumId w:val="70"/>
  </w:num>
  <w:num w:numId="22" w16cid:durableId="1958638656">
    <w:abstractNumId w:val="84"/>
  </w:num>
  <w:num w:numId="23" w16cid:durableId="1178811918">
    <w:abstractNumId w:val="17"/>
  </w:num>
  <w:num w:numId="24" w16cid:durableId="1836995379">
    <w:abstractNumId w:val="64"/>
  </w:num>
  <w:num w:numId="25" w16cid:durableId="132258346">
    <w:abstractNumId w:val="7"/>
  </w:num>
  <w:num w:numId="26" w16cid:durableId="1592161067">
    <w:abstractNumId w:val="91"/>
  </w:num>
  <w:num w:numId="27" w16cid:durableId="1650206353">
    <w:abstractNumId w:val="10"/>
  </w:num>
  <w:num w:numId="28" w16cid:durableId="1481195246">
    <w:abstractNumId w:val="48"/>
  </w:num>
  <w:num w:numId="29" w16cid:durableId="1543715691">
    <w:abstractNumId w:val="85"/>
  </w:num>
  <w:num w:numId="30" w16cid:durableId="176040566">
    <w:abstractNumId w:val="59"/>
  </w:num>
  <w:num w:numId="31" w16cid:durableId="1068381562">
    <w:abstractNumId w:val="31"/>
  </w:num>
  <w:num w:numId="32" w16cid:durableId="1564482975">
    <w:abstractNumId w:val="35"/>
  </w:num>
  <w:num w:numId="33" w16cid:durableId="2143031916">
    <w:abstractNumId w:val="26"/>
  </w:num>
  <w:num w:numId="34" w16cid:durableId="1810589047">
    <w:abstractNumId w:val="80"/>
  </w:num>
  <w:num w:numId="35" w16cid:durableId="1268391536">
    <w:abstractNumId w:val="58"/>
  </w:num>
  <w:num w:numId="36" w16cid:durableId="1183325168">
    <w:abstractNumId w:val="13"/>
  </w:num>
  <w:num w:numId="37" w16cid:durableId="812990065">
    <w:abstractNumId w:val="93"/>
  </w:num>
  <w:num w:numId="38" w16cid:durableId="248127395">
    <w:abstractNumId w:val="57"/>
  </w:num>
  <w:num w:numId="39" w16cid:durableId="971668496">
    <w:abstractNumId w:val="72"/>
  </w:num>
  <w:num w:numId="40" w16cid:durableId="473522983">
    <w:abstractNumId w:val="34"/>
  </w:num>
  <w:num w:numId="41" w16cid:durableId="1044407364">
    <w:abstractNumId w:val="23"/>
  </w:num>
  <w:num w:numId="42" w16cid:durableId="514616254">
    <w:abstractNumId w:val="74"/>
  </w:num>
  <w:num w:numId="43" w16cid:durableId="603925726">
    <w:abstractNumId w:val="28"/>
  </w:num>
  <w:num w:numId="44" w16cid:durableId="789206373">
    <w:abstractNumId w:val="8"/>
  </w:num>
  <w:num w:numId="45" w16cid:durableId="1399400438">
    <w:abstractNumId w:val="62"/>
  </w:num>
  <w:num w:numId="46" w16cid:durableId="1071929499">
    <w:abstractNumId w:val="55"/>
  </w:num>
  <w:num w:numId="47" w16cid:durableId="1242522051">
    <w:abstractNumId w:val="97"/>
  </w:num>
  <w:num w:numId="48" w16cid:durableId="866140873">
    <w:abstractNumId w:val="42"/>
  </w:num>
  <w:num w:numId="49" w16cid:durableId="488061045">
    <w:abstractNumId w:val="76"/>
  </w:num>
  <w:num w:numId="50" w16cid:durableId="903444635">
    <w:abstractNumId w:val="24"/>
  </w:num>
  <w:num w:numId="51" w16cid:durableId="1785539472">
    <w:abstractNumId w:val="27"/>
  </w:num>
  <w:num w:numId="52" w16cid:durableId="1406613310">
    <w:abstractNumId w:val="87"/>
  </w:num>
  <w:num w:numId="53" w16cid:durableId="926117449">
    <w:abstractNumId w:val="89"/>
  </w:num>
  <w:num w:numId="54" w16cid:durableId="1264849313">
    <w:abstractNumId w:val="56"/>
  </w:num>
  <w:num w:numId="55" w16cid:durableId="2029871617">
    <w:abstractNumId w:val="2"/>
  </w:num>
  <w:num w:numId="56" w16cid:durableId="1193492113">
    <w:abstractNumId w:val="18"/>
  </w:num>
  <w:num w:numId="57" w16cid:durableId="1978338608">
    <w:abstractNumId w:val="6"/>
  </w:num>
  <w:num w:numId="58" w16cid:durableId="1646663031">
    <w:abstractNumId w:val="15"/>
  </w:num>
  <w:num w:numId="59" w16cid:durableId="1940529730">
    <w:abstractNumId w:val="37"/>
  </w:num>
  <w:num w:numId="60" w16cid:durableId="414322809">
    <w:abstractNumId w:val="83"/>
  </w:num>
  <w:num w:numId="61" w16cid:durableId="1598950190">
    <w:abstractNumId w:val="102"/>
  </w:num>
  <w:num w:numId="62" w16cid:durableId="379863568">
    <w:abstractNumId w:val="25"/>
  </w:num>
  <w:num w:numId="63" w16cid:durableId="665285951">
    <w:abstractNumId w:val="12"/>
  </w:num>
  <w:num w:numId="64" w16cid:durableId="863202954">
    <w:abstractNumId w:val="54"/>
  </w:num>
  <w:num w:numId="65" w16cid:durableId="770206009">
    <w:abstractNumId w:val="5"/>
  </w:num>
  <w:num w:numId="66" w16cid:durableId="1250850710">
    <w:abstractNumId w:val="14"/>
  </w:num>
  <w:num w:numId="67" w16cid:durableId="140854951">
    <w:abstractNumId w:val="99"/>
  </w:num>
  <w:num w:numId="68" w16cid:durableId="558442609">
    <w:abstractNumId w:val="51"/>
  </w:num>
  <w:num w:numId="69" w16cid:durableId="2103262342">
    <w:abstractNumId w:val="44"/>
  </w:num>
  <w:num w:numId="70" w16cid:durableId="513425313">
    <w:abstractNumId w:val="11"/>
  </w:num>
  <w:num w:numId="71" w16cid:durableId="1071587528">
    <w:abstractNumId w:val="43"/>
  </w:num>
  <w:num w:numId="72" w16cid:durableId="1368874171">
    <w:abstractNumId w:val="67"/>
  </w:num>
  <w:num w:numId="73" w16cid:durableId="218833833">
    <w:abstractNumId w:val="33"/>
  </w:num>
  <w:num w:numId="74" w16cid:durableId="1397242536">
    <w:abstractNumId w:val="46"/>
  </w:num>
  <w:num w:numId="75" w16cid:durableId="1501896460">
    <w:abstractNumId w:val="1"/>
  </w:num>
  <w:num w:numId="76" w16cid:durableId="2021003369">
    <w:abstractNumId w:val="98"/>
  </w:num>
  <w:num w:numId="77" w16cid:durableId="905914012">
    <w:abstractNumId w:val="39"/>
  </w:num>
  <w:num w:numId="78" w16cid:durableId="2009600139">
    <w:abstractNumId w:val="79"/>
  </w:num>
  <w:num w:numId="79" w16cid:durableId="62065883">
    <w:abstractNumId w:val="68"/>
  </w:num>
  <w:num w:numId="80" w16cid:durableId="9530481">
    <w:abstractNumId w:val="77"/>
  </w:num>
  <w:num w:numId="81" w16cid:durableId="427771380">
    <w:abstractNumId w:val="100"/>
  </w:num>
  <w:num w:numId="82" w16cid:durableId="1163086148">
    <w:abstractNumId w:val="82"/>
  </w:num>
  <w:num w:numId="83" w16cid:durableId="788931922">
    <w:abstractNumId w:val="95"/>
  </w:num>
  <w:num w:numId="84" w16cid:durableId="396318288">
    <w:abstractNumId w:val="49"/>
  </w:num>
  <w:num w:numId="85" w16cid:durableId="1846287593">
    <w:abstractNumId w:val="9"/>
  </w:num>
  <w:num w:numId="86" w16cid:durableId="697118519">
    <w:abstractNumId w:val="69"/>
  </w:num>
  <w:num w:numId="87" w16cid:durableId="392460705">
    <w:abstractNumId w:val="19"/>
  </w:num>
  <w:num w:numId="88" w16cid:durableId="1742366246">
    <w:abstractNumId w:val="73"/>
  </w:num>
  <w:num w:numId="89" w16cid:durableId="871841549">
    <w:abstractNumId w:val="86"/>
  </w:num>
  <w:num w:numId="90" w16cid:durableId="1754014142">
    <w:abstractNumId w:val="21"/>
  </w:num>
  <w:num w:numId="91" w16cid:durableId="224805598">
    <w:abstractNumId w:val="16"/>
  </w:num>
  <w:num w:numId="92" w16cid:durableId="584338205">
    <w:abstractNumId w:val="96"/>
  </w:num>
  <w:num w:numId="93" w16cid:durableId="1342053301">
    <w:abstractNumId w:val="65"/>
  </w:num>
  <w:num w:numId="94" w16cid:durableId="695544676">
    <w:abstractNumId w:val="32"/>
  </w:num>
  <w:num w:numId="95" w16cid:durableId="1795826985">
    <w:abstractNumId w:val="52"/>
  </w:num>
  <w:num w:numId="96" w16cid:durableId="1459763783">
    <w:abstractNumId w:val="66"/>
  </w:num>
  <w:num w:numId="97" w16cid:durableId="1310404457">
    <w:abstractNumId w:val="101"/>
  </w:num>
  <w:num w:numId="98" w16cid:durableId="701439854">
    <w:abstractNumId w:val="20"/>
  </w:num>
  <w:num w:numId="99" w16cid:durableId="1209418360">
    <w:abstractNumId w:val="71"/>
  </w:num>
  <w:num w:numId="100" w16cid:durableId="2053580543">
    <w:abstractNumId w:val="50"/>
  </w:num>
  <w:num w:numId="101" w16cid:durableId="1272662569">
    <w:abstractNumId w:val="45"/>
  </w:num>
  <w:num w:numId="102" w16cid:durableId="1086683728">
    <w:abstractNumId w:val="60"/>
  </w:num>
  <w:num w:numId="103" w16cid:durableId="1974171488">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77A"/>
    <w:rsid w:val="000046A5"/>
    <w:rsid w:val="0001136E"/>
    <w:rsid w:val="00012117"/>
    <w:rsid w:val="000147A9"/>
    <w:rsid w:val="000215F4"/>
    <w:rsid w:val="00042755"/>
    <w:rsid w:val="000516FC"/>
    <w:rsid w:val="0006107D"/>
    <w:rsid w:val="000623A3"/>
    <w:rsid w:val="00066D1D"/>
    <w:rsid w:val="0007002F"/>
    <w:rsid w:val="000719DA"/>
    <w:rsid w:val="00094D65"/>
    <w:rsid w:val="000A2074"/>
    <w:rsid w:val="000A3F4D"/>
    <w:rsid w:val="000A64DA"/>
    <w:rsid w:val="000C4ABC"/>
    <w:rsid w:val="000C58D7"/>
    <w:rsid w:val="000E15ED"/>
    <w:rsid w:val="000F3F73"/>
    <w:rsid w:val="000F5868"/>
    <w:rsid w:val="00101CCF"/>
    <w:rsid w:val="00105088"/>
    <w:rsid w:val="0011328F"/>
    <w:rsid w:val="00121A80"/>
    <w:rsid w:val="001372F7"/>
    <w:rsid w:val="00155BE6"/>
    <w:rsid w:val="0017535F"/>
    <w:rsid w:val="00175AB8"/>
    <w:rsid w:val="0019260C"/>
    <w:rsid w:val="001A41D2"/>
    <w:rsid w:val="001B0E31"/>
    <w:rsid w:val="001D360C"/>
    <w:rsid w:val="001E2584"/>
    <w:rsid w:val="001F3868"/>
    <w:rsid w:val="002033A2"/>
    <w:rsid w:val="00204B6E"/>
    <w:rsid w:val="00210513"/>
    <w:rsid w:val="00223837"/>
    <w:rsid w:val="00223A12"/>
    <w:rsid w:val="00236E15"/>
    <w:rsid w:val="00243CED"/>
    <w:rsid w:val="00247BCC"/>
    <w:rsid w:val="00257540"/>
    <w:rsid w:val="0026510F"/>
    <w:rsid w:val="0027707D"/>
    <w:rsid w:val="0028028D"/>
    <w:rsid w:val="0028222B"/>
    <w:rsid w:val="00291F37"/>
    <w:rsid w:val="0029568E"/>
    <w:rsid w:val="00297C6E"/>
    <w:rsid w:val="002A3133"/>
    <w:rsid w:val="002B3377"/>
    <w:rsid w:val="002C38C0"/>
    <w:rsid w:val="002C6D8B"/>
    <w:rsid w:val="002D2BF1"/>
    <w:rsid w:val="002D62C6"/>
    <w:rsid w:val="002D715D"/>
    <w:rsid w:val="002E3864"/>
    <w:rsid w:val="002E46F2"/>
    <w:rsid w:val="002F06DE"/>
    <w:rsid w:val="002F1DB1"/>
    <w:rsid w:val="002F20B2"/>
    <w:rsid w:val="002F53C9"/>
    <w:rsid w:val="00300FD7"/>
    <w:rsid w:val="003048A0"/>
    <w:rsid w:val="0031138E"/>
    <w:rsid w:val="0031474F"/>
    <w:rsid w:val="00315815"/>
    <w:rsid w:val="0032656E"/>
    <w:rsid w:val="003278F5"/>
    <w:rsid w:val="00330665"/>
    <w:rsid w:val="00335249"/>
    <w:rsid w:val="00341960"/>
    <w:rsid w:val="00342A18"/>
    <w:rsid w:val="003435C9"/>
    <w:rsid w:val="00354C0D"/>
    <w:rsid w:val="00357561"/>
    <w:rsid w:val="00361344"/>
    <w:rsid w:val="0036177C"/>
    <w:rsid w:val="00361975"/>
    <w:rsid w:val="00371F58"/>
    <w:rsid w:val="00376E23"/>
    <w:rsid w:val="0039416B"/>
    <w:rsid w:val="003A1271"/>
    <w:rsid w:val="003A5DF7"/>
    <w:rsid w:val="003B3510"/>
    <w:rsid w:val="003B5060"/>
    <w:rsid w:val="003C116C"/>
    <w:rsid w:val="003D0CDD"/>
    <w:rsid w:val="003D710F"/>
    <w:rsid w:val="003E1CAA"/>
    <w:rsid w:val="003F66C5"/>
    <w:rsid w:val="0040210F"/>
    <w:rsid w:val="00412F9B"/>
    <w:rsid w:val="0042186C"/>
    <w:rsid w:val="004222FD"/>
    <w:rsid w:val="004302B1"/>
    <w:rsid w:val="004319FA"/>
    <w:rsid w:val="00442F56"/>
    <w:rsid w:val="0044616D"/>
    <w:rsid w:val="00460BF8"/>
    <w:rsid w:val="00474DD1"/>
    <w:rsid w:val="004751B5"/>
    <w:rsid w:val="0048097D"/>
    <w:rsid w:val="004816F7"/>
    <w:rsid w:val="0048175B"/>
    <w:rsid w:val="004829F2"/>
    <w:rsid w:val="004845CE"/>
    <w:rsid w:val="0049450A"/>
    <w:rsid w:val="004A553E"/>
    <w:rsid w:val="004B0B8B"/>
    <w:rsid w:val="004B1048"/>
    <w:rsid w:val="004B134B"/>
    <w:rsid w:val="004D01FE"/>
    <w:rsid w:val="004D19F6"/>
    <w:rsid w:val="004D582C"/>
    <w:rsid w:val="004D5B1A"/>
    <w:rsid w:val="004E1930"/>
    <w:rsid w:val="004E458E"/>
    <w:rsid w:val="004E671A"/>
    <w:rsid w:val="004F0E12"/>
    <w:rsid w:val="004F43CC"/>
    <w:rsid w:val="004F5A36"/>
    <w:rsid w:val="004F67E4"/>
    <w:rsid w:val="0050512A"/>
    <w:rsid w:val="00505437"/>
    <w:rsid w:val="005120A1"/>
    <w:rsid w:val="00517DB1"/>
    <w:rsid w:val="005364AA"/>
    <w:rsid w:val="00542B57"/>
    <w:rsid w:val="00545764"/>
    <w:rsid w:val="005525C9"/>
    <w:rsid w:val="00557B52"/>
    <w:rsid w:val="005743EA"/>
    <w:rsid w:val="005770A9"/>
    <w:rsid w:val="0058416B"/>
    <w:rsid w:val="0058425D"/>
    <w:rsid w:val="00591130"/>
    <w:rsid w:val="00595357"/>
    <w:rsid w:val="005A1930"/>
    <w:rsid w:val="005A3C9C"/>
    <w:rsid w:val="005A6EEA"/>
    <w:rsid w:val="005B34ED"/>
    <w:rsid w:val="005B61CD"/>
    <w:rsid w:val="005B74C5"/>
    <w:rsid w:val="005C4FF3"/>
    <w:rsid w:val="005C50B3"/>
    <w:rsid w:val="005C6B83"/>
    <w:rsid w:val="005C7AAA"/>
    <w:rsid w:val="005D57DA"/>
    <w:rsid w:val="005E7702"/>
    <w:rsid w:val="005E7DD7"/>
    <w:rsid w:val="005F33FC"/>
    <w:rsid w:val="00605F8E"/>
    <w:rsid w:val="00613954"/>
    <w:rsid w:val="006159E0"/>
    <w:rsid w:val="00622488"/>
    <w:rsid w:val="006350B8"/>
    <w:rsid w:val="006415E8"/>
    <w:rsid w:val="006425BE"/>
    <w:rsid w:val="00650543"/>
    <w:rsid w:val="00654D8B"/>
    <w:rsid w:val="0065603A"/>
    <w:rsid w:val="00661136"/>
    <w:rsid w:val="00663181"/>
    <w:rsid w:val="00672197"/>
    <w:rsid w:val="0068027B"/>
    <w:rsid w:val="006B7BA3"/>
    <w:rsid w:val="006C42B8"/>
    <w:rsid w:val="006C50C7"/>
    <w:rsid w:val="006D1612"/>
    <w:rsid w:val="006E7826"/>
    <w:rsid w:val="006F6576"/>
    <w:rsid w:val="00713CA9"/>
    <w:rsid w:val="007162F0"/>
    <w:rsid w:val="00726229"/>
    <w:rsid w:val="0074168A"/>
    <w:rsid w:val="007455C6"/>
    <w:rsid w:val="007475C7"/>
    <w:rsid w:val="0075265A"/>
    <w:rsid w:val="0075498E"/>
    <w:rsid w:val="00757BE5"/>
    <w:rsid w:val="00760E46"/>
    <w:rsid w:val="007643D2"/>
    <w:rsid w:val="00766D82"/>
    <w:rsid w:val="007678B2"/>
    <w:rsid w:val="00782575"/>
    <w:rsid w:val="0078776B"/>
    <w:rsid w:val="00794072"/>
    <w:rsid w:val="00796A93"/>
    <w:rsid w:val="007975B6"/>
    <w:rsid w:val="007B48C2"/>
    <w:rsid w:val="007C1A90"/>
    <w:rsid w:val="007C231D"/>
    <w:rsid w:val="007D07AB"/>
    <w:rsid w:val="007D68F0"/>
    <w:rsid w:val="007E1559"/>
    <w:rsid w:val="007E2E80"/>
    <w:rsid w:val="007E4AE6"/>
    <w:rsid w:val="007F776E"/>
    <w:rsid w:val="00816563"/>
    <w:rsid w:val="00830C88"/>
    <w:rsid w:val="00845A72"/>
    <w:rsid w:val="00845AB5"/>
    <w:rsid w:val="00850813"/>
    <w:rsid w:val="00861B11"/>
    <w:rsid w:val="00863659"/>
    <w:rsid w:val="00871FC4"/>
    <w:rsid w:val="008829C2"/>
    <w:rsid w:val="0088570A"/>
    <w:rsid w:val="008A54BE"/>
    <w:rsid w:val="008B2AB5"/>
    <w:rsid w:val="008B34DE"/>
    <w:rsid w:val="008C7B0A"/>
    <w:rsid w:val="008D0642"/>
    <w:rsid w:val="008E43C2"/>
    <w:rsid w:val="008E745B"/>
    <w:rsid w:val="008F4EA7"/>
    <w:rsid w:val="008F5A10"/>
    <w:rsid w:val="00905ED0"/>
    <w:rsid w:val="0092269A"/>
    <w:rsid w:val="009255D3"/>
    <w:rsid w:val="00931EAF"/>
    <w:rsid w:val="0093405B"/>
    <w:rsid w:val="0094782D"/>
    <w:rsid w:val="00966189"/>
    <w:rsid w:val="00973661"/>
    <w:rsid w:val="00974434"/>
    <w:rsid w:val="00975B2D"/>
    <w:rsid w:val="00977514"/>
    <w:rsid w:val="00991B23"/>
    <w:rsid w:val="009A48B0"/>
    <w:rsid w:val="009B24D6"/>
    <w:rsid w:val="009B2F21"/>
    <w:rsid w:val="009B3EF4"/>
    <w:rsid w:val="009C6498"/>
    <w:rsid w:val="009E62AF"/>
    <w:rsid w:val="009F726A"/>
    <w:rsid w:val="009F73E1"/>
    <w:rsid w:val="00A017EE"/>
    <w:rsid w:val="00A03BBD"/>
    <w:rsid w:val="00A21254"/>
    <w:rsid w:val="00A220B7"/>
    <w:rsid w:val="00A25E98"/>
    <w:rsid w:val="00A2728B"/>
    <w:rsid w:val="00A3793B"/>
    <w:rsid w:val="00A37AB0"/>
    <w:rsid w:val="00A4085F"/>
    <w:rsid w:val="00A4114F"/>
    <w:rsid w:val="00A45953"/>
    <w:rsid w:val="00A61CD9"/>
    <w:rsid w:val="00A7777A"/>
    <w:rsid w:val="00A93FBA"/>
    <w:rsid w:val="00A95C7E"/>
    <w:rsid w:val="00AB609D"/>
    <w:rsid w:val="00AC3AB8"/>
    <w:rsid w:val="00AE4348"/>
    <w:rsid w:val="00AE4B42"/>
    <w:rsid w:val="00AE4BAF"/>
    <w:rsid w:val="00AE71E4"/>
    <w:rsid w:val="00B03D5A"/>
    <w:rsid w:val="00B200EB"/>
    <w:rsid w:val="00B23297"/>
    <w:rsid w:val="00B360EE"/>
    <w:rsid w:val="00B53B6F"/>
    <w:rsid w:val="00B60A3B"/>
    <w:rsid w:val="00B651D9"/>
    <w:rsid w:val="00B67231"/>
    <w:rsid w:val="00B73742"/>
    <w:rsid w:val="00B8622A"/>
    <w:rsid w:val="00B914E6"/>
    <w:rsid w:val="00B95747"/>
    <w:rsid w:val="00BC4186"/>
    <w:rsid w:val="00BC5F25"/>
    <w:rsid w:val="00BD1450"/>
    <w:rsid w:val="00BD7714"/>
    <w:rsid w:val="00BD7C9B"/>
    <w:rsid w:val="00BE07C8"/>
    <w:rsid w:val="00C072F8"/>
    <w:rsid w:val="00C163D7"/>
    <w:rsid w:val="00C17D79"/>
    <w:rsid w:val="00C24A8A"/>
    <w:rsid w:val="00C27321"/>
    <w:rsid w:val="00C341F2"/>
    <w:rsid w:val="00C36588"/>
    <w:rsid w:val="00C44474"/>
    <w:rsid w:val="00C44EB3"/>
    <w:rsid w:val="00C45839"/>
    <w:rsid w:val="00C54722"/>
    <w:rsid w:val="00C616D7"/>
    <w:rsid w:val="00C65F70"/>
    <w:rsid w:val="00C76196"/>
    <w:rsid w:val="00C941C4"/>
    <w:rsid w:val="00C96A36"/>
    <w:rsid w:val="00C9722D"/>
    <w:rsid w:val="00CA350B"/>
    <w:rsid w:val="00CA3F60"/>
    <w:rsid w:val="00CC2EFF"/>
    <w:rsid w:val="00CC4FEF"/>
    <w:rsid w:val="00CD39F1"/>
    <w:rsid w:val="00CE1439"/>
    <w:rsid w:val="00CE2394"/>
    <w:rsid w:val="00CE7B86"/>
    <w:rsid w:val="00CF74EF"/>
    <w:rsid w:val="00D01E71"/>
    <w:rsid w:val="00D02AC8"/>
    <w:rsid w:val="00D0623C"/>
    <w:rsid w:val="00D07271"/>
    <w:rsid w:val="00D16917"/>
    <w:rsid w:val="00D274DA"/>
    <w:rsid w:val="00D60E77"/>
    <w:rsid w:val="00D64DCE"/>
    <w:rsid w:val="00D65735"/>
    <w:rsid w:val="00D715E8"/>
    <w:rsid w:val="00D73E2C"/>
    <w:rsid w:val="00D76D14"/>
    <w:rsid w:val="00D9345A"/>
    <w:rsid w:val="00DA31CB"/>
    <w:rsid w:val="00DA3D31"/>
    <w:rsid w:val="00DA4488"/>
    <w:rsid w:val="00DB2E35"/>
    <w:rsid w:val="00DC0040"/>
    <w:rsid w:val="00DC0B7B"/>
    <w:rsid w:val="00DC228E"/>
    <w:rsid w:val="00DC495B"/>
    <w:rsid w:val="00DC7181"/>
    <w:rsid w:val="00DD5D40"/>
    <w:rsid w:val="00DD6F5C"/>
    <w:rsid w:val="00DD7881"/>
    <w:rsid w:val="00DE6C87"/>
    <w:rsid w:val="00DF0F11"/>
    <w:rsid w:val="00E06E11"/>
    <w:rsid w:val="00E14A1A"/>
    <w:rsid w:val="00E14E1F"/>
    <w:rsid w:val="00E21363"/>
    <w:rsid w:val="00E2730E"/>
    <w:rsid w:val="00E4366A"/>
    <w:rsid w:val="00E438AC"/>
    <w:rsid w:val="00E51987"/>
    <w:rsid w:val="00E53FD2"/>
    <w:rsid w:val="00E5689E"/>
    <w:rsid w:val="00E60DF5"/>
    <w:rsid w:val="00E64DD3"/>
    <w:rsid w:val="00E80D33"/>
    <w:rsid w:val="00E9484C"/>
    <w:rsid w:val="00E95D59"/>
    <w:rsid w:val="00E95D8D"/>
    <w:rsid w:val="00EA6ED5"/>
    <w:rsid w:val="00EB7051"/>
    <w:rsid w:val="00EC67FC"/>
    <w:rsid w:val="00EC68EB"/>
    <w:rsid w:val="00EC7C43"/>
    <w:rsid w:val="00ED6BC3"/>
    <w:rsid w:val="00EE0191"/>
    <w:rsid w:val="00EE4F6A"/>
    <w:rsid w:val="00EF3EF4"/>
    <w:rsid w:val="00F012E4"/>
    <w:rsid w:val="00F0631B"/>
    <w:rsid w:val="00F248D2"/>
    <w:rsid w:val="00F27F00"/>
    <w:rsid w:val="00F33570"/>
    <w:rsid w:val="00F655F4"/>
    <w:rsid w:val="00F71153"/>
    <w:rsid w:val="00F81EB6"/>
    <w:rsid w:val="00F858D4"/>
    <w:rsid w:val="00FA0450"/>
    <w:rsid w:val="00FA4E8A"/>
    <w:rsid w:val="00FB2653"/>
    <w:rsid w:val="00FB5C49"/>
    <w:rsid w:val="00FB79E0"/>
    <w:rsid w:val="00FC3A97"/>
    <w:rsid w:val="00FC7B56"/>
    <w:rsid w:val="00FE5294"/>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E8A6A7"/>
  <w15:chartTrackingRefBased/>
  <w15:docId w15:val="{96D0A78A-5E1B-2D43-9EE4-8E0C85A267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HK"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002F"/>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A7777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7777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7777A"/>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A7777A"/>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7777A"/>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A7777A"/>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7777A"/>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7777A"/>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7777A"/>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777A"/>
    <w:rPr>
      <w:rFonts w:asciiTheme="majorHAnsi" w:eastAsiaTheme="majorEastAsia" w:hAnsiTheme="majorHAnsi" w:cstheme="majorBidi"/>
      <w:color w:val="2F5496" w:themeColor="accent1" w:themeShade="BF"/>
      <w:kern w:val="0"/>
      <w:sz w:val="40"/>
      <w:szCs w:val="40"/>
      <w:lang w:val="en-GB"/>
      <w14:ligatures w14:val="none"/>
    </w:rPr>
  </w:style>
  <w:style w:type="character" w:customStyle="1" w:styleId="Heading2Char">
    <w:name w:val="Heading 2 Char"/>
    <w:basedOn w:val="DefaultParagraphFont"/>
    <w:link w:val="Heading2"/>
    <w:uiPriority w:val="9"/>
    <w:semiHidden/>
    <w:rsid w:val="00A7777A"/>
    <w:rPr>
      <w:rFonts w:asciiTheme="majorHAnsi" w:eastAsiaTheme="majorEastAsia" w:hAnsiTheme="majorHAnsi" w:cstheme="majorBidi"/>
      <w:color w:val="2F5496" w:themeColor="accent1" w:themeShade="BF"/>
      <w:kern w:val="0"/>
      <w:sz w:val="32"/>
      <w:szCs w:val="32"/>
      <w:lang w:val="en-GB"/>
      <w14:ligatures w14:val="none"/>
    </w:rPr>
  </w:style>
  <w:style w:type="character" w:customStyle="1" w:styleId="Heading3Char">
    <w:name w:val="Heading 3 Char"/>
    <w:basedOn w:val="DefaultParagraphFont"/>
    <w:link w:val="Heading3"/>
    <w:uiPriority w:val="9"/>
    <w:rsid w:val="00A7777A"/>
    <w:rPr>
      <w:rFonts w:eastAsiaTheme="majorEastAsia" w:cstheme="majorBidi"/>
      <w:color w:val="2F5496" w:themeColor="accent1" w:themeShade="BF"/>
      <w:kern w:val="0"/>
      <w:sz w:val="28"/>
      <w:szCs w:val="28"/>
      <w:lang w:val="en-GB"/>
      <w14:ligatures w14:val="none"/>
    </w:rPr>
  </w:style>
  <w:style w:type="character" w:customStyle="1" w:styleId="Heading4Char">
    <w:name w:val="Heading 4 Char"/>
    <w:basedOn w:val="DefaultParagraphFont"/>
    <w:link w:val="Heading4"/>
    <w:uiPriority w:val="9"/>
    <w:rsid w:val="00A7777A"/>
    <w:rPr>
      <w:rFonts w:eastAsiaTheme="majorEastAsia" w:cstheme="majorBidi"/>
      <w:i/>
      <w:iCs/>
      <w:color w:val="2F5496" w:themeColor="accent1" w:themeShade="BF"/>
      <w:kern w:val="0"/>
      <w:lang w:val="en-GB"/>
      <w14:ligatures w14:val="none"/>
    </w:rPr>
  </w:style>
  <w:style w:type="character" w:customStyle="1" w:styleId="Heading5Char">
    <w:name w:val="Heading 5 Char"/>
    <w:basedOn w:val="DefaultParagraphFont"/>
    <w:link w:val="Heading5"/>
    <w:uiPriority w:val="9"/>
    <w:semiHidden/>
    <w:rsid w:val="00A7777A"/>
    <w:rPr>
      <w:rFonts w:eastAsiaTheme="majorEastAsia" w:cstheme="majorBidi"/>
      <w:color w:val="2F5496" w:themeColor="accent1" w:themeShade="BF"/>
      <w:kern w:val="0"/>
      <w:lang w:val="en-GB"/>
      <w14:ligatures w14:val="none"/>
    </w:rPr>
  </w:style>
  <w:style w:type="character" w:customStyle="1" w:styleId="Heading6Char">
    <w:name w:val="Heading 6 Char"/>
    <w:basedOn w:val="DefaultParagraphFont"/>
    <w:link w:val="Heading6"/>
    <w:uiPriority w:val="9"/>
    <w:semiHidden/>
    <w:rsid w:val="00A7777A"/>
    <w:rPr>
      <w:rFonts w:eastAsiaTheme="majorEastAsia" w:cstheme="majorBidi"/>
      <w:i/>
      <w:iCs/>
      <w:color w:val="595959" w:themeColor="text1" w:themeTint="A6"/>
      <w:kern w:val="0"/>
      <w:lang w:val="en-GB"/>
      <w14:ligatures w14:val="none"/>
    </w:rPr>
  </w:style>
  <w:style w:type="character" w:customStyle="1" w:styleId="Heading7Char">
    <w:name w:val="Heading 7 Char"/>
    <w:basedOn w:val="DefaultParagraphFont"/>
    <w:link w:val="Heading7"/>
    <w:uiPriority w:val="9"/>
    <w:semiHidden/>
    <w:rsid w:val="00A7777A"/>
    <w:rPr>
      <w:rFonts w:eastAsiaTheme="majorEastAsia" w:cstheme="majorBidi"/>
      <w:color w:val="595959" w:themeColor="text1" w:themeTint="A6"/>
      <w:kern w:val="0"/>
      <w:lang w:val="en-GB"/>
      <w14:ligatures w14:val="none"/>
    </w:rPr>
  </w:style>
  <w:style w:type="character" w:customStyle="1" w:styleId="Heading8Char">
    <w:name w:val="Heading 8 Char"/>
    <w:basedOn w:val="DefaultParagraphFont"/>
    <w:link w:val="Heading8"/>
    <w:uiPriority w:val="9"/>
    <w:semiHidden/>
    <w:rsid w:val="00A7777A"/>
    <w:rPr>
      <w:rFonts w:eastAsiaTheme="majorEastAsia" w:cstheme="majorBidi"/>
      <w:i/>
      <w:iCs/>
      <w:color w:val="272727" w:themeColor="text1" w:themeTint="D8"/>
      <w:kern w:val="0"/>
      <w:lang w:val="en-GB"/>
      <w14:ligatures w14:val="none"/>
    </w:rPr>
  </w:style>
  <w:style w:type="character" w:customStyle="1" w:styleId="Heading9Char">
    <w:name w:val="Heading 9 Char"/>
    <w:basedOn w:val="DefaultParagraphFont"/>
    <w:link w:val="Heading9"/>
    <w:uiPriority w:val="9"/>
    <w:semiHidden/>
    <w:rsid w:val="00A7777A"/>
    <w:rPr>
      <w:rFonts w:eastAsiaTheme="majorEastAsia" w:cstheme="majorBidi"/>
      <w:color w:val="272727" w:themeColor="text1" w:themeTint="D8"/>
      <w:kern w:val="0"/>
      <w:lang w:val="en-GB"/>
      <w14:ligatures w14:val="none"/>
    </w:rPr>
  </w:style>
  <w:style w:type="paragraph" w:styleId="Title">
    <w:name w:val="Title"/>
    <w:basedOn w:val="Normal"/>
    <w:next w:val="Normal"/>
    <w:link w:val="TitleChar"/>
    <w:uiPriority w:val="10"/>
    <w:qFormat/>
    <w:rsid w:val="00A7777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777A"/>
    <w:rPr>
      <w:rFonts w:asciiTheme="majorHAnsi" w:eastAsiaTheme="majorEastAsia" w:hAnsiTheme="majorHAnsi" w:cstheme="majorBidi"/>
      <w:spacing w:val="-10"/>
      <w:kern w:val="28"/>
      <w:sz w:val="56"/>
      <w:szCs w:val="56"/>
      <w:lang w:val="en-GB"/>
      <w14:ligatures w14:val="none"/>
    </w:rPr>
  </w:style>
  <w:style w:type="paragraph" w:styleId="Subtitle">
    <w:name w:val="Subtitle"/>
    <w:basedOn w:val="Normal"/>
    <w:next w:val="Normal"/>
    <w:link w:val="SubtitleChar"/>
    <w:uiPriority w:val="11"/>
    <w:qFormat/>
    <w:rsid w:val="00A7777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777A"/>
    <w:rPr>
      <w:rFonts w:eastAsiaTheme="majorEastAsia" w:cstheme="majorBidi"/>
      <w:color w:val="595959" w:themeColor="text1" w:themeTint="A6"/>
      <w:spacing w:val="15"/>
      <w:kern w:val="0"/>
      <w:sz w:val="28"/>
      <w:szCs w:val="28"/>
      <w:lang w:val="en-GB"/>
      <w14:ligatures w14:val="none"/>
    </w:rPr>
  </w:style>
  <w:style w:type="paragraph" w:styleId="Quote">
    <w:name w:val="Quote"/>
    <w:basedOn w:val="Normal"/>
    <w:next w:val="Normal"/>
    <w:link w:val="QuoteChar"/>
    <w:uiPriority w:val="29"/>
    <w:qFormat/>
    <w:rsid w:val="00A7777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7777A"/>
    <w:rPr>
      <w:rFonts w:ascii="Arial" w:eastAsia="Times New Roman" w:hAnsi="Arial" w:cs="Times New Roman"/>
      <w:i/>
      <w:iCs/>
      <w:color w:val="404040" w:themeColor="text1" w:themeTint="BF"/>
      <w:kern w:val="0"/>
      <w:lang w:val="en-GB"/>
      <w14:ligatures w14:val="none"/>
    </w:rPr>
  </w:style>
  <w:style w:type="paragraph" w:styleId="ListParagraph">
    <w:name w:val="List Paragraph"/>
    <w:basedOn w:val="Normal"/>
    <w:uiPriority w:val="34"/>
    <w:qFormat/>
    <w:rsid w:val="00A7777A"/>
    <w:pPr>
      <w:ind w:left="720"/>
      <w:contextualSpacing/>
    </w:pPr>
  </w:style>
  <w:style w:type="character" w:styleId="IntenseEmphasis">
    <w:name w:val="Intense Emphasis"/>
    <w:basedOn w:val="DefaultParagraphFont"/>
    <w:uiPriority w:val="21"/>
    <w:qFormat/>
    <w:rsid w:val="00A7777A"/>
    <w:rPr>
      <w:i/>
      <w:iCs/>
      <w:color w:val="2F5496" w:themeColor="accent1" w:themeShade="BF"/>
    </w:rPr>
  </w:style>
  <w:style w:type="paragraph" w:styleId="IntenseQuote">
    <w:name w:val="Intense Quote"/>
    <w:basedOn w:val="Normal"/>
    <w:next w:val="Normal"/>
    <w:link w:val="IntenseQuoteChar"/>
    <w:uiPriority w:val="30"/>
    <w:qFormat/>
    <w:rsid w:val="00A777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7777A"/>
    <w:rPr>
      <w:rFonts w:ascii="Arial" w:eastAsia="Times New Roman" w:hAnsi="Arial" w:cs="Times New Roman"/>
      <w:i/>
      <w:iCs/>
      <w:color w:val="2F5496" w:themeColor="accent1" w:themeShade="BF"/>
      <w:kern w:val="0"/>
      <w:lang w:val="en-GB"/>
      <w14:ligatures w14:val="none"/>
    </w:rPr>
  </w:style>
  <w:style w:type="character" w:styleId="IntenseReference">
    <w:name w:val="Intense Reference"/>
    <w:basedOn w:val="DefaultParagraphFont"/>
    <w:uiPriority w:val="32"/>
    <w:qFormat/>
    <w:rsid w:val="00A7777A"/>
    <w:rPr>
      <w:b/>
      <w:bCs/>
      <w:smallCaps/>
      <w:color w:val="2F5496" w:themeColor="accent1" w:themeShade="BF"/>
      <w:spacing w:val="5"/>
    </w:rPr>
  </w:style>
  <w:style w:type="paragraph" w:styleId="NormalWeb">
    <w:name w:val="Normal (Web)"/>
    <w:basedOn w:val="Normal"/>
    <w:uiPriority w:val="99"/>
    <w:unhideWhenUsed/>
    <w:rsid w:val="00794072"/>
    <w:pPr>
      <w:spacing w:before="100" w:beforeAutospacing="1" w:after="100" w:afterAutospacing="1"/>
    </w:pPr>
  </w:style>
  <w:style w:type="paragraph" w:customStyle="1" w:styleId="break-words">
    <w:name w:val="break-words"/>
    <w:basedOn w:val="Normal"/>
    <w:rsid w:val="00155BE6"/>
    <w:pPr>
      <w:spacing w:before="100" w:beforeAutospacing="1" w:after="100" w:afterAutospacing="1"/>
    </w:pPr>
  </w:style>
  <w:style w:type="character" w:styleId="Strong">
    <w:name w:val="Strong"/>
    <w:basedOn w:val="DefaultParagraphFont"/>
    <w:uiPriority w:val="22"/>
    <w:qFormat/>
    <w:rsid w:val="00155BE6"/>
    <w:rPr>
      <w:b/>
      <w:bCs/>
    </w:rPr>
  </w:style>
  <w:style w:type="character" w:styleId="Emphasis">
    <w:name w:val="Emphasis"/>
    <w:basedOn w:val="DefaultParagraphFont"/>
    <w:uiPriority w:val="20"/>
    <w:qFormat/>
    <w:rsid w:val="00AE4B4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123328">
      <w:bodyDiv w:val="1"/>
      <w:marLeft w:val="0"/>
      <w:marRight w:val="0"/>
      <w:marTop w:val="0"/>
      <w:marBottom w:val="0"/>
      <w:divBdr>
        <w:top w:val="none" w:sz="0" w:space="0" w:color="auto"/>
        <w:left w:val="none" w:sz="0" w:space="0" w:color="auto"/>
        <w:bottom w:val="none" w:sz="0" w:space="0" w:color="auto"/>
        <w:right w:val="none" w:sz="0" w:space="0" w:color="auto"/>
      </w:divBdr>
      <w:divsChild>
        <w:div w:id="1809009796">
          <w:marLeft w:val="0"/>
          <w:marRight w:val="0"/>
          <w:marTop w:val="0"/>
          <w:marBottom w:val="0"/>
          <w:divBdr>
            <w:top w:val="none" w:sz="0" w:space="0" w:color="auto"/>
            <w:left w:val="none" w:sz="0" w:space="0" w:color="auto"/>
            <w:bottom w:val="none" w:sz="0" w:space="0" w:color="auto"/>
            <w:right w:val="none" w:sz="0" w:space="0" w:color="auto"/>
          </w:divBdr>
        </w:div>
      </w:divsChild>
    </w:div>
    <w:div w:id="209417166">
      <w:bodyDiv w:val="1"/>
      <w:marLeft w:val="0"/>
      <w:marRight w:val="0"/>
      <w:marTop w:val="0"/>
      <w:marBottom w:val="0"/>
      <w:divBdr>
        <w:top w:val="none" w:sz="0" w:space="0" w:color="auto"/>
        <w:left w:val="none" w:sz="0" w:space="0" w:color="auto"/>
        <w:bottom w:val="none" w:sz="0" w:space="0" w:color="auto"/>
        <w:right w:val="none" w:sz="0" w:space="0" w:color="auto"/>
      </w:divBdr>
      <w:divsChild>
        <w:div w:id="837618459">
          <w:marLeft w:val="0"/>
          <w:marRight w:val="0"/>
          <w:marTop w:val="0"/>
          <w:marBottom w:val="0"/>
          <w:divBdr>
            <w:top w:val="none" w:sz="0" w:space="0" w:color="auto"/>
            <w:left w:val="none" w:sz="0" w:space="0" w:color="auto"/>
            <w:bottom w:val="none" w:sz="0" w:space="0" w:color="auto"/>
            <w:right w:val="none" w:sz="0" w:space="0" w:color="auto"/>
          </w:divBdr>
        </w:div>
      </w:divsChild>
    </w:div>
    <w:div w:id="325940571">
      <w:bodyDiv w:val="1"/>
      <w:marLeft w:val="0"/>
      <w:marRight w:val="0"/>
      <w:marTop w:val="0"/>
      <w:marBottom w:val="0"/>
      <w:divBdr>
        <w:top w:val="none" w:sz="0" w:space="0" w:color="auto"/>
        <w:left w:val="none" w:sz="0" w:space="0" w:color="auto"/>
        <w:bottom w:val="none" w:sz="0" w:space="0" w:color="auto"/>
        <w:right w:val="none" w:sz="0" w:space="0" w:color="auto"/>
      </w:divBdr>
      <w:divsChild>
        <w:div w:id="1648047578">
          <w:marLeft w:val="0"/>
          <w:marRight w:val="0"/>
          <w:marTop w:val="0"/>
          <w:marBottom w:val="0"/>
          <w:divBdr>
            <w:top w:val="none" w:sz="0" w:space="0" w:color="auto"/>
            <w:left w:val="none" w:sz="0" w:space="0" w:color="auto"/>
            <w:bottom w:val="none" w:sz="0" w:space="0" w:color="auto"/>
            <w:right w:val="none" w:sz="0" w:space="0" w:color="auto"/>
          </w:divBdr>
        </w:div>
      </w:divsChild>
    </w:div>
    <w:div w:id="467893415">
      <w:bodyDiv w:val="1"/>
      <w:marLeft w:val="0"/>
      <w:marRight w:val="0"/>
      <w:marTop w:val="0"/>
      <w:marBottom w:val="0"/>
      <w:divBdr>
        <w:top w:val="none" w:sz="0" w:space="0" w:color="auto"/>
        <w:left w:val="none" w:sz="0" w:space="0" w:color="auto"/>
        <w:bottom w:val="none" w:sz="0" w:space="0" w:color="auto"/>
        <w:right w:val="none" w:sz="0" w:space="0" w:color="auto"/>
      </w:divBdr>
      <w:divsChild>
        <w:div w:id="257104345">
          <w:marLeft w:val="0"/>
          <w:marRight w:val="0"/>
          <w:marTop w:val="0"/>
          <w:marBottom w:val="0"/>
          <w:divBdr>
            <w:top w:val="none" w:sz="0" w:space="0" w:color="auto"/>
            <w:left w:val="none" w:sz="0" w:space="0" w:color="auto"/>
            <w:bottom w:val="none" w:sz="0" w:space="0" w:color="auto"/>
            <w:right w:val="none" w:sz="0" w:space="0" w:color="auto"/>
          </w:divBdr>
        </w:div>
      </w:divsChild>
    </w:div>
    <w:div w:id="511997353">
      <w:bodyDiv w:val="1"/>
      <w:marLeft w:val="0"/>
      <w:marRight w:val="0"/>
      <w:marTop w:val="0"/>
      <w:marBottom w:val="0"/>
      <w:divBdr>
        <w:top w:val="none" w:sz="0" w:space="0" w:color="auto"/>
        <w:left w:val="none" w:sz="0" w:space="0" w:color="auto"/>
        <w:bottom w:val="none" w:sz="0" w:space="0" w:color="auto"/>
        <w:right w:val="none" w:sz="0" w:space="0" w:color="auto"/>
      </w:divBdr>
    </w:div>
    <w:div w:id="701518056">
      <w:bodyDiv w:val="1"/>
      <w:marLeft w:val="0"/>
      <w:marRight w:val="0"/>
      <w:marTop w:val="0"/>
      <w:marBottom w:val="0"/>
      <w:divBdr>
        <w:top w:val="none" w:sz="0" w:space="0" w:color="auto"/>
        <w:left w:val="none" w:sz="0" w:space="0" w:color="auto"/>
        <w:bottom w:val="none" w:sz="0" w:space="0" w:color="auto"/>
        <w:right w:val="none" w:sz="0" w:space="0" w:color="auto"/>
      </w:divBdr>
      <w:divsChild>
        <w:div w:id="1839885681">
          <w:marLeft w:val="0"/>
          <w:marRight w:val="0"/>
          <w:marTop w:val="0"/>
          <w:marBottom w:val="0"/>
          <w:divBdr>
            <w:top w:val="none" w:sz="0" w:space="0" w:color="auto"/>
            <w:left w:val="none" w:sz="0" w:space="0" w:color="auto"/>
            <w:bottom w:val="none" w:sz="0" w:space="0" w:color="auto"/>
            <w:right w:val="none" w:sz="0" w:space="0" w:color="auto"/>
          </w:divBdr>
        </w:div>
      </w:divsChild>
    </w:div>
    <w:div w:id="794252365">
      <w:bodyDiv w:val="1"/>
      <w:marLeft w:val="0"/>
      <w:marRight w:val="0"/>
      <w:marTop w:val="0"/>
      <w:marBottom w:val="0"/>
      <w:divBdr>
        <w:top w:val="none" w:sz="0" w:space="0" w:color="auto"/>
        <w:left w:val="none" w:sz="0" w:space="0" w:color="auto"/>
        <w:bottom w:val="none" w:sz="0" w:space="0" w:color="auto"/>
        <w:right w:val="none" w:sz="0" w:space="0" w:color="auto"/>
      </w:divBdr>
      <w:divsChild>
        <w:div w:id="301934332">
          <w:marLeft w:val="0"/>
          <w:marRight w:val="0"/>
          <w:marTop w:val="0"/>
          <w:marBottom w:val="0"/>
          <w:divBdr>
            <w:top w:val="none" w:sz="0" w:space="0" w:color="auto"/>
            <w:left w:val="none" w:sz="0" w:space="0" w:color="auto"/>
            <w:bottom w:val="none" w:sz="0" w:space="0" w:color="auto"/>
            <w:right w:val="none" w:sz="0" w:space="0" w:color="auto"/>
          </w:divBdr>
        </w:div>
      </w:divsChild>
    </w:div>
    <w:div w:id="862742565">
      <w:bodyDiv w:val="1"/>
      <w:marLeft w:val="0"/>
      <w:marRight w:val="0"/>
      <w:marTop w:val="0"/>
      <w:marBottom w:val="0"/>
      <w:divBdr>
        <w:top w:val="none" w:sz="0" w:space="0" w:color="auto"/>
        <w:left w:val="none" w:sz="0" w:space="0" w:color="auto"/>
        <w:bottom w:val="none" w:sz="0" w:space="0" w:color="auto"/>
        <w:right w:val="none" w:sz="0" w:space="0" w:color="auto"/>
      </w:divBdr>
      <w:divsChild>
        <w:div w:id="484467487">
          <w:marLeft w:val="0"/>
          <w:marRight w:val="0"/>
          <w:marTop w:val="0"/>
          <w:marBottom w:val="0"/>
          <w:divBdr>
            <w:top w:val="none" w:sz="0" w:space="0" w:color="auto"/>
            <w:left w:val="none" w:sz="0" w:space="0" w:color="auto"/>
            <w:bottom w:val="none" w:sz="0" w:space="0" w:color="auto"/>
            <w:right w:val="none" w:sz="0" w:space="0" w:color="auto"/>
          </w:divBdr>
          <w:divsChild>
            <w:div w:id="1571384615">
              <w:marLeft w:val="0"/>
              <w:marRight w:val="0"/>
              <w:marTop w:val="0"/>
              <w:marBottom w:val="0"/>
              <w:divBdr>
                <w:top w:val="none" w:sz="0" w:space="0" w:color="auto"/>
                <w:left w:val="none" w:sz="0" w:space="0" w:color="auto"/>
                <w:bottom w:val="none" w:sz="0" w:space="0" w:color="auto"/>
                <w:right w:val="none" w:sz="0" w:space="0" w:color="auto"/>
              </w:divBdr>
              <w:divsChild>
                <w:div w:id="161892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067889">
          <w:marLeft w:val="0"/>
          <w:marRight w:val="0"/>
          <w:marTop w:val="0"/>
          <w:marBottom w:val="0"/>
          <w:divBdr>
            <w:top w:val="none" w:sz="0" w:space="0" w:color="auto"/>
            <w:left w:val="none" w:sz="0" w:space="0" w:color="auto"/>
            <w:bottom w:val="none" w:sz="0" w:space="0" w:color="auto"/>
            <w:right w:val="none" w:sz="0" w:space="0" w:color="auto"/>
          </w:divBdr>
          <w:divsChild>
            <w:div w:id="443620951">
              <w:marLeft w:val="0"/>
              <w:marRight w:val="0"/>
              <w:marTop w:val="0"/>
              <w:marBottom w:val="0"/>
              <w:divBdr>
                <w:top w:val="none" w:sz="0" w:space="0" w:color="auto"/>
                <w:left w:val="none" w:sz="0" w:space="0" w:color="auto"/>
                <w:bottom w:val="none" w:sz="0" w:space="0" w:color="auto"/>
                <w:right w:val="none" w:sz="0" w:space="0" w:color="auto"/>
              </w:divBdr>
              <w:divsChild>
                <w:div w:id="1402829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2017261">
      <w:bodyDiv w:val="1"/>
      <w:marLeft w:val="0"/>
      <w:marRight w:val="0"/>
      <w:marTop w:val="0"/>
      <w:marBottom w:val="0"/>
      <w:divBdr>
        <w:top w:val="none" w:sz="0" w:space="0" w:color="auto"/>
        <w:left w:val="none" w:sz="0" w:space="0" w:color="auto"/>
        <w:bottom w:val="none" w:sz="0" w:space="0" w:color="auto"/>
        <w:right w:val="none" w:sz="0" w:space="0" w:color="auto"/>
      </w:divBdr>
      <w:divsChild>
        <w:div w:id="1130132099">
          <w:marLeft w:val="0"/>
          <w:marRight w:val="0"/>
          <w:marTop w:val="0"/>
          <w:marBottom w:val="0"/>
          <w:divBdr>
            <w:top w:val="none" w:sz="0" w:space="0" w:color="auto"/>
            <w:left w:val="none" w:sz="0" w:space="0" w:color="auto"/>
            <w:bottom w:val="none" w:sz="0" w:space="0" w:color="auto"/>
            <w:right w:val="none" w:sz="0" w:space="0" w:color="auto"/>
          </w:divBdr>
        </w:div>
      </w:divsChild>
    </w:div>
    <w:div w:id="1203056152">
      <w:bodyDiv w:val="1"/>
      <w:marLeft w:val="0"/>
      <w:marRight w:val="0"/>
      <w:marTop w:val="0"/>
      <w:marBottom w:val="0"/>
      <w:divBdr>
        <w:top w:val="none" w:sz="0" w:space="0" w:color="auto"/>
        <w:left w:val="none" w:sz="0" w:space="0" w:color="auto"/>
        <w:bottom w:val="none" w:sz="0" w:space="0" w:color="auto"/>
        <w:right w:val="none" w:sz="0" w:space="0" w:color="auto"/>
      </w:divBdr>
      <w:divsChild>
        <w:div w:id="1741753820">
          <w:marLeft w:val="0"/>
          <w:marRight w:val="0"/>
          <w:marTop w:val="0"/>
          <w:marBottom w:val="0"/>
          <w:divBdr>
            <w:top w:val="none" w:sz="0" w:space="0" w:color="auto"/>
            <w:left w:val="none" w:sz="0" w:space="0" w:color="auto"/>
            <w:bottom w:val="none" w:sz="0" w:space="0" w:color="auto"/>
            <w:right w:val="none" w:sz="0" w:space="0" w:color="auto"/>
          </w:divBdr>
        </w:div>
      </w:divsChild>
    </w:div>
    <w:div w:id="1373532795">
      <w:bodyDiv w:val="1"/>
      <w:marLeft w:val="0"/>
      <w:marRight w:val="0"/>
      <w:marTop w:val="0"/>
      <w:marBottom w:val="0"/>
      <w:divBdr>
        <w:top w:val="none" w:sz="0" w:space="0" w:color="auto"/>
        <w:left w:val="none" w:sz="0" w:space="0" w:color="auto"/>
        <w:bottom w:val="none" w:sz="0" w:space="0" w:color="auto"/>
        <w:right w:val="none" w:sz="0" w:space="0" w:color="auto"/>
      </w:divBdr>
      <w:divsChild>
        <w:div w:id="659238357">
          <w:marLeft w:val="0"/>
          <w:marRight w:val="0"/>
          <w:marTop w:val="0"/>
          <w:marBottom w:val="0"/>
          <w:divBdr>
            <w:top w:val="none" w:sz="0" w:space="0" w:color="auto"/>
            <w:left w:val="none" w:sz="0" w:space="0" w:color="auto"/>
            <w:bottom w:val="none" w:sz="0" w:space="0" w:color="auto"/>
            <w:right w:val="none" w:sz="0" w:space="0" w:color="auto"/>
          </w:divBdr>
          <w:divsChild>
            <w:div w:id="2001232500">
              <w:marLeft w:val="0"/>
              <w:marRight w:val="0"/>
              <w:marTop w:val="0"/>
              <w:marBottom w:val="0"/>
              <w:divBdr>
                <w:top w:val="none" w:sz="0" w:space="0" w:color="auto"/>
                <w:left w:val="none" w:sz="0" w:space="0" w:color="auto"/>
                <w:bottom w:val="none" w:sz="0" w:space="0" w:color="auto"/>
                <w:right w:val="none" w:sz="0" w:space="0" w:color="auto"/>
              </w:divBdr>
              <w:divsChild>
                <w:div w:id="395204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1098395">
      <w:bodyDiv w:val="1"/>
      <w:marLeft w:val="0"/>
      <w:marRight w:val="0"/>
      <w:marTop w:val="0"/>
      <w:marBottom w:val="0"/>
      <w:divBdr>
        <w:top w:val="none" w:sz="0" w:space="0" w:color="auto"/>
        <w:left w:val="none" w:sz="0" w:space="0" w:color="auto"/>
        <w:bottom w:val="none" w:sz="0" w:space="0" w:color="auto"/>
        <w:right w:val="none" w:sz="0" w:space="0" w:color="auto"/>
      </w:divBdr>
      <w:divsChild>
        <w:div w:id="732778590">
          <w:marLeft w:val="0"/>
          <w:marRight w:val="0"/>
          <w:marTop w:val="0"/>
          <w:marBottom w:val="0"/>
          <w:divBdr>
            <w:top w:val="none" w:sz="0" w:space="0" w:color="auto"/>
            <w:left w:val="none" w:sz="0" w:space="0" w:color="auto"/>
            <w:bottom w:val="none" w:sz="0" w:space="0" w:color="auto"/>
            <w:right w:val="none" w:sz="0" w:space="0" w:color="auto"/>
          </w:divBdr>
        </w:div>
      </w:divsChild>
    </w:div>
    <w:div w:id="1739395722">
      <w:bodyDiv w:val="1"/>
      <w:marLeft w:val="0"/>
      <w:marRight w:val="0"/>
      <w:marTop w:val="0"/>
      <w:marBottom w:val="0"/>
      <w:divBdr>
        <w:top w:val="none" w:sz="0" w:space="0" w:color="auto"/>
        <w:left w:val="none" w:sz="0" w:space="0" w:color="auto"/>
        <w:bottom w:val="none" w:sz="0" w:space="0" w:color="auto"/>
        <w:right w:val="none" w:sz="0" w:space="0" w:color="auto"/>
      </w:divBdr>
    </w:div>
    <w:div w:id="1771390394">
      <w:bodyDiv w:val="1"/>
      <w:marLeft w:val="0"/>
      <w:marRight w:val="0"/>
      <w:marTop w:val="0"/>
      <w:marBottom w:val="0"/>
      <w:divBdr>
        <w:top w:val="none" w:sz="0" w:space="0" w:color="auto"/>
        <w:left w:val="none" w:sz="0" w:space="0" w:color="auto"/>
        <w:bottom w:val="none" w:sz="0" w:space="0" w:color="auto"/>
        <w:right w:val="none" w:sz="0" w:space="0" w:color="auto"/>
      </w:divBdr>
    </w:div>
    <w:div w:id="1783379846">
      <w:bodyDiv w:val="1"/>
      <w:marLeft w:val="0"/>
      <w:marRight w:val="0"/>
      <w:marTop w:val="0"/>
      <w:marBottom w:val="0"/>
      <w:divBdr>
        <w:top w:val="none" w:sz="0" w:space="0" w:color="auto"/>
        <w:left w:val="none" w:sz="0" w:space="0" w:color="auto"/>
        <w:bottom w:val="none" w:sz="0" w:space="0" w:color="auto"/>
        <w:right w:val="none" w:sz="0" w:space="0" w:color="auto"/>
      </w:divBdr>
      <w:divsChild>
        <w:div w:id="1221745636">
          <w:marLeft w:val="0"/>
          <w:marRight w:val="0"/>
          <w:marTop w:val="0"/>
          <w:marBottom w:val="0"/>
          <w:divBdr>
            <w:top w:val="none" w:sz="0" w:space="0" w:color="auto"/>
            <w:left w:val="none" w:sz="0" w:space="0" w:color="auto"/>
            <w:bottom w:val="none" w:sz="0" w:space="0" w:color="auto"/>
            <w:right w:val="none" w:sz="0" w:space="0" w:color="auto"/>
          </w:divBdr>
        </w:div>
      </w:divsChild>
    </w:div>
    <w:div w:id="1871070616">
      <w:bodyDiv w:val="1"/>
      <w:marLeft w:val="0"/>
      <w:marRight w:val="0"/>
      <w:marTop w:val="0"/>
      <w:marBottom w:val="0"/>
      <w:divBdr>
        <w:top w:val="none" w:sz="0" w:space="0" w:color="auto"/>
        <w:left w:val="none" w:sz="0" w:space="0" w:color="auto"/>
        <w:bottom w:val="none" w:sz="0" w:space="0" w:color="auto"/>
        <w:right w:val="none" w:sz="0" w:space="0" w:color="auto"/>
      </w:divBdr>
      <w:divsChild>
        <w:div w:id="533077100">
          <w:marLeft w:val="0"/>
          <w:marRight w:val="0"/>
          <w:marTop w:val="0"/>
          <w:marBottom w:val="0"/>
          <w:divBdr>
            <w:top w:val="none" w:sz="0" w:space="0" w:color="auto"/>
            <w:left w:val="none" w:sz="0" w:space="0" w:color="auto"/>
            <w:bottom w:val="none" w:sz="0" w:space="0" w:color="auto"/>
            <w:right w:val="none" w:sz="0" w:space="0" w:color="auto"/>
          </w:divBdr>
        </w:div>
      </w:divsChild>
    </w:div>
    <w:div w:id="1888642356">
      <w:bodyDiv w:val="1"/>
      <w:marLeft w:val="0"/>
      <w:marRight w:val="0"/>
      <w:marTop w:val="0"/>
      <w:marBottom w:val="0"/>
      <w:divBdr>
        <w:top w:val="none" w:sz="0" w:space="0" w:color="auto"/>
        <w:left w:val="none" w:sz="0" w:space="0" w:color="auto"/>
        <w:bottom w:val="none" w:sz="0" w:space="0" w:color="auto"/>
        <w:right w:val="none" w:sz="0" w:space="0" w:color="auto"/>
      </w:divBdr>
      <w:divsChild>
        <w:div w:id="1647540482">
          <w:marLeft w:val="0"/>
          <w:marRight w:val="0"/>
          <w:marTop w:val="0"/>
          <w:marBottom w:val="0"/>
          <w:divBdr>
            <w:top w:val="none" w:sz="0" w:space="0" w:color="auto"/>
            <w:left w:val="none" w:sz="0" w:space="0" w:color="auto"/>
            <w:bottom w:val="none" w:sz="0" w:space="0" w:color="auto"/>
            <w:right w:val="none" w:sz="0" w:space="0" w:color="auto"/>
          </w:divBdr>
        </w:div>
      </w:divsChild>
    </w:div>
    <w:div w:id="1952005102">
      <w:bodyDiv w:val="1"/>
      <w:marLeft w:val="0"/>
      <w:marRight w:val="0"/>
      <w:marTop w:val="0"/>
      <w:marBottom w:val="0"/>
      <w:divBdr>
        <w:top w:val="none" w:sz="0" w:space="0" w:color="auto"/>
        <w:left w:val="none" w:sz="0" w:space="0" w:color="auto"/>
        <w:bottom w:val="none" w:sz="0" w:space="0" w:color="auto"/>
        <w:right w:val="none" w:sz="0" w:space="0" w:color="auto"/>
      </w:divBdr>
      <w:divsChild>
        <w:div w:id="1700659523">
          <w:marLeft w:val="0"/>
          <w:marRight w:val="0"/>
          <w:marTop w:val="0"/>
          <w:marBottom w:val="0"/>
          <w:divBdr>
            <w:top w:val="none" w:sz="0" w:space="0" w:color="auto"/>
            <w:left w:val="none" w:sz="0" w:space="0" w:color="auto"/>
            <w:bottom w:val="none" w:sz="0" w:space="0" w:color="auto"/>
            <w:right w:val="none" w:sz="0" w:space="0" w:color="auto"/>
          </w:divBdr>
        </w:div>
      </w:divsChild>
    </w:div>
    <w:div w:id="1989283686">
      <w:bodyDiv w:val="1"/>
      <w:marLeft w:val="0"/>
      <w:marRight w:val="0"/>
      <w:marTop w:val="0"/>
      <w:marBottom w:val="0"/>
      <w:divBdr>
        <w:top w:val="none" w:sz="0" w:space="0" w:color="auto"/>
        <w:left w:val="none" w:sz="0" w:space="0" w:color="auto"/>
        <w:bottom w:val="none" w:sz="0" w:space="0" w:color="auto"/>
        <w:right w:val="none" w:sz="0" w:space="0" w:color="auto"/>
      </w:divBdr>
      <w:divsChild>
        <w:div w:id="522402703">
          <w:marLeft w:val="0"/>
          <w:marRight w:val="0"/>
          <w:marTop w:val="0"/>
          <w:marBottom w:val="0"/>
          <w:divBdr>
            <w:top w:val="none" w:sz="0" w:space="0" w:color="auto"/>
            <w:left w:val="none" w:sz="0" w:space="0" w:color="auto"/>
            <w:bottom w:val="none" w:sz="0" w:space="0" w:color="auto"/>
            <w:right w:val="none" w:sz="0" w:space="0" w:color="auto"/>
          </w:divBdr>
          <w:divsChild>
            <w:div w:id="240872877">
              <w:marLeft w:val="0"/>
              <w:marRight w:val="0"/>
              <w:marTop w:val="0"/>
              <w:marBottom w:val="0"/>
              <w:divBdr>
                <w:top w:val="none" w:sz="0" w:space="0" w:color="auto"/>
                <w:left w:val="none" w:sz="0" w:space="0" w:color="auto"/>
                <w:bottom w:val="none" w:sz="0" w:space="0" w:color="auto"/>
                <w:right w:val="none" w:sz="0" w:space="0" w:color="auto"/>
              </w:divBdr>
              <w:divsChild>
                <w:div w:id="970792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268113">
          <w:marLeft w:val="0"/>
          <w:marRight w:val="0"/>
          <w:marTop w:val="0"/>
          <w:marBottom w:val="0"/>
          <w:divBdr>
            <w:top w:val="none" w:sz="0" w:space="0" w:color="auto"/>
            <w:left w:val="none" w:sz="0" w:space="0" w:color="auto"/>
            <w:bottom w:val="none" w:sz="0" w:space="0" w:color="auto"/>
            <w:right w:val="none" w:sz="0" w:space="0" w:color="auto"/>
          </w:divBdr>
          <w:divsChild>
            <w:div w:id="940187658">
              <w:marLeft w:val="0"/>
              <w:marRight w:val="0"/>
              <w:marTop w:val="0"/>
              <w:marBottom w:val="0"/>
              <w:divBdr>
                <w:top w:val="none" w:sz="0" w:space="0" w:color="auto"/>
                <w:left w:val="none" w:sz="0" w:space="0" w:color="auto"/>
                <w:bottom w:val="none" w:sz="0" w:space="0" w:color="auto"/>
                <w:right w:val="none" w:sz="0" w:space="0" w:color="auto"/>
              </w:divBdr>
              <w:divsChild>
                <w:div w:id="2030175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1424611">
      <w:bodyDiv w:val="1"/>
      <w:marLeft w:val="0"/>
      <w:marRight w:val="0"/>
      <w:marTop w:val="0"/>
      <w:marBottom w:val="0"/>
      <w:divBdr>
        <w:top w:val="none" w:sz="0" w:space="0" w:color="auto"/>
        <w:left w:val="none" w:sz="0" w:space="0" w:color="auto"/>
        <w:bottom w:val="none" w:sz="0" w:space="0" w:color="auto"/>
        <w:right w:val="none" w:sz="0" w:space="0" w:color="auto"/>
      </w:divBdr>
      <w:divsChild>
        <w:div w:id="106379169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13</Pages>
  <Words>5908</Words>
  <Characters>33677</Characters>
  <Application>Microsoft Office Word</Application>
  <DocSecurity>0</DocSecurity>
  <Lines>280</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TSANG, AGNES H.L. (Student)</dc:creator>
  <cp:keywords/>
  <dc:description/>
  <cp:lastModifiedBy>TSANG, AGNES H.L. (Student)</cp:lastModifiedBy>
  <cp:revision>5</cp:revision>
  <dcterms:created xsi:type="dcterms:W3CDTF">2025-04-26T14:12:00Z</dcterms:created>
  <dcterms:modified xsi:type="dcterms:W3CDTF">2025-04-28T09:26:00Z</dcterms:modified>
</cp:coreProperties>
</file>